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0C7" w:rsidRDefault="00704701">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CE292AB74734CCEACE5AC5127C5781A" style="width:450.5pt;height:404.75pt">
            <v:imagedata r:id="rId10" o:title=""/>
          </v:shape>
        </w:pict>
      </w:r>
    </w:p>
    <w:p w:rsidR="007F60C7" w:rsidRDefault="007F60C7">
      <w:pPr>
        <w:rPr>
          <w:noProof/>
        </w:rPr>
        <w:sectPr w:rsidR="007F60C7">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299"/>
        </w:sectPr>
      </w:pPr>
      <w:bookmarkStart w:id="1" w:name="_GoBack"/>
      <w:bookmarkEnd w:id="0"/>
      <w:bookmarkEnd w:id="1"/>
    </w:p>
    <w:p w:rsidR="007F60C7" w:rsidRDefault="00704701">
      <w:pPr>
        <w:pStyle w:val="ZDGName"/>
        <w:spacing w:before="120" w:after="100" w:afterAutospacing="1"/>
        <w:jc w:val="center"/>
        <w:rPr>
          <w:rFonts w:ascii="Times New Roman" w:hAnsi="Times New Roman" w:cs="Times New Roman"/>
          <w:b/>
          <w:caps/>
          <w:noProof/>
          <w:sz w:val="24"/>
          <w:szCs w:val="24"/>
        </w:rPr>
      </w:pPr>
      <w:r>
        <w:rPr>
          <w:rFonts w:ascii="Times New Roman" w:hAnsi="Times New Roman" w:cs="Times New Roman"/>
          <w:b/>
          <w:caps/>
          <w:noProof/>
          <w:sz w:val="24"/>
          <w:szCs w:val="24"/>
        </w:rPr>
        <w:lastRenderedPageBreak/>
        <w:t>Best practices on renewable energy self-consumption</w:t>
      </w:r>
    </w:p>
    <w:p w:rsidR="007F60C7" w:rsidRDefault="00704701">
      <w:pPr>
        <w:pStyle w:val="Heading1"/>
        <w:numPr>
          <w:ilvl w:val="0"/>
          <w:numId w:val="0"/>
        </w:numPr>
        <w:spacing w:before="0" w:after="0"/>
        <w:ind w:left="431" w:hanging="431"/>
        <w:rPr>
          <w:rFonts w:ascii="Times New Roman Bold" w:hAnsi="Times New Roman Bold"/>
          <w:noProof/>
          <w:szCs w:val="24"/>
        </w:rPr>
      </w:pPr>
      <w:r>
        <w:rPr>
          <w:rFonts w:ascii="Times New Roman Bold" w:hAnsi="Times New Roman Bold"/>
          <w:noProof/>
          <w:szCs w:val="24"/>
        </w:rPr>
        <w:t>1.</w:t>
      </w:r>
      <w:r>
        <w:rPr>
          <w:rFonts w:ascii="Times New Roman Bold" w:hAnsi="Times New Roman Bold"/>
          <w:noProof/>
          <w:szCs w:val="24"/>
        </w:rPr>
        <w:tab/>
        <w:t>Introduction</w:t>
      </w:r>
    </w:p>
    <w:p w:rsidR="007F60C7" w:rsidRDefault="007F60C7">
      <w:pPr>
        <w:pStyle w:val="Text1"/>
        <w:spacing w:after="0"/>
        <w:ind w:left="0"/>
        <w:rPr>
          <w:b/>
          <w:noProof/>
          <w:szCs w:val="24"/>
        </w:rPr>
      </w:pPr>
    </w:p>
    <w:p w:rsidR="007F60C7" w:rsidRDefault="00704701">
      <w:pPr>
        <w:autoSpaceDE w:val="0"/>
        <w:autoSpaceDN w:val="0"/>
        <w:adjustRightInd w:val="0"/>
        <w:spacing w:after="0" w:line="240" w:lineRule="auto"/>
        <w:jc w:val="both"/>
        <w:rPr>
          <w:rFonts w:ascii="Times New Roman" w:eastAsiaTheme="minorHAnsi" w:hAnsi="Times New Roman"/>
          <w:noProof/>
          <w:sz w:val="24"/>
          <w:szCs w:val="24"/>
        </w:rPr>
      </w:pPr>
      <w:r>
        <w:rPr>
          <w:rFonts w:ascii="Times New Roman" w:hAnsi="Times New Roman"/>
          <w:noProof/>
          <w:sz w:val="24"/>
          <w:szCs w:val="24"/>
        </w:rPr>
        <w:t>The Energy Union strategy</w:t>
      </w:r>
      <w:r>
        <w:rPr>
          <w:rStyle w:val="FootnoteReference"/>
          <w:rFonts w:ascii="Times New Roman" w:hAnsi="Times New Roman"/>
          <w:noProof/>
          <w:sz w:val="24"/>
          <w:szCs w:val="24"/>
        </w:rPr>
        <w:footnoteReference w:id="2"/>
      </w:r>
      <w:r>
        <w:rPr>
          <w:rFonts w:ascii="Times New Roman" w:hAnsi="Times New Roman"/>
          <w:noProof/>
          <w:sz w:val="24"/>
          <w:szCs w:val="24"/>
        </w:rPr>
        <w:t xml:space="preserve"> places consumers at the core of the EU energy policy, encouraging them to take full ownership of the energy transition, to benefit from new technologies to reduce their bills and participate actively in the market, while ensuring protection for the vulner</w:t>
      </w:r>
      <w:r>
        <w:rPr>
          <w:rFonts w:ascii="Times New Roman" w:hAnsi="Times New Roman"/>
          <w:noProof/>
          <w:sz w:val="24"/>
          <w:szCs w:val="24"/>
        </w:rPr>
        <w:t xml:space="preserve">able ones. At the same time, </w:t>
      </w:r>
      <w:r>
        <w:rPr>
          <w:rFonts w:ascii="Times New Roman" w:eastAsiaTheme="minorHAnsi" w:hAnsi="Times New Roman"/>
          <w:noProof/>
          <w:sz w:val="24"/>
          <w:szCs w:val="24"/>
        </w:rPr>
        <w:t>the achievement of the Energy Union requires a fundamental transformation of Europe's energy system. Renewable energy is essential for this transformation to take place as it contributes to all of the Energy Union objectives: t</w:t>
      </w:r>
      <w:r>
        <w:rPr>
          <w:rFonts w:ascii="Times New Roman" w:eastAsiaTheme="minorHAnsi" w:hAnsi="Times New Roman"/>
          <w:noProof/>
          <w:sz w:val="24"/>
          <w:szCs w:val="24"/>
        </w:rPr>
        <w:t xml:space="preserve">he delivery of security of supply, a transition to a sustainable energy system with reduced greenhouse gas emissions, industrial development leading to growth and jobs and lower energy costs for the EU economy. </w:t>
      </w:r>
    </w:p>
    <w:p w:rsidR="007F60C7" w:rsidRDefault="007F60C7">
      <w:pPr>
        <w:autoSpaceDE w:val="0"/>
        <w:autoSpaceDN w:val="0"/>
        <w:adjustRightInd w:val="0"/>
        <w:spacing w:after="0" w:line="240" w:lineRule="auto"/>
        <w:jc w:val="both"/>
        <w:rPr>
          <w:rFonts w:ascii="Times New Roman" w:eastAsiaTheme="minorHAnsi" w:hAnsi="Times New Roman"/>
          <w:noProof/>
          <w:sz w:val="24"/>
          <w:szCs w:val="24"/>
        </w:rPr>
      </w:pPr>
    </w:p>
    <w:p w:rsidR="007F60C7" w:rsidRDefault="00704701">
      <w:pPr>
        <w:autoSpaceDE w:val="0"/>
        <w:autoSpaceDN w:val="0"/>
        <w:adjustRightInd w:val="0"/>
        <w:spacing w:after="0" w:line="240" w:lineRule="auto"/>
        <w:jc w:val="both"/>
        <w:rPr>
          <w:rFonts w:ascii="Times New Roman" w:hAnsi="Times New Roman"/>
          <w:noProof/>
          <w:sz w:val="24"/>
          <w:szCs w:val="24"/>
        </w:rPr>
      </w:pPr>
      <w:r>
        <w:rPr>
          <w:rFonts w:ascii="Times New Roman" w:hAnsi="Times New Roman"/>
          <w:noProof/>
          <w:sz w:val="24"/>
          <w:szCs w:val="24"/>
        </w:rPr>
        <w:t xml:space="preserve">Thanks to technology development and </w:t>
      </w:r>
      <w:r>
        <w:rPr>
          <w:rFonts w:ascii="Times New Roman" w:hAnsi="Times New Roman"/>
          <w:noProof/>
          <w:sz w:val="24"/>
          <w:szCs w:val="24"/>
        </w:rPr>
        <w:t>innovation driven by EU and national policies, over the last few years we have seen the realization of effective renewable energy technologies, for both large and small-scale use, alongside considerable cost reductions</w:t>
      </w:r>
      <w:r>
        <w:rPr>
          <w:rStyle w:val="FootnoteReference"/>
          <w:rFonts w:ascii="Times New Roman" w:hAnsi="Times New Roman"/>
          <w:noProof/>
          <w:sz w:val="24"/>
          <w:szCs w:val="24"/>
        </w:rPr>
        <w:footnoteReference w:id="3"/>
      </w:r>
      <w:r>
        <w:rPr>
          <w:rFonts w:ascii="Times New Roman" w:hAnsi="Times New Roman"/>
          <w:noProof/>
          <w:sz w:val="24"/>
          <w:szCs w:val="24"/>
        </w:rPr>
        <w:t>. As a result, businesses and househo</w:t>
      </w:r>
      <w:r>
        <w:rPr>
          <w:rFonts w:ascii="Times New Roman" w:hAnsi="Times New Roman"/>
          <w:noProof/>
          <w:sz w:val="24"/>
          <w:szCs w:val="24"/>
        </w:rPr>
        <w:t>lds can increasingly produce and consume, some or all, their own electricity, either instantaneously or in a deferred manner through decentralized storage, behind the connection point with the grid (i.e. the meter). Through the process of 'self-consumption</w:t>
      </w:r>
      <w:r>
        <w:rPr>
          <w:rFonts w:ascii="Times New Roman" w:hAnsi="Times New Roman"/>
          <w:noProof/>
          <w:sz w:val="24"/>
          <w:szCs w:val="24"/>
        </w:rPr>
        <w:t xml:space="preserve">', passive consumers are therefore becoming active </w:t>
      </w:r>
      <w:r>
        <w:rPr>
          <w:rFonts w:ascii="Times New Roman" w:hAnsi="Times New Roman"/>
          <w:i/>
          <w:noProof/>
          <w:sz w:val="24"/>
          <w:szCs w:val="24"/>
        </w:rPr>
        <w:t>'prosumers'</w:t>
      </w:r>
      <w:r>
        <w:rPr>
          <w:rFonts w:ascii="Times New Roman" w:hAnsi="Times New Roman"/>
          <w:noProof/>
          <w:sz w:val="24"/>
          <w:szCs w:val="24"/>
        </w:rPr>
        <w:t xml:space="preserve"> (i.e. producers and consumers of renewable energy). </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 xml:space="preserve">The emerging self-consumption model opens new cost-containment opportunities for energy consumers, particularly for Small and Medium-Sized </w:t>
      </w:r>
      <w:r>
        <w:rPr>
          <w:rFonts w:ascii="Times New Roman" w:hAnsi="Times New Roman"/>
          <w:noProof/>
          <w:sz w:val="24"/>
          <w:szCs w:val="24"/>
        </w:rPr>
        <w:t>Enterprises (SMEs), which are faced with high electricity prices, allowing them to increasingly control their energy bills. Amongst residential consumers, new behavioural patterns are emerging ranging from in particular roof-top solar photovoltaic (PV) sys</w:t>
      </w:r>
      <w:r>
        <w:rPr>
          <w:rFonts w:ascii="Times New Roman" w:hAnsi="Times New Roman"/>
          <w:noProof/>
          <w:sz w:val="24"/>
          <w:szCs w:val="24"/>
        </w:rPr>
        <w:t>tems owned by individual households or third parties, to self-consumption projects developed by RES COOP (i.e. citizen-led renewable energy cooperatives). This document gives insight into lessons learned from national schemes on self-consumption of renewab</w:t>
      </w:r>
      <w:r>
        <w:rPr>
          <w:rFonts w:ascii="Times New Roman" w:hAnsi="Times New Roman"/>
          <w:noProof/>
          <w:sz w:val="24"/>
          <w:szCs w:val="24"/>
        </w:rPr>
        <w:t>le energy (see Annex) and illustrates best practice in this relatively new policy area. It focuses on micro and small-scale renewable energy systems, typically with an installed electricity capacity below 500 kW</w:t>
      </w:r>
      <w:r>
        <w:rPr>
          <w:rStyle w:val="FootnoteReference"/>
          <w:rFonts w:ascii="Times New Roman" w:eastAsia="HelveticaNeueLTStd-Lt" w:hAnsi="Times New Roman"/>
          <w:noProof/>
          <w:sz w:val="24"/>
          <w:szCs w:val="24"/>
        </w:rPr>
        <w:footnoteReference w:id="4"/>
      </w:r>
      <w:r>
        <w:rPr>
          <w:rFonts w:ascii="Times New Roman" w:hAnsi="Times New Roman"/>
          <w:noProof/>
          <w:sz w:val="24"/>
          <w:szCs w:val="24"/>
        </w:rPr>
        <w:t>.</w:t>
      </w:r>
    </w:p>
    <w:p w:rsidR="007F60C7" w:rsidRDefault="007F60C7">
      <w:pPr>
        <w:spacing w:after="0" w:line="240" w:lineRule="auto"/>
        <w:jc w:val="both"/>
        <w:rPr>
          <w:rFonts w:ascii="Times New Roman" w:hAnsi="Times New Roman"/>
          <w:noProof/>
          <w:sz w:val="24"/>
          <w:szCs w:val="24"/>
        </w:rPr>
      </w:pPr>
    </w:p>
    <w:p w:rsidR="007F60C7" w:rsidRDefault="00704701">
      <w:pPr>
        <w:pStyle w:val="Heading1"/>
        <w:numPr>
          <w:ilvl w:val="0"/>
          <w:numId w:val="0"/>
        </w:numPr>
        <w:spacing w:before="0" w:after="0"/>
        <w:ind w:left="431" w:hanging="431"/>
        <w:rPr>
          <w:noProof/>
        </w:rPr>
      </w:pPr>
      <w:r>
        <w:rPr>
          <w:noProof/>
        </w:rPr>
        <w:t>2.</w:t>
      </w:r>
      <w:r>
        <w:rPr>
          <w:noProof/>
        </w:rPr>
        <w:tab/>
      </w:r>
      <w:r>
        <w:rPr>
          <w:rFonts w:ascii="Times New Roman Bold" w:hAnsi="Times New Roman Bold"/>
          <w:noProof/>
          <w:szCs w:val="24"/>
        </w:rPr>
        <w:t>Savings</w:t>
      </w:r>
      <w:r>
        <w:rPr>
          <w:noProof/>
        </w:rPr>
        <w:t xml:space="preserve"> from self-consumption</w:t>
      </w:r>
    </w:p>
    <w:p w:rsidR="007F60C7" w:rsidRDefault="007F60C7">
      <w:pPr>
        <w:pStyle w:val="MTMRBodyText"/>
        <w:pBdr>
          <w:top w:val="none" w:sz="0" w:space="0" w:color="auto"/>
          <w:left w:val="none" w:sz="0" w:space="0" w:color="auto"/>
          <w:bottom w:val="none" w:sz="0" w:space="0" w:color="auto"/>
          <w:right w:val="none" w:sz="0" w:space="0" w:color="auto"/>
        </w:pBdr>
        <w:rPr>
          <w:b w:val="0"/>
          <w:i w:val="0"/>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The sel</w:t>
      </w:r>
      <w:r>
        <w:rPr>
          <w:rFonts w:ascii="Times New Roman" w:hAnsi="Times New Roman"/>
          <w:noProof/>
          <w:sz w:val="24"/>
          <w:szCs w:val="24"/>
        </w:rPr>
        <w:t xml:space="preserve">f-consumption model is based on the fact that in a growing number of countries renewable electricity – chiefly solar PV – has achieved grid parity, </w:t>
      </w:r>
      <w:r>
        <w:rPr>
          <w:rFonts w:ascii="Times New Roman" w:hAnsi="Times New Roman"/>
          <w:noProof/>
          <w:sz w:val="24"/>
          <w:szCs w:val="24"/>
          <w:lang w:val="en-US"/>
        </w:rPr>
        <w:t>that is the situation where an expected unit cost of self-generated renewable electricity matches or is lowe</w:t>
      </w:r>
      <w:r>
        <w:rPr>
          <w:rFonts w:ascii="Times New Roman" w:hAnsi="Times New Roman"/>
          <w:noProof/>
          <w:sz w:val="24"/>
          <w:szCs w:val="24"/>
          <w:lang w:val="en-US"/>
        </w:rPr>
        <w:t xml:space="preserve">r the per-kWh costs for electricity obtained from the grid, i.e. the variable part of a consumers’ electricity bill. </w:t>
      </w:r>
      <w:r>
        <w:rPr>
          <w:rFonts w:ascii="Times New Roman" w:hAnsi="Times New Roman"/>
          <w:noProof/>
          <w:sz w:val="24"/>
          <w:szCs w:val="24"/>
        </w:rPr>
        <w:t xml:space="preserve"> </w:t>
      </w:r>
      <w:r>
        <w:rPr>
          <w:rFonts w:ascii="Times New Roman" w:hAnsi="Times New Roman"/>
          <w:noProof/>
          <w:sz w:val="24"/>
          <w:szCs w:val="24"/>
          <w:lang w:val="en-US"/>
        </w:rPr>
        <w:t xml:space="preserve">Under grid parity, </w:t>
      </w:r>
      <w:r>
        <w:rPr>
          <w:rFonts w:ascii="Times New Roman" w:hAnsi="Times New Roman"/>
          <w:noProof/>
          <w:sz w:val="24"/>
          <w:szCs w:val="24"/>
        </w:rPr>
        <w:t>consumers</w:t>
      </w:r>
      <w:r>
        <w:rPr>
          <w:rFonts w:ascii="Times New Roman" w:hAnsi="Times New Roman"/>
          <w:noProof/>
          <w:sz w:val="24"/>
          <w:szCs w:val="24"/>
          <w:lang w:val="en-US"/>
        </w:rPr>
        <w:t xml:space="preserve"> can save money by generating their electricity rather than buying it from the grid. </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noProof/>
        </w:rPr>
      </w:pPr>
      <w:r>
        <w:rPr>
          <w:rFonts w:ascii="Times New Roman" w:hAnsi="Times New Roman"/>
          <w:noProof/>
          <w:sz w:val="24"/>
          <w:szCs w:val="24"/>
        </w:rPr>
        <w:lastRenderedPageBreak/>
        <w:t>Where the consumption p</w:t>
      </w:r>
      <w:r>
        <w:rPr>
          <w:rFonts w:ascii="Times New Roman" w:hAnsi="Times New Roman"/>
          <w:noProof/>
          <w:sz w:val="24"/>
          <w:szCs w:val="24"/>
        </w:rPr>
        <w:t xml:space="preserve">atterns align well with onsite </w:t>
      </w:r>
      <w:r>
        <w:rPr>
          <w:rFonts w:ascii="Times New Roman" w:hAnsi="Times New Roman"/>
          <w:bCs/>
          <w:noProof/>
          <w:sz w:val="24"/>
          <w:szCs w:val="24"/>
        </w:rPr>
        <w:t>renewable generation</w:t>
      </w:r>
      <w:r>
        <w:rPr>
          <w:rFonts w:ascii="Times New Roman" w:hAnsi="Times New Roman"/>
          <w:noProof/>
          <w:sz w:val="24"/>
          <w:szCs w:val="24"/>
        </w:rPr>
        <w:t>, high rates of self-consumption</w:t>
      </w:r>
      <w:r>
        <w:rPr>
          <w:rStyle w:val="FootnoteReference"/>
          <w:rFonts w:ascii="Times New Roman" w:hAnsi="Times New Roman"/>
          <w:noProof/>
          <w:sz w:val="24"/>
          <w:szCs w:val="24"/>
        </w:rPr>
        <w:footnoteReference w:id="5"/>
      </w:r>
      <w:r>
        <w:rPr>
          <w:rStyle w:val="FootnoteReference"/>
          <w:rFonts w:ascii="Times New Roman" w:hAnsi="Times New Roman"/>
          <w:noProof/>
          <w:sz w:val="24"/>
          <w:szCs w:val="24"/>
        </w:rPr>
        <w:t xml:space="preserve"> </w:t>
      </w:r>
      <w:r>
        <w:rPr>
          <w:rFonts w:ascii="Times New Roman" w:hAnsi="Times New Roman"/>
          <w:noProof/>
          <w:sz w:val="24"/>
          <w:szCs w:val="24"/>
        </w:rPr>
        <w:t xml:space="preserve"> and self-sufficiency</w:t>
      </w:r>
      <w:r>
        <w:rPr>
          <w:rStyle w:val="FootnoteReference"/>
          <w:rFonts w:ascii="Times New Roman" w:hAnsi="Times New Roman"/>
          <w:noProof/>
          <w:sz w:val="24"/>
          <w:szCs w:val="24"/>
        </w:rPr>
        <w:footnoteReference w:id="6"/>
      </w:r>
      <w:r>
        <w:rPr>
          <w:rFonts w:ascii="Times New Roman" w:hAnsi="Times New Roman"/>
          <w:noProof/>
          <w:sz w:val="24"/>
          <w:szCs w:val="24"/>
        </w:rPr>
        <w:t>can be achieved jointly. In this situation, renewable energy self-consumption can result in a number of benefits for both consumers and the whole ene</w:t>
      </w:r>
      <w:r>
        <w:rPr>
          <w:rFonts w:ascii="Times New Roman" w:hAnsi="Times New Roman"/>
          <w:noProof/>
          <w:sz w:val="24"/>
          <w:szCs w:val="24"/>
        </w:rPr>
        <w:t>rgy system. It can facilitate consumer empowerment by allowing active participation in and profit from energy markets, as well as encouraging smarter consumption patterns</w:t>
      </w:r>
      <w:r>
        <w:rPr>
          <w:rStyle w:val="FootnoteReference"/>
          <w:rFonts w:ascii="Times New Roman" w:hAnsi="Times New Roman"/>
          <w:noProof/>
          <w:sz w:val="24"/>
          <w:szCs w:val="24"/>
        </w:rPr>
        <w:footnoteReference w:id="7"/>
      </w:r>
      <w:r>
        <w:rPr>
          <w:rFonts w:ascii="Times New Roman" w:hAnsi="Times New Roman"/>
          <w:noProof/>
          <w:sz w:val="24"/>
          <w:szCs w:val="24"/>
        </w:rPr>
        <w:t>. Self-consumption can also lower energy system costs e.g. solar PV generation in sun</w:t>
      </w:r>
      <w:r>
        <w:rPr>
          <w:rFonts w:ascii="Times New Roman" w:hAnsi="Times New Roman"/>
          <w:noProof/>
          <w:sz w:val="24"/>
          <w:szCs w:val="24"/>
        </w:rPr>
        <w:t>ny countries can help reducing grid peak demand for electricity driven by air conditioning. By generating and consuming electricity locally, system losses can be reduced</w:t>
      </w:r>
      <w:r>
        <w:rPr>
          <w:rStyle w:val="FootnoteReference"/>
          <w:rFonts w:ascii="Times New Roman" w:hAnsi="Times New Roman"/>
          <w:noProof/>
          <w:sz w:val="24"/>
          <w:szCs w:val="24"/>
        </w:rPr>
        <w:footnoteReference w:id="8"/>
      </w:r>
      <w:r>
        <w:rPr>
          <w:rFonts w:ascii="Times New Roman" w:hAnsi="Times New Roman"/>
          <w:noProof/>
          <w:sz w:val="24"/>
          <w:szCs w:val="24"/>
        </w:rPr>
        <w:t>. Finally, self-consumption can make an important contribution to finance the energy t</w:t>
      </w:r>
      <w:r>
        <w:rPr>
          <w:rFonts w:ascii="Times New Roman" w:hAnsi="Times New Roman"/>
          <w:noProof/>
          <w:sz w:val="24"/>
          <w:szCs w:val="24"/>
        </w:rPr>
        <w:t>ransition</w:t>
      </w:r>
      <w:r>
        <w:rPr>
          <w:rStyle w:val="FootnoteReference"/>
          <w:rFonts w:ascii="Times New Roman" w:hAnsi="Times New Roman"/>
          <w:noProof/>
          <w:sz w:val="24"/>
          <w:szCs w:val="24"/>
        </w:rPr>
        <w:footnoteReference w:id="9"/>
      </w:r>
      <w:r>
        <w:rPr>
          <w:rFonts w:ascii="Times New Roman" w:hAnsi="Times New Roman"/>
          <w:noProof/>
          <w:sz w:val="24"/>
          <w:szCs w:val="24"/>
        </w:rPr>
        <w:t>.</w:t>
      </w:r>
      <w:r>
        <w:rPr>
          <w:noProof/>
        </w:rPr>
        <w:t xml:space="preserve"> </w:t>
      </w:r>
    </w:p>
    <w:tbl>
      <w:tblPr>
        <w:tblStyle w:val="TableGrid"/>
        <w:tblpPr w:leftFromText="180" w:rightFromText="180" w:vertAnchor="text" w:horzAnchor="margin" w:tblpY="157"/>
        <w:tblW w:w="0" w:type="auto"/>
        <w:tblBorders>
          <w:insideH w:val="none" w:sz="0" w:space="0" w:color="auto"/>
          <w:insideV w:val="none" w:sz="0" w:space="0" w:color="auto"/>
        </w:tblBorders>
        <w:tblLook w:val="04A0" w:firstRow="1" w:lastRow="0" w:firstColumn="1" w:lastColumn="0" w:noHBand="0" w:noVBand="1"/>
      </w:tblPr>
      <w:tblGrid>
        <w:gridCol w:w="9288"/>
      </w:tblGrid>
      <w:tr w:rsidR="007F60C7">
        <w:tc>
          <w:tcPr>
            <w:tcW w:w="9288" w:type="dxa"/>
          </w:tcPr>
          <w:p w:rsidR="007F60C7" w:rsidRDefault="00704701">
            <w:pPr>
              <w:pStyle w:val="Text1"/>
              <w:spacing w:after="0"/>
              <w:ind w:left="0"/>
              <w:rPr>
                <w:i/>
                <w:noProof/>
                <w:sz w:val="23"/>
                <w:szCs w:val="23"/>
              </w:rPr>
            </w:pPr>
            <w:r>
              <w:rPr>
                <w:i/>
                <w:noProof/>
                <w:sz w:val="23"/>
                <w:szCs w:val="23"/>
              </w:rPr>
              <w:t>Box 1: Self-consumption benefits for commercial consumers</w:t>
            </w:r>
          </w:p>
          <w:p w:rsidR="007F60C7" w:rsidRDefault="00704701">
            <w:pPr>
              <w:pStyle w:val="Text1"/>
              <w:spacing w:before="120" w:after="0"/>
              <w:ind w:left="0"/>
              <w:rPr>
                <w:noProof/>
                <w:sz w:val="22"/>
                <w:szCs w:val="22"/>
              </w:rPr>
            </w:pPr>
            <w:r>
              <w:rPr>
                <w:rFonts w:eastAsiaTheme="minorHAnsi"/>
                <w:noProof/>
                <w:sz w:val="22"/>
                <w:szCs w:val="22"/>
              </w:rPr>
              <w:t>A</w:t>
            </w:r>
            <w:r>
              <w:rPr>
                <w:rFonts w:eastAsiaTheme="minorHAnsi"/>
                <w:noProof/>
              </w:rPr>
              <w:t>n Italian</w:t>
            </w:r>
            <w:r>
              <w:rPr>
                <w:rFonts w:eastAsiaTheme="minorHAnsi"/>
                <w:noProof/>
                <w:sz w:val="22"/>
                <w:szCs w:val="22"/>
              </w:rPr>
              <w:t xml:space="preserve"> food processing company located in the province of Rome , with an annual consumption of about 850.000 kWh and a demand profile shifted strongly in the daytime, has installed a roof-top PV system with a capacity of 320 KWp, producing about 420.000 kWh per </w:t>
            </w:r>
            <w:r>
              <w:rPr>
                <w:rFonts w:eastAsiaTheme="minorHAnsi"/>
                <w:noProof/>
                <w:sz w:val="22"/>
                <w:szCs w:val="22"/>
              </w:rPr>
              <w:t xml:space="preserve">year. Thanks to the self-consumption mechanism, this SME is able to use 89% of the solar PV electricity produced onsite (self-consumption rate), resulting in an annual electricity bill saving of about 35% and in a annual reduction of CO2 emissions by over </w:t>
            </w:r>
            <w:r>
              <w:rPr>
                <w:rFonts w:eastAsiaTheme="minorHAnsi"/>
                <w:noProof/>
                <w:sz w:val="22"/>
                <w:szCs w:val="22"/>
              </w:rPr>
              <w:t xml:space="preserve">200 tons. </w:t>
            </w:r>
            <w:r>
              <w:rPr>
                <w:noProof/>
                <w:sz w:val="22"/>
                <w:szCs w:val="22"/>
              </w:rPr>
              <w:t>A German plastics-manufacturing facility located in Hessen, with an annual electricity consumption of ~320,000 kWh and a roof-top PV system with a capacity of 63 kWp, has been able to directly self-consume  ~87% of the electricity generated onsit</w:t>
            </w:r>
            <w:r>
              <w:rPr>
                <w:noProof/>
                <w:sz w:val="22"/>
                <w:szCs w:val="22"/>
              </w:rPr>
              <w:t xml:space="preserve">e (i.e. 60,000 kWh) - see Figure 1. As a result, the company reduced its electricity bill by over 15% (~50,000 kWh/year). </w:t>
            </w:r>
          </w:p>
          <w:p w:rsidR="007F60C7" w:rsidRDefault="00704701">
            <w:pPr>
              <w:autoSpaceDE w:val="0"/>
              <w:autoSpaceDN w:val="0"/>
              <w:adjustRightInd w:val="0"/>
              <w:spacing w:before="120"/>
              <w:jc w:val="center"/>
              <w:rPr>
                <w:rFonts w:ascii="Times New Roman" w:hAnsi="Times New Roman"/>
                <w:noProof/>
              </w:rPr>
            </w:pPr>
            <w:r>
              <w:rPr>
                <w:rFonts w:ascii="Times New Roman" w:hAnsi="Times New Roman"/>
                <w:i/>
                <w:noProof/>
              </w:rPr>
              <w:t>Figure 1: Sample daily self-consumption profile in a German plastics-manufacturing facility</w:t>
            </w:r>
          </w:p>
        </w:tc>
      </w:tr>
      <w:tr w:rsidR="007F60C7">
        <w:tc>
          <w:tcPr>
            <w:tcW w:w="9288" w:type="dxa"/>
          </w:tcPr>
          <w:p w:rsidR="007F60C7" w:rsidRDefault="00704701">
            <w:pPr>
              <w:autoSpaceDE w:val="0"/>
              <w:autoSpaceDN w:val="0"/>
              <w:adjustRightInd w:val="0"/>
              <w:jc w:val="center"/>
              <w:rPr>
                <w:rFonts w:ascii="Times New Roman" w:hAnsi="Times New Roman"/>
                <w:noProof/>
              </w:rPr>
            </w:pPr>
            <w:r>
              <w:rPr>
                <w:rFonts w:ascii="Times New Roman" w:hAnsi="Times New Roman"/>
                <w:noProof/>
                <w:lang w:val="fr-BE" w:eastAsia="fr-BE"/>
              </w:rPr>
              <w:drawing>
                <wp:inline distT="0" distB="0" distL="0" distR="0">
                  <wp:extent cx="3916393" cy="1713799"/>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6416" cy="1722561"/>
                          </a:xfrm>
                          <a:prstGeom prst="rect">
                            <a:avLst/>
                          </a:prstGeom>
                          <a:noFill/>
                          <a:ln>
                            <a:noFill/>
                          </a:ln>
                        </pic:spPr>
                      </pic:pic>
                    </a:graphicData>
                  </a:graphic>
                </wp:inline>
              </w:drawing>
            </w:r>
          </w:p>
          <w:p w:rsidR="007F60C7" w:rsidRDefault="00704701">
            <w:pPr>
              <w:autoSpaceDE w:val="0"/>
              <w:autoSpaceDN w:val="0"/>
              <w:adjustRightInd w:val="0"/>
              <w:jc w:val="center"/>
              <w:rPr>
                <w:rFonts w:ascii="Times New Roman" w:eastAsiaTheme="minorHAnsi" w:hAnsi="Times New Roman"/>
                <w:i/>
                <w:noProof/>
                <w:sz w:val="20"/>
                <w:szCs w:val="20"/>
              </w:rPr>
            </w:pPr>
            <w:r>
              <w:rPr>
                <w:rFonts w:ascii="Times New Roman" w:hAnsi="Times New Roman"/>
                <w:i/>
                <w:noProof/>
                <w:sz w:val="20"/>
                <w:szCs w:val="20"/>
              </w:rPr>
              <w:t>Source: Kraftwerk 2015,  Q-cell 2015</w:t>
            </w:r>
          </w:p>
        </w:tc>
      </w:tr>
    </w:tbl>
    <w:p w:rsidR="007F60C7" w:rsidRDefault="00704701">
      <w:pPr>
        <w:spacing w:before="240" w:after="120"/>
        <w:rPr>
          <w:rFonts w:ascii="Times New Roman" w:hAnsi="Times New Roman"/>
          <w:b/>
          <w:i/>
          <w:noProof/>
          <w:sz w:val="24"/>
          <w:szCs w:val="24"/>
        </w:rPr>
      </w:pPr>
      <w:r>
        <w:rPr>
          <w:rFonts w:ascii="Times New Roman" w:hAnsi="Times New Roman"/>
          <w:b/>
          <w:i/>
          <w:noProof/>
          <w:sz w:val="24"/>
          <w:szCs w:val="24"/>
        </w:rPr>
        <w:t>Commercial and residential consumers</w:t>
      </w:r>
    </w:p>
    <w:p w:rsidR="007F60C7" w:rsidRDefault="00704701">
      <w:pPr>
        <w:pStyle w:val="PlainText"/>
        <w:jc w:val="both"/>
        <w:rPr>
          <w:rFonts w:ascii="Times New Roman" w:hAnsi="Times New Roman"/>
          <w:noProof/>
          <w:sz w:val="24"/>
          <w:szCs w:val="24"/>
        </w:rPr>
      </w:pPr>
      <w:r>
        <w:rPr>
          <w:rFonts w:ascii="Times New Roman" w:hAnsi="Times New Roman"/>
          <w:noProof/>
          <w:sz w:val="24"/>
          <w:szCs w:val="24"/>
        </w:rPr>
        <w:t xml:space="preserve">Commercial consumers (e.g. department stores, office buildings, SMEs) can attain high rates of renewable electricity self-consumption (e.g. 50%-80%). This is </w:t>
      </w:r>
      <w:r>
        <w:rPr>
          <w:rFonts w:ascii="Times New Roman" w:hAnsi="Times New Roman"/>
          <w:noProof/>
          <w:sz w:val="24"/>
          <w:szCs w:val="24"/>
          <w:lang w:val="en-IE"/>
        </w:rPr>
        <w:t xml:space="preserve">primarily </w:t>
      </w:r>
      <w:r>
        <w:rPr>
          <w:rFonts w:ascii="Times New Roman" w:hAnsi="Times New Roman"/>
          <w:noProof/>
          <w:sz w:val="24"/>
          <w:szCs w:val="24"/>
        </w:rPr>
        <w:t>due to the relatively good match between the energy</w:t>
      </w:r>
      <w:r>
        <w:rPr>
          <w:rFonts w:ascii="Times New Roman" w:hAnsi="Times New Roman"/>
          <w:noProof/>
          <w:sz w:val="24"/>
          <w:szCs w:val="24"/>
        </w:rPr>
        <w:t xml:space="preserve"> consumption profile and the onsite renewable </w:t>
      </w:r>
      <w:r>
        <w:rPr>
          <w:rFonts w:ascii="Times New Roman" w:hAnsi="Times New Roman"/>
          <w:noProof/>
          <w:sz w:val="24"/>
          <w:szCs w:val="24"/>
        </w:rPr>
        <w:lastRenderedPageBreak/>
        <w:t>generation curve (see Figure 1). As a result, commercial self-consumption systems are increasingly viable in a growing number of Member States (e.g. Germany and Italy), given that PV solar rooftop system can pr</w:t>
      </w:r>
      <w:r>
        <w:rPr>
          <w:rFonts w:ascii="Times New Roman" w:hAnsi="Times New Roman"/>
          <w:noProof/>
          <w:sz w:val="24"/>
          <w:szCs w:val="24"/>
        </w:rPr>
        <w:t xml:space="preserve">oduce electricity at a price of €95-100 MWh – which is less than retail electricity tariffs for commercial consumers. </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 xml:space="preserve">With demand-side response and decentralized energy storage (see section 3), the self-consumption rate of an average Central European household running a PV system can go up to 65-75%. In absence of such flexibility measures, however, residential consumers </w:t>
      </w:r>
      <w:r>
        <w:rPr>
          <w:rFonts w:ascii="Times New Roman" w:hAnsi="Times New Roman"/>
          <w:noProof/>
          <w:sz w:val="24"/>
          <w:szCs w:val="24"/>
        </w:rPr>
        <w:t xml:space="preserve">are more likely to obtain self-consumption rates in the range of 30% (see Box 2). The </w:t>
      </w:r>
      <w:r>
        <w:rPr>
          <w:rFonts w:ascii="Times New Roman" w:hAnsi="Times New Roman"/>
          <w:noProof/>
          <w:sz w:val="24"/>
          <w:szCs w:val="24"/>
          <w:lang w:val="en-IE"/>
        </w:rPr>
        <w:t xml:space="preserve">excess </w:t>
      </w:r>
      <w:r>
        <w:rPr>
          <w:rFonts w:ascii="Times New Roman" w:hAnsi="Times New Roman"/>
          <w:noProof/>
          <w:sz w:val="24"/>
          <w:szCs w:val="24"/>
        </w:rPr>
        <w:t>electricity injected into the grid may create new challenges for the operation of the electricity network, that can be addressed through the application of smart g</w:t>
      </w:r>
      <w:r>
        <w:rPr>
          <w:rFonts w:ascii="Times New Roman" w:hAnsi="Times New Roman"/>
          <w:noProof/>
          <w:sz w:val="24"/>
          <w:szCs w:val="24"/>
        </w:rPr>
        <w:t>rid technology.</w:t>
      </w:r>
    </w:p>
    <w:p w:rsidR="007F60C7" w:rsidRDefault="007F60C7">
      <w:pPr>
        <w:spacing w:after="0" w:line="240" w:lineRule="auto"/>
        <w:jc w:val="both"/>
        <w:rPr>
          <w:rFonts w:ascii="Times New Roman" w:hAnsi="Times New Roman"/>
          <w:noProof/>
          <w:sz w:val="24"/>
          <w:szCs w:val="24"/>
        </w:rPr>
      </w:pPr>
    </w:p>
    <w:p w:rsidR="007F60C7" w:rsidRDefault="00704701">
      <w:pPr>
        <w:pBdr>
          <w:top w:val="single" w:sz="4" w:space="1" w:color="auto"/>
          <w:left w:val="single" w:sz="4" w:space="1" w:color="auto"/>
          <w:bottom w:val="single" w:sz="4" w:space="1" w:color="auto"/>
          <w:right w:val="single" w:sz="4" w:space="1" w:color="auto"/>
        </w:pBdr>
        <w:spacing w:after="0" w:line="240" w:lineRule="auto"/>
        <w:jc w:val="both"/>
        <w:rPr>
          <w:rFonts w:ascii="Times New Roman" w:hAnsi="Times New Roman"/>
          <w:i/>
          <w:noProof/>
          <w:sz w:val="23"/>
          <w:szCs w:val="23"/>
        </w:rPr>
      </w:pPr>
      <w:r>
        <w:rPr>
          <w:rFonts w:ascii="Times New Roman" w:hAnsi="Times New Roman"/>
          <w:i/>
          <w:noProof/>
          <w:sz w:val="23"/>
          <w:szCs w:val="23"/>
        </w:rPr>
        <w:t>Box 2: Self-consumption benefits for residential consumers</w:t>
      </w:r>
    </w:p>
    <w:p w:rsidR="007F60C7" w:rsidRDefault="00704701">
      <w:pPr>
        <w:pBdr>
          <w:top w:val="single" w:sz="4" w:space="1" w:color="auto"/>
          <w:left w:val="single" w:sz="4" w:space="1" w:color="auto"/>
          <w:bottom w:val="single" w:sz="4" w:space="1" w:color="auto"/>
          <w:right w:val="single" w:sz="4" w:space="1" w:color="auto"/>
        </w:pBdr>
        <w:autoSpaceDE w:val="0"/>
        <w:autoSpaceDN w:val="0"/>
        <w:adjustRightInd w:val="0"/>
        <w:spacing w:before="120" w:after="0" w:line="240" w:lineRule="auto"/>
        <w:jc w:val="both"/>
        <w:rPr>
          <w:rFonts w:ascii="Times New Roman" w:hAnsi="Times New Roman"/>
          <w:iCs/>
          <w:noProof/>
        </w:rPr>
      </w:pPr>
      <w:r>
        <w:rPr>
          <w:rFonts w:ascii="Times New Roman" w:hAnsi="Times New Roman"/>
          <w:iCs/>
          <w:noProof/>
        </w:rPr>
        <w:t>Considering a single family household with an annual consumption of 4,000 kWh, typically a 30% annual self-consumption rate can be obtained with a PV system with a capacity of 3.5 kWp, 3 kWp and 2.75 kWp, respectively in the North, Centre and South of Ital</w:t>
      </w:r>
      <w:r>
        <w:rPr>
          <w:rFonts w:ascii="Times New Roman" w:hAnsi="Times New Roman"/>
          <w:iCs/>
          <w:noProof/>
        </w:rPr>
        <w:t xml:space="preserve">y. Assuming a total installation cost of 2,200 €/KW + VAT of 10%, under the existing net metering scheme an household can save (for all cases) about €720 per year on its electricity bill, with a pay-back period of about 7-9 years, depending on the region. </w:t>
      </w:r>
      <w:r>
        <w:rPr>
          <w:rFonts w:ascii="Times New Roman" w:hAnsi="Times New Roman"/>
          <w:noProof/>
        </w:rPr>
        <w:t>In Germany, by installing a 4 kWp PV system, a typical four-person family household with an average annual electricity consumption of 3,600 kWh could save almost 680 € each year (~316 € from self-consuming 30% of the electricity produced onsite plus ~360 €</w:t>
      </w:r>
      <w:r>
        <w:rPr>
          <w:rFonts w:ascii="Times New Roman" w:hAnsi="Times New Roman"/>
          <w:noProof/>
        </w:rPr>
        <w:t xml:space="preserve"> in additional income from the selling of surplus electricity into the grid).</w:t>
      </w:r>
    </w:p>
    <w:p w:rsidR="007F60C7" w:rsidRDefault="00704701">
      <w:pPr>
        <w:pStyle w:val="Text1"/>
        <w:pBdr>
          <w:top w:val="single" w:sz="4" w:space="1" w:color="auto"/>
          <w:left w:val="single" w:sz="4" w:space="1" w:color="auto"/>
          <w:bottom w:val="single" w:sz="4" w:space="1" w:color="auto"/>
          <w:right w:val="single" w:sz="4" w:space="1" w:color="auto"/>
        </w:pBdr>
        <w:spacing w:before="120" w:after="0"/>
        <w:ind w:left="0"/>
        <w:jc w:val="center"/>
        <w:rPr>
          <w:rFonts w:eastAsia="SegoeUISemilight"/>
          <w:noProof/>
          <w:sz w:val="22"/>
          <w:szCs w:val="22"/>
        </w:rPr>
      </w:pPr>
      <w:r>
        <w:rPr>
          <w:i/>
          <w:noProof/>
          <w:sz w:val="22"/>
          <w:szCs w:val="22"/>
        </w:rPr>
        <w:t>Figure 2: Effects of electrical storage on direct self-consumption.</w:t>
      </w:r>
      <w:r>
        <w:rPr>
          <w:rFonts w:eastAsia="SegoeUISemilight"/>
          <w:i/>
          <w:noProof/>
          <w:sz w:val="22"/>
          <w:szCs w:val="22"/>
        </w:rPr>
        <w:t xml:space="preserve"> Source: Fronius, SMA 2015.</w:t>
      </w:r>
    </w:p>
    <w:p w:rsidR="007F60C7" w:rsidRDefault="00704701">
      <w:pPr>
        <w:pStyle w:val="Text1"/>
        <w:pBdr>
          <w:top w:val="single" w:sz="4" w:space="1" w:color="auto"/>
          <w:left w:val="single" w:sz="4" w:space="1" w:color="auto"/>
          <w:bottom w:val="single" w:sz="4" w:space="1" w:color="auto"/>
          <w:right w:val="single" w:sz="4" w:space="1" w:color="auto"/>
        </w:pBdr>
        <w:spacing w:after="0"/>
        <w:ind w:left="0"/>
        <w:jc w:val="center"/>
        <w:rPr>
          <w:rFonts w:eastAsia="SegoeUISemilight"/>
          <w:noProof/>
          <w:szCs w:val="24"/>
        </w:rPr>
      </w:pPr>
      <w:r>
        <w:rPr>
          <w:noProof/>
          <w:szCs w:val="24"/>
          <w:lang w:val="fr-BE" w:eastAsia="fr-BE"/>
        </w:rPr>
        <w:drawing>
          <wp:inline distT="0" distB="0" distL="0" distR="0">
            <wp:extent cx="3461853" cy="1997049"/>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506793" cy="2022974"/>
                    </a:xfrm>
                    <a:prstGeom prst="rect">
                      <a:avLst/>
                    </a:prstGeom>
                  </pic:spPr>
                </pic:pic>
              </a:graphicData>
            </a:graphic>
          </wp:inline>
        </w:drawing>
      </w:r>
    </w:p>
    <w:p w:rsidR="007F60C7" w:rsidRDefault="007F60C7">
      <w:pPr>
        <w:autoSpaceDE w:val="0"/>
        <w:autoSpaceDN w:val="0"/>
        <w:adjustRightInd w:val="0"/>
        <w:spacing w:after="0" w:line="240" w:lineRule="auto"/>
        <w:rPr>
          <w:rFonts w:ascii="TimesNewRoman" w:eastAsiaTheme="minorHAnsi" w:hAnsi="TimesNewRoman" w:cs="TimesNew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There is an important potential for renewable energy production in apartment bui</w:t>
      </w:r>
      <w:r>
        <w:rPr>
          <w:rFonts w:ascii="Times New Roman" w:hAnsi="Times New Roman"/>
          <w:noProof/>
          <w:sz w:val="24"/>
          <w:szCs w:val="24"/>
        </w:rPr>
        <w:t>ldings that can be realised if.self-consumption is allowed also at a multi-dwelling building level, and if cost-efficient procedures are in place for residual electricity needs. Furthermore, access to capital and/or financing is a key determinant of whethe</w:t>
      </w:r>
      <w:r>
        <w:rPr>
          <w:rFonts w:ascii="Times New Roman" w:hAnsi="Times New Roman"/>
          <w:noProof/>
          <w:sz w:val="24"/>
          <w:szCs w:val="24"/>
        </w:rPr>
        <w:t>r or not residential consumers can enjoy the benefits of self-consumption. Therefore, business models and financial instruments need to be developed to make self-consumption widely accessible to consumers from all income levels, including special programme</w:t>
      </w:r>
      <w:r>
        <w:rPr>
          <w:rFonts w:ascii="Times New Roman" w:hAnsi="Times New Roman"/>
          <w:noProof/>
          <w:sz w:val="24"/>
          <w:szCs w:val="24"/>
        </w:rPr>
        <w:t>s for vulnerable consumers.</w:t>
      </w:r>
    </w:p>
    <w:p w:rsidR="007F60C7" w:rsidRDefault="007F60C7">
      <w:pPr>
        <w:spacing w:after="0" w:line="240" w:lineRule="auto"/>
        <w:rPr>
          <w:rFonts w:ascii="Times New Roman" w:hAnsi="Times New Roman"/>
          <w:noProof/>
          <w:sz w:val="24"/>
          <w:szCs w:val="24"/>
        </w:rPr>
      </w:pPr>
    </w:p>
    <w:p w:rsidR="007F60C7" w:rsidRDefault="00704701">
      <w:pPr>
        <w:autoSpaceDE w:val="0"/>
        <w:autoSpaceDN w:val="0"/>
        <w:adjustRightInd w:val="0"/>
        <w:spacing w:after="0" w:line="240" w:lineRule="auto"/>
        <w:jc w:val="both"/>
        <w:rPr>
          <w:rFonts w:ascii="TimesNewRoman" w:eastAsiaTheme="minorHAnsi" w:hAnsi="TimesNewRoman" w:cs="TimesNewRoman"/>
          <w:b/>
          <w:noProof/>
          <w:szCs w:val="24"/>
        </w:rPr>
      </w:pPr>
      <w:r>
        <w:rPr>
          <w:rFonts w:ascii="TimesNewRoman" w:eastAsiaTheme="minorHAnsi" w:hAnsi="TimesNewRoman" w:cs="TimesNewRoman"/>
          <w:noProof/>
          <w:sz w:val="24"/>
          <w:szCs w:val="24"/>
        </w:rPr>
        <w:t xml:space="preserve">Furthermore, it should be highlighted that complex and burdensome administrative and authorisation procedures still represent an important barrier for the competiveness of small-scale self-consumption projects. On-line </w:t>
      </w:r>
      <w:r>
        <w:rPr>
          <w:rFonts w:ascii="TimesNewRoman" w:eastAsiaTheme="minorHAnsi" w:hAnsi="TimesNewRoman" w:cs="TimesNewRoman"/>
          <w:noProof/>
          <w:sz w:val="24"/>
          <w:szCs w:val="24"/>
        </w:rPr>
        <w:t xml:space="preserve">information platforms and applications are so far used in only a few Member States (e.g. Portugal, Hungary, Italy and Sweden). While several </w:t>
      </w:r>
      <w:r>
        <w:rPr>
          <w:rFonts w:ascii="TimesNewRoman" w:eastAsiaTheme="minorHAnsi" w:hAnsi="TimesNewRoman" w:cs="TimesNewRoman"/>
          <w:noProof/>
          <w:sz w:val="24"/>
          <w:szCs w:val="24"/>
        </w:rPr>
        <w:lastRenderedPageBreak/>
        <w:t xml:space="preserve">Member States have introduced facilitated notification procedures for small renewable energy installations such as </w:t>
      </w:r>
      <w:r>
        <w:rPr>
          <w:rFonts w:ascii="TimesNewRoman" w:eastAsiaTheme="minorHAnsi" w:hAnsi="TimesNewRoman" w:cs="TimesNewRoman"/>
          <w:noProof/>
          <w:sz w:val="24"/>
          <w:szCs w:val="24"/>
        </w:rPr>
        <w:t>roof-top PV installations</w:t>
      </w:r>
      <w:r>
        <w:rPr>
          <w:rStyle w:val="FootnoteReference"/>
          <w:rFonts w:ascii="TimesNewRoman" w:eastAsiaTheme="minorHAnsi" w:hAnsi="TimesNewRoman" w:cs="TimesNewRoman"/>
          <w:noProof/>
          <w:sz w:val="24"/>
          <w:szCs w:val="24"/>
        </w:rPr>
        <w:footnoteReference w:id="10"/>
      </w:r>
      <w:r>
        <w:rPr>
          <w:rFonts w:ascii="TimesNewRoman" w:eastAsiaTheme="minorHAnsi" w:hAnsi="TimesNewRoman" w:cs="TimesNewRoman"/>
          <w:noProof/>
          <w:sz w:val="24"/>
          <w:szCs w:val="24"/>
        </w:rPr>
        <w:t>, additional national action is required.</w:t>
      </w:r>
    </w:p>
    <w:p w:rsidR="007F60C7" w:rsidRDefault="007F60C7">
      <w:pPr>
        <w:pStyle w:val="Heading1"/>
        <w:numPr>
          <w:ilvl w:val="0"/>
          <w:numId w:val="0"/>
        </w:numPr>
        <w:spacing w:before="0" w:after="0"/>
        <w:rPr>
          <w:noProof/>
          <w:szCs w:val="24"/>
        </w:rPr>
      </w:pPr>
    </w:p>
    <w:p w:rsidR="007F60C7" w:rsidRDefault="00704701">
      <w:pPr>
        <w:pStyle w:val="Heading1"/>
        <w:numPr>
          <w:ilvl w:val="0"/>
          <w:numId w:val="0"/>
        </w:numPr>
        <w:spacing w:before="0" w:after="0"/>
        <w:rPr>
          <w:smallCaps w:val="0"/>
          <w:noProof/>
          <w:szCs w:val="24"/>
        </w:rPr>
      </w:pPr>
      <w:r>
        <w:rPr>
          <w:noProof/>
          <w:szCs w:val="24"/>
        </w:rPr>
        <w:t>3.</w:t>
      </w:r>
      <w:r>
        <w:rPr>
          <w:b w:val="0"/>
          <w:smallCaps w:val="0"/>
          <w:noProof/>
          <w:szCs w:val="24"/>
        </w:rPr>
        <w:tab/>
      </w:r>
      <w:r>
        <w:rPr>
          <w:noProof/>
          <w:szCs w:val="24"/>
        </w:rPr>
        <w:t>Self-consumption – a driver for flexibility</w:t>
      </w:r>
    </w:p>
    <w:p w:rsidR="007F60C7" w:rsidRDefault="007F60C7">
      <w:pPr>
        <w:pStyle w:val="Text1"/>
        <w:spacing w:after="0"/>
        <w:ind w:left="0"/>
        <w:rPr>
          <w:b/>
          <w:noProof/>
          <w:szCs w:val="24"/>
        </w:rPr>
      </w:pPr>
    </w:p>
    <w:p w:rsidR="007F60C7" w:rsidRDefault="00704701">
      <w:pPr>
        <w:spacing w:after="0" w:line="240" w:lineRule="auto"/>
        <w:jc w:val="both"/>
        <w:rPr>
          <w:rFonts w:ascii="Times New Roman" w:eastAsiaTheme="minorHAnsi" w:hAnsi="Times New Roman"/>
          <w:noProof/>
          <w:sz w:val="24"/>
          <w:szCs w:val="24"/>
        </w:rPr>
      </w:pPr>
      <w:r>
        <w:rPr>
          <w:rFonts w:ascii="Times New Roman" w:hAnsi="Times New Roman"/>
          <w:noProof/>
          <w:sz w:val="24"/>
          <w:szCs w:val="24"/>
        </w:rPr>
        <w:t>As explained above, consumers have an interest in maximising the rate of energy self-consumption in order to increase their energy savings and reduce their exposure to electricity prices . In the context of a smart grid environment, self-consumption has th</w:t>
      </w:r>
      <w:r>
        <w:rPr>
          <w:rFonts w:ascii="Times New Roman" w:hAnsi="Times New Roman"/>
          <w:noProof/>
          <w:sz w:val="24"/>
          <w:szCs w:val="24"/>
        </w:rPr>
        <w:t xml:space="preserve">erefore the potential to drive consumers' uptake of flexibility measures, </w:t>
      </w:r>
      <w:r>
        <w:rPr>
          <w:rFonts w:ascii="Times New Roman" w:eastAsiaTheme="minorHAnsi" w:hAnsi="Times New Roman"/>
          <w:noProof/>
          <w:sz w:val="24"/>
          <w:szCs w:val="24"/>
        </w:rPr>
        <w:t xml:space="preserve">while at the same time </w:t>
      </w:r>
      <w:r>
        <w:rPr>
          <w:rFonts w:ascii="Times New Roman" w:hAnsi="Times New Roman"/>
          <w:noProof/>
          <w:sz w:val="24"/>
          <w:szCs w:val="24"/>
        </w:rPr>
        <w:t>help facilitating the system integration of variable renewable energy</w:t>
      </w:r>
      <w:r>
        <w:rPr>
          <w:rStyle w:val="FootnoteReference"/>
          <w:rFonts w:ascii="Times New Roman" w:hAnsi="Times New Roman"/>
          <w:noProof/>
          <w:sz w:val="24"/>
          <w:szCs w:val="24"/>
        </w:rPr>
        <w:footnoteReference w:id="11"/>
      </w:r>
      <w:r>
        <w:rPr>
          <w:rFonts w:ascii="Times New Roman" w:hAnsi="Times New Roman"/>
          <w:noProof/>
          <w:sz w:val="24"/>
          <w:szCs w:val="24"/>
        </w:rPr>
        <w:t xml:space="preserve">. </w:t>
      </w:r>
      <w:r>
        <w:rPr>
          <w:rFonts w:ascii="Times New Roman" w:eastAsiaTheme="minorHAnsi" w:hAnsi="Times New Roman"/>
          <w:noProof/>
          <w:sz w:val="24"/>
          <w:szCs w:val="24"/>
        </w:rPr>
        <w:t>Flexibility can be realized through two main set of measures: a) demand-side response a</w:t>
      </w:r>
      <w:r>
        <w:rPr>
          <w:rFonts w:ascii="Times New Roman" w:eastAsiaTheme="minorHAnsi" w:hAnsi="Times New Roman"/>
          <w:noProof/>
          <w:sz w:val="24"/>
          <w:szCs w:val="24"/>
        </w:rPr>
        <w:t xml:space="preserve">nd b) energy storage, including </w:t>
      </w:r>
      <w:r>
        <w:rPr>
          <w:rFonts w:ascii="Times New Roman" w:hAnsi="Times New Roman"/>
          <w:noProof/>
          <w:sz w:val="24"/>
          <w:szCs w:val="24"/>
        </w:rPr>
        <w:t xml:space="preserve">thermal and </w:t>
      </w:r>
      <w:r>
        <w:rPr>
          <w:rFonts w:ascii="Times New Roman" w:eastAsiaTheme="minorHAnsi" w:hAnsi="Times New Roman"/>
          <w:noProof/>
          <w:sz w:val="24"/>
          <w:szCs w:val="24"/>
        </w:rPr>
        <w:t xml:space="preserve">electricity </w:t>
      </w:r>
      <w:r>
        <w:rPr>
          <w:rFonts w:ascii="Times New Roman" w:hAnsi="Times New Roman"/>
          <w:noProof/>
          <w:sz w:val="24"/>
          <w:szCs w:val="24"/>
        </w:rPr>
        <w:t>storage (</w:t>
      </w:r>
      <w:r>
        <w:rPr>
          <w:rFonts w:ascii="Times New Roman" w:eastAsiaTheme="minorHAnsi" w:hAnsi="Times New Roman"/>
          <w:noProof/>
          <w:sz w:val="24"/>
          <w:szCs w:val="24"/>
        </w:rPr>
        <w:t>see Figure 2).</w:t>
      </w:r>
    </w:p>
    <w:p w:rsidR="007F60C7" w:rsidRDefault="007F60C7">
      <w:pPr>
        <w:spacing w:after="0" w:line="240" w:lineRule="auto"/>
        <w:jc w:val="both"/>
        <w:rPr>
          <w:rFonts w:ascii="Times New Roman" w:eastAsiaTheme="minorHAnsi" w:hAnsi="Times New Roman"/>
          <w:noProof/>
          <w:sz w:val="24"/>
          <w:szCs w:val="24"/>
        </w:rPr>
      </w:pPr>
    </w:p>
    <w:p w:rsidR="007F60C7" w:rsidRDefault="00704701">
      <w:pPr>
        <w:pStyle w:val="PlainText"/>
        <w:jc w:val="both"/>
        <w:rPr>
          <w:rFonts w:ascii="Times New Roman" w:eastAsiaTheme="minorHAnsi" w:hAnsi="Times New Roman"/>
          <w:b/>
          <w:noProof/>
          <w:sz w:val="24"/>
          <w:szCs w:val="24"/>
        </w:rPr>
      </w:pPr>
      <w:r>
        <w:rPr>
          <w:rFonts w:ascii="Times New Roman" w:eastAsiaTheme="minorHAnsi" w:hAnsi="Times New Roman"/>
          <w:b/>
          <w:i/>
          <w:noProof/>
          <w:sz w:val="24"/>
          <w:szCs w:val="24"/>
        </w:rPr>
        <w:t xml:space="preserve">Demand-side response </w:t>
      </w:r>
    </w:p>
    <w:p w:rsidR="007F60C7" w:rsidRDefault="007F60C7">
      <w:pPr>
        <w:pStyle w:val="PlainText"/>
        <w:jc w:val="both"/>
        <w:rPr>
          <w:rFonts w:ascii="Times New Roman" w:eastAsiaTheme="minorHAnsi" w:hAnsi="Times New Roman"/>
          <w:noProof/>
          <w:sz w:val="24"/>
          <w:szCs w:val="24"/>
        </w:rPr>
      </w:pPr>
    </w:p>
    <w:p w:rsidR="007F60C7" w:rsidRDefault="00704701">
      <w:pPr>
        <w:pStyle w:val="PlainText"/>
        <w:jc w:val="both"/>
        <w:rPr>
          <w:rFonts w:ascii="Times New Roman" w:hAnsi="Times New Roman"/>
          <w:noProof/>
          <w:sz w:val="24"/>
          <w:szCs w:val="24"/>
        </w:rPr>
      </w:pPr>
      <w:r>
        <w:rPr>
          <w:rFonts w:ascii="Times New Roman" w:eastAsiaTheme="minorHAnsi" w:hAnsi="Times New Roman"/>
          <w:noProof/>
          <w:sz w:val="24"/>
          <w:szCs w:val="24"/>
        </w:rPr>
        <w:t xml:space="preserve">Demand-side response can be applied to distribute a part of a consumer's energy demand to hours of onsite renewable energy generation so as to increase the self-consumption rate, while also avoiding demand peaks. </w:t>
      </w:r>
      <w:r>
        <w:rPr>
          <w:rFonts w:ascii="Times New Roman" w:hAnsi="Times New Roman"/>
          <w:noProof/>
          <w:sz w:val="24"/>
          <w:szCs w:val="24"/>
        </w:rPr>
        <w:t>A common application of DSR in commercial b</w:t>
      </w:r>
      <w:r>
        <w:rPr>
          <w:rFonts w:ascii="Times New Roman" w:hAnsi="Times New Roman"/>
          <w:noProof/>
          <w:sz w:val="24"/>
          <w:szCs w:val="24"/>
        </w:rPr>
        <w:t>uildings is the installation of smart thermostats that regulate electricity demand to avoid high peaks.</w:t>
      </w:r>
      <w:r>
        <w:rPr>
          <w:rFonts w:ascii="Times New Roman" w:eastAsiaTheme="minorHAnsi" w:hAnsi="Times New Roman"/>
          <w:noProof/>
          <w:sz w:val="24"/>
          <w:szCs w:val="24"/>
        </w:rPr>
        <w:t xml:space="preserve"> </w:t>
      </w:r>
      <w:r>
        <w:rPr>
          <w:rFonts w:ascii="Times New Roman" w:hAnsi="Times New Roman"/>
          <w:noProof/>
          <w:sz w:val="24"/>
          <w:szCs w:val="24"/>
        </w:rPr>
        <w:t xml:space="preserve">In some cases, it might not even be necessary to install any device, since the re-arranging of energy-intensive processes from the evening/night to day </w:t>
      </w:r>
      <w:r>
        <w:rPr>
          <w:rFonts w:ascii="Times New Roman" w:hAnsi="Times New Roman"/>
          <w:noProof/>
          <w:sz w:val="24"/>
          <w:szCs w:val="24"/>
        </w:rPr>
        <w:t>hours might be sufficient to distribute energy consumption to better match onsite renewable generation.</w:t>
      </w:r>
    </w:p>
    <w:p w:rsidR="007F60C7" w:rsidRDefault="007F60C7">
      <w:pPr>
        <w:spacing w:after="0" w:line="240" w:lineRule="auto"/>
        <w:jc w:val="both"/>
        <w:rPr>
          <w:rFonts w:ascii="Times New Roman" w:eastAsiaTheme="minorHAnsi" w:hAnsi="Times New Roman"/>
          <w:noProof/>
          <w:sz w:val="24"/>
          <w:szCs w:val="24"/>
        </w:rPr>
      </w:pPr>
    </w:p>
    <w:p w:rsidR="007F60C7" w:rsidRDefault="00704701">
      <w:pPr>
        <w:spacing w:after="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Demand-side response i</w:t>
      </w:r>
      <w:r>
        <w:rPr>
          <w:rFonts w:ascii="Times New Roman" w:hAnsi="Times New Roman"/>
          <w:noProof/>
          <w:sz w:val="24"/>
          <w:szCs w:val="24"/>
        </w:rPr>
        <w:t xml:space="preserve">n households can involve the use of smart appliances </w:t>
      </w:r>
      <w:r>
        <w:rPr>
          <w:rFonts w:ascii="Times New Roman" w:eastAsiaTheme="minorHAnsi" w:hAnsi="Times New Roman"/>
          <w:noProof/>
          <w:sz w:val="24"/>
          <w:szCs w:val="24"/>
        </w:rPr>
        <w:t xml:space="preserve">(e.g. washing machine, </w:t>
      </w:r>
      <w:r>
        <w:rPr>
          <w:rFonts w:ascii="Times New Roman" w:hAnsi="Times New Roman"/>
          <w:noProof/>
          <w:sz w:val="24"/>
          <w:szCs w:val="24"/>
        </w:rPr>
        <w:t>tumble</w:t>
      </w:r>
      <w:r>
        <w:rPr>
          <w:rFonts w:ascii="Times New Roman" w:eastAsiaTheme="minorHAnsi" w:hAnsi="Times New Roman"/>
          <w:noProof/>
          <w:sz w:val="24"/>
          <w:szCs w:val="24"/>
        </w:rPr>
        <w:t xml:space="preserve"> dryers, dishwasher, refrigerator etc.). It is </w:t>
      </w:r>
      <w:r>
        <w:rPr>
          <w:rFonts w:ascii="Times New Roman" w:eastAsiaTheme="minorHAnsi" w:hAnsi="Times New Roman"/>
          <w:noProof/>
          <w:sz w:val="24"/>
          <w:szCs w:val="24"/>
        </w:rPr>
        <w:t>estimated that the volume of controllable smart appliances in the EU by 2025 will be at least 60 GW – shifting this load from peak times to other periods can reduce peak-generation needs in the EU by about 10%</w:t>
      </w:r>
      <w:r>
        <w:rPr>
          <w:rStyle w:val="FootnoteReference"/>
          <w:rFonts w:ascii="Times New Roman" w:eastAsiaTheme="minorHAnsi" w:hAnsi="Times New Roman"/>
          <w:noProof/>
          <w:sz w:val="24"/>
          <w:szCs w:val="24"/>
        </w:rPr>
        <w:footnoteReference w:id="12"/>
      </w:r>
      <w:r>
        <w:rPr>
          <w:rFonts w:ascii="Times New Roman" w:eastAsiaTheme="minorHAnsi" w:hAnsi="Times New Roman"/>
          <w:noProof/>
          <w:sz w:val="24"/>
          <w:szCs w:val="24"/>
        </w:rPr>
        <w:t xml:space="preserve">. Research has found that an effective use of </w:t>
      </w:r>
      <w:r>
        <w:rPr>
          <w:rFonts w:ascii="Times New Roman" w:eastAsiaTheme="minorHAnsi" w:hAnsi="Times New Roman"/>
          <w:noProof/>
          <w:sz w:val="24"/>
          <w:szCs w:val="24"/>
        </w:rPr>
        <w:t>demand-side response may yield annual savings in the order of €60-80 billion by 2030</w:t>
      </w:r>
      <w:r>
        <w:rPr>
          <w:rStyle w:val="FootnoteReference"/>
          <w:rFonts w:ascii="Times New Roman" w:eastAsiaTheme="minorHAnsi" w:hAnsi="Times New Roman"/>
          <w:noProof/>
          <w:sz w:val="24"/>
          <w:szCs w:val="24"/>
        </w:rPr>
        <w:footnoteReference w:id="13"/>
      </w:r>
      <w:r>
        <w:rPr>
          <w:rFonts w:ascii="Times New Roman" w:eastAsiaTheme="minorHAnsi" w:hAnsi="Times New Roman"/>
          <w:noProof/>
          <w:sz w:val="24"/>
          <w:szCs w:val="24"/>
        </w:rPr>
        <w:t>. However, multiple factors condition the ability of households to participate actively in demand-side response markets</w:t>
      </w:r>
      <w:r>
        <w:rPr>
          <w:rStyle w:val="FootnoteReference"/>
          <w:rFonts w:ascii="Times New Roman" w:eastAsiaTheme="minorHAnsi" w:hAnsi="Times New Roman"/>
          <w:noProof/>
          <w:sz w:val="24"/>
          <w:szCs w:val="24"/>
        </w:rPr>
        <w:footnoteReference w:id="14"/>
      </w:r>
      <w:r>
        <w:rPr>
          <w:rFonts w:ascii="Times New Roman" w:eastAsiaTheme="minorHAnsi" w:hAnsi="Times New Roman"/>
          <w:noProof/>
          <w:sz w:val="24"/>
          <w:szCs w:val="24"/>
        </w:rPr>
        <w:t xml:space="preserve">. </w:t>
      </w:r>
    </w:p>
    <w:p w:rsidR="007F60C7" w:rsidRDefault="007F60C7">
      <w:pPr>
        <w:spacing w:after="0" w:line="240" w:lineRule="auto"/>
        <w:jc w:val="both"/>
        <w:rPr>
          <w:rFonts w:ascii="Times New Roman" w:eastAsiaTheme="minorHAnsi" w:hAnsi="Times New Roman"/>
          <w:noProof/>
          <w:sz w:val="24"/>
          <w:szCs w:val="24"/>
        </w:rPr>
      </w:pPr>
    </w:p>
    <w:p w:rsidR="007F60C7" w:rsidRDefault="00704701">
      <w:pPr>
        <w:spacing w:after="0" w:line="240" w:lineRule="auto"/>
        <w:jc w:val="both"/>
        <w:rPr>
          <w:rFonts w:ascii="Times New Roman" w:eastAsiaTheme="minorHAnsi" w:hAnsi="Times New Roman"/>
          <w:noProof/>
          <w:sz w:val="24"/>
          <w:szCs w:val="24"/>
        </w:rPr>
      </w:pPr>
      <w:r>
        <w:rPr>
          <w:rFonts w:ascii="Times New Roman" w:eastAsiaTheme="minorHAnsi" w:hAnsi="Times New Roman"/>
          <w:noProof/>
          <w:sz w:val="24"/>
          <w:szCs w:val="24"/>
        </w:rPr>
        <w:t>Functioning electricity wholesale and retail ma</w:t>
      </w:r>
      <w:r>
        <w:rPr>
          <w:rFonts w:ascii="Times New Roman" w:eastAsiaTheme="minorHAnsi" w:hAnsi="Times New Roman"/>
          <w:noProof/>
          <w:sz w:val="24"/>
          <w:szCs w:val="24"/>
        </w:rPr>
        <w:t xml:space="preserve">rkets will incentivize demand-side response  via the price signals, as </w:t>
      </w:r>
      <w:r>
        <w:rPr>
          <w:rFonts w:ascii="Times New Roman" w:hAnsi="Times New Roman"/>
          <w:noProof/>
          <w:sz w:val="24"/>
          <w:szCs w:val="24"/>
        </w:rPr>
        <w:t>prices</w:t>
      </w:r>
      <w:r>
        <w:rPr>
          <w:rFonts w:ascii="Times New Roman" w:eastAsiaTheme="minorHAnsi" w:hAnsi="Times New Roman"/>
          <w:noProof/>
          <w:sz w:val="24"/>
          <w:szCs w:val="24"/>
        </w:rPr>
        <w:t xml:space="preserve"> will be low in periods of abundant generation and high in periods with high demand and limited supply. Automated load shifting through demand-side response measures could be enab</w:t>
      </w:r>
      <w:r>
        <w:rPr>
          <w:rFonts w:ascii="Times New Roman" w:eastAsiaTheme="minorHAnsi" w:hAnsi="Times New Roman"/>
          <w:noProof/>
          <w:sz w:val="24"/>
          <w:szCs w:val="24"/>
        </w:rPr>
        <w:t>led through home energy management infrastructure (e.g. gateways/smart energy boxes, that can coordinate supply and -ready home equipment for demand-side response using a smart meter</w:t>
      </w:r>
      <w:r>
        <w:rPr>
          <w:rStyle w:val="FootnoteReference"/>
          <w:rFonts w:ascii="Times New Roman" w:eastAsiaTheme="minorHAnsi" w:hAnsi="Times New Roman"/>
          <w:noProof/>
          <w:sz w:val="24"/>
          <w:szCs w:val="24"/>
        </w:rPr>
        <w:footnoteReference w:id="15"/>
      </w:r>
      <w:r>
        <w:rPr>
          <w:rFonts w:ascii="Times New Roman" w:eastAsiaTheme="minorHAnsi" w:hAnsi="Times New Roman"/>
          <w:noProof/>
          <w:sz w:val="24"/>
          <w:szCs w:val="24"/>
        </w:rPr>
        <w:t>). Consumers self-generating renewable energy should therefore not only b</w:t>
      </w:r>
      <w:r>
        <w:rPr>
          <w:rFonts w:ascii="Times New Roman" w:eastAsiaTheme="minorHAnsi" w:hAnsi="Times New Roman"/>
          <w:noProof/>
          <w:sz w:val="24"/>
          <w:szCs w:val="24"/>
        </w:rPr>
        <w:t xml:space="preserve">e enabled and encouraged to adapt their consumption to the availability of their electricity production but also to offer flexibility to the wider energy system, including through aggregators. </w:t>
      </w:r>
    </w:p>
    <w:p w:rsidR="007F60C7" w:rsidRDefault="007F60C7">
      <w:pPr>
        <w:rPr>
          <w:rFonts w:ascii="Times New Roman" w:hAnsi="Times New Roman"/>
          <w:b/>
          <w:i/>
          <w:noProof/>
          <w:sz w:val="24"/>
          <w:szCs w:val="24"/>
        </w:rPr>
      </w:pPr>
    </w:p>
    <w:p w:rsidR="007F60C7" w:rsidRDefault="00704701">
      <w:pPr>
        <w:rPr>
          <w:rFonts w:ascii="Times New Roman" w:hAnsi="Times New Roman"/>
          <w:b/>
          <w:i/>
          <w:noProof/>
          <w:sz w:val="24"/>
          <w:szCs w:val="24"/>
        </w:rPr>
      </w:pPr>
      <w:r>
        <w:rPr>
          <w:rFonts w:ascii="Times New Roman" w:hAnsi="Times New Roman"/>
          <w:b/>
          <w:i/>
          <w:noProof/>
          <w:sz w:val="24"/>
          <w:szCs w:val="24"/>
        </w:rPr>
        <w:lastRenderedPageBreak/>
        <w:t>Energy storage</w:t>
      </w: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 xml:space="preserve">Energy storage </w:t>
      </w:r>
      <w:r>
        <w:rPr>
          <w:rFonts w:ascii="Times New Roman" w:eastAsia="HelveticaNeueLTStd-Lt" w:hAnsi="Times New Roman"/>
          <w:noProof/>
          <w:sz w:val="24"/>
          <w:szCs w:val="24"/>
        </w:rPr>
        <w:t>installed by consumers helps st</w:t>
      </w:r>
      <w:r>
        <w:rPr>
          <w:rFonts w:ascii="Times New Roman" w:eastAsia="HelveticaNeueLTStd-Lt" w:hAnsi="Times New Roman"/>
          <w:noProof/>
          <w:sz w:val="24"/>
          <w:szCs w:val="24"/>
        </w:rPr>
        <w:t>oring excess onsite renewable generation in period of low demand (e.g. when residential consumers are not at home) for use in periods when energy demand is high and renewable production is low (e.g. peak-time in the morning and in the evening). Thus, stora</w:t>
      </w:r>
      <w:r>
        <w:rPr>
          <w:rFonts w:ascii="Times New Roman" w:eastAsia="HelveticaNeueLTStd-Lt" w:hAnsi="Times New Roman"/>
          <w:noProof/>
          <w:sz w:val="24"/>
          <w:szCs w:val="24"/>
        </w:rPr>
        <w:t xml:space="preserve">ge </w:t>
      </w:r>
      <w:r>
        <w:rPr>
          <w:rFonts w:ascii="Times New Roman" w:hAnsi="Times New Roman"/>
          <w:noProof/>
          <w:sz w:val="24"/>
          <w:szCs w:val="24"/>
        </w:rPr>
        <w:t>can enable consumers to capture and utilize the electricity generated by their renewable energy systems more effectively by decoupling time of generation and consumption</w:t>
      </w:r>
      <w:r>
        <w:rPr>
          <w:rFonts w:ascii="Times New Roman" w:eastAsia="HelveticaNeueLTStd-Lt" w:hAnsi="Times New Roman"/>
          <w:noProof/>
          <w:sz w:val="24"/>
          <w:szCs w:val="24"/>
        </w:rPr>
        <w:t xml:space="preserve">, while also supporting the grid, e.g. </w:t>
      </w:r>
      <w:r>
        <w:rPr>
          <w:rFonts w:ascii="Times New Roman" w:hAnsi="Times New Roman"/>
          <w:noProof/>
          <w:sz w:val="24"/>
          <w:szCs w:val="24"/>
        </w:rPr>
        <w:t>by reducing local voltage fluctuations as wel</w:t>
      </w:r>
      <w:r>
        <w:rPr>
          <w:rFonts w:ascii="Times New Roman" w:hAnsi="Times New Roman"/>
          <w:noProof/>
          <w:sz w:val="24"/>
          <w:szCs w:val="24"/>
        </w:rPr>
        <w:t xml:space="preserve">l as congestion problems. </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eastAsiaTheme="minorHAnsi" w:hAnsi="Times New Roman"/>
          <w:noProof/>
          <w:sz w:val="24"/>
          <w:szCs w:val="24"/>
        </w:rPr>
      </w:pPr>
      <w:r>
        <w:rPr>
          <w:rFonts w:ascii="Times New Roman" w:hAnsi="Times New Roman"/>
          <w:noProof/>
          <w:sz w:val="24"/>
          <w:szCs w:val="24"/>
        </w:rPr>
        <w:t xml:space="preserve">Energy storage includes </w:t>
      </w:r>
      <w:r>
        <w:rPr>
          <w:rFonts w:ascii="Times New Roman" w:eastAsia="HelveticaNeueLTStd-Lt" w:hAnsi="Times New Roman"/>
          <w:noProof/>
          <w:sz w:val="24"/>
          <w:szCs w:val="24"/>
        </w:rPr>
        <w:t>power-to-heat systems such as hot water boilers or more efficient heat pumps that</w:t>
      </w:r>
      <w:r>
        <w:rPr>
          <w:rFonts w:ascii="Times New Roman" w:hAnsi="Times New Roman"/>
          <w:noProof/>
          <w:sz w:val="24"/>
          <w:szCs w:val="24"/>
        </w:rPr>
        <w:t xml:space="preserve"> can cost-effectively convert excess electricity to heat (normally by heating water) to be stored for later use. </w:t>
      </w:r>
      <w:r>
        <w:rPr>
          <w:rFonts w:ascii="Times New Roman" w:eastAsiaTheme="minorHAnsi" w:hAnsi="Times New Roman"/>
          <w:noProof/>
          <w:sz w:val="24"/>
          <w:szCs w:val="24"/>
        </w:rPr>
        <w:t>The potent</w:t>
      </w:r>
      <w:r>
        <w:rPr>
          <w:rFonts w:ascii="Times New Roman" w:eastAsiaTheme="minorHAnsi" w:hAnsi="Times New Roman"/>
          <w:noProof/>
          <w:sz w:val="24"/>
          <w:szCs w:val="24"/>
        </w:rPr>
        <w:t>ial for power-to-heat solutions is potentially significant. If the EU Member States replaced the current installed base of night storage heaters, this could provide 55 GW of controllable demand by 2050 (18 GW for hot water and 37 GW for retrofitting all tr</w:t>
      </w:r>
      <w:r>
        <w:rPr>
          <w:rFonts w:ascii="Times New Roman" w:eastAsiaTheme="minorHAnsi" w:hAnsi="Times New Roman"/>
          <w:noProof/>
          <w:sz w:val="24"/>
          <w:szCs w:val="24"/>
        </w:rPr>
        <w:t>aditional Night Storage Heaters)</w:t>
      </w:r>
      <w:r>
        <w:rPr>
          <w:rStyle w:val="FootnoteReference"/>
          <w:rFonts w:ascii="Times New Roman" w:hAnsi="Times New Roman"/>
          <w:noProof/>
          <w:sz w:val="24"/>
          <w:szCs w:val="24"/>
        </w:rPr>
        <w:footnoteReference w:id="16"/>
      </w:r>
      <w:r>
        <w:rPr>
          <w:rFonts w:ascii="Times New Roman" w:eastAsiaTheme="minorHAnsi" w:hAnsi="Times New Roman"/>
          <w:noProof/>
          <w:sz w:val="24"/>
          <w:szCs w:val="24"/>
        </w:rPr>
        <w:t>. This can be compared to the current storage capacity of 51 GW in the EU, which is mainly provided by pumped hydro systems.</w:t>
      </w:r>
    </w:p>
    <w:p w:rsidR="007F60C7" w:rsidRDefault="007F60C7">
      <w:pPr>
        <w:spacing w:after="0" w:line="240" w:lineRule="auto"/>
        <w:jc w:val="both"/>
        <w:rPr>
          <w:rFonts w:ascii="Times New Roman" w:hAnsi="Times New Roman"/>
          <w:noProof/>
          <w:sz w:val="24"/>
          <w:szCs w:val="24"/>
        </w:rPr>
      </w:pPr>
    </w:p>
    <w:p w:rsidR="007F60C7" w:rsidRDefault="00704701">
      <w:pPr>
        <w:pStyle w:val="PlainText"/>
        <w:jc w:val="both"/>
        <w:rPr>
          <w:rFonts w:ascii="Times New Roman" w:eastAsiaTheme="minorHAnsi" w:hAnsi="Times New Roman"/>
          <w:noProof/>
          <w:sz w:val="24"/>
          <w:szCs w:val="24"/>
        </w:rPr>
      </w:pPr>
      <w:r>
        <w:rPr>
          <w:rFonts w:ascii="Times New Roman" w:hAnsi="Times New Roman"/>
          <w:noProof/>
          <w:sz w:val="24"/>
          <w:szCs w:val="24"/>
        </w:rPr>
        <w:t>Stationary batteries represent another increasingly common storage option. For instance, t</w:t>
      </w:r>
      <w:r>
        <w:rPr>
          <w:rFonts w:ascii="Times New Roman" w:eastAsiaTheme="minorHAnsi" w:hAnsi="Times New Roman"/>
          <w:noProof/>
          <w:sz w:val="24"/>
          <w:szCs w:val="24"/>
        </w:rPr>
        <w:t>he inte</w:t>
      </w:r>
      <w:r>
        <w:rPr>
          <w:rFonts w:ascii="Times New Roman" w:eastAsiaTheme="minorHAnsi" w:hAnsi="Times New Roman"/>
          <w:noProof/>
          <w:sz w:val="24"/>
          <w:szCs w:val="24"/>
        </w:rPr>
        <w:t>gration of a family-size PV system with a battery with a peak capacity of 1.5 kWp and two hours of storage capacity (3 kWh) can increase the self-consumption rate from 30% to 45%</w:t>
      </w:r>
      <w:r>
        <w:rPr>
          <w:rFonts w:ascii="Times New Roman" w:hAnsi="Times New Roman"/>
          <w:noProof/>
          <w:sz w:val="24"/>
          <w:szCs w:val="24"/>
        </w:rPr>
        <w:t xml:space="preserve"> and even 75%, depending on the demand profile. As a result of technology deve</w:t>
      </w:r>
      <w:r>
        <w:rPr>
          <w:rFonts w:ascii="Times New Roman" w:hAnsi="Times New Roman"/>
          <w:noProof/>
          <w:sz w:val="24"/>
          <w:szCs w:val="24"/>
        </w:rPr>
        <w:t>lopment and economies of scale, battery costs have declined significantly in recent years (down by 50% since 2011), and an additional reduction by 50% or more is projected by 2020</w:t>
      </w:r>
      <w:r>
        <w:rPr>
          <w:rStyle w:val="FootnoteReference"/>
          <w:rFonts w:ascii="Times New Roman" w:eastAsia="HelveticaNeueLTStd-Lt" w:hAnsi="Times New Roman"/>
          <w:noProof/>
          <w:sz w:val="24"/>
          <w:szCs w:val="24"/>
        </w:rPr>
        <w:footnoteReference w:id="17"/>
      </w:r>
      <w:r>
        <w:rPr>
          <w:rFonts w:ascii="Times New Roman" w:hAnsi="Times New Roman"/>
          <w:noProof/>
          <w:sz w:val="24"/>
          <w:szCs w:val="24"/>
        </w:rPr>
        <w:t xml:space="preserve">. Decentralized electricity storage can be also provided by the increasing </w:t>
      </w:r>
      <w:r>
        <w:rPr>
          <w:rFonts w:ascii="Times New Roman" w:hAnsi="Times New Roman"/>
          <w:noProof/>
          <w:sz w:val="24"/>
          <w:szCs w:val="24"/>
        </w:rPr>
        <w:t>penetration of electric vehicles (EVs) and plug-in hybrids</w:t>
      </w:r>
      <w:r>
        <w:rPr>
          <w:rStyle w:val="FootnoteReference"/>
          <w:rFonts w:ascii="Times New Roman" w:hAnsi="Times New Roman"/>
          <w:noProof/>
          <w:sz w:val="24"/>
          <w:szCs w:val="24"/>
        </w:rPr>
        <w:footnoteReference w:id="18"/>
      </w:r>
      <w:r>
        <w:rPr>
          <w:rFonts w:ascii="Times New Roman" w:hAnsi="Times New Roman"/>
          <w:noProof/>
          <w:sz w:val="24"/>
          <w:szCs w:val="24"/>
        </w:rPr>
        <w:t xml:space="preserve">. </w:t>
      </w:r>
    </w:p>
    <w:p w:rsidR="007F60C7" w:rsidRDefault="007F60C7">
      <w:pPr>
        <w:spacing w:after="0" w:line="240" w:lineRule="auto"/>
        <w:jc w:val="both"/>
        <w:rPr>
          <w:rFonts w:ascii="Times New Roman" w:eastAsia="HelveticaNeueLTStd-Lt"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eastAsia="HelveticaNeueLTStd-Lt" w:hAnsi="Times New Roman"/>
          <w:noProof/>
          <w:sz w:val="24"/>
          <w:szCs w:val="24"/>
        </w:rPr>
        <w:t xml:space="preserve">Most benefits for the grid </w:t>
      </w:r>
      <w:r>
        <w:rPr>
          <w:rFonts w:ascii="Times New Roman" w:hAnsi="Times New Roman"/>
          <w:noProof/>
          <w:sz w:val="24"/>
          <w:szCs w:val="24"/>
        </w:rPr>
        <w:t>arise</w:t>
      </w:r>
      <w:r>
        <w:rPr>
          <w:rFonts w:ascii="Times New Roman" w:eastAsia="HelveticaNeueLTStd-Lt" w:hAnsi="Times New Roman"/>
          <w:noProof/>
          <w:sz w:val="24"/>
          <w:szCs w:val="24"/>
        </w:rPr>
        <w:t xml:space="preserve"> when distributed storage is managed to reduce the peak power of the decentralized renewable energy installations, such as in </w:t>
      </w:r>
      <w:r>
        <w:rPr>
          <w:rFonts w:ascii="Times New Roman" w:eastAsiaTheme="minorHAnsi" w:hAnsi="Times New Roman"/>
          <w:noProof/>
          <w:sz w:val="24"/>
          <w:szCs w:val="24"/>
        </w:rPr>
        <w:t>Germany where battery incentives ar</w:t>
      </w:r>
      <w:r>
        <w:rPr>
          <w:rFonts w:ascii="Times New Roman" w:eastAsiaTheme="minorHAnsi" w:hAnsi="Times New Roman"/>
          <w:noProof/>
          <w:sz w:val="24"/>
          <w:szCs w:val="24"/>
        </w:rPr>
        <w:t>e linked to grid-optimal solar PV feed-in</w:t>
      </w:r>
      <w:r>
        <w:rPr>
          <w:rStyle w:val="FootnoteReference"/>
          <w:rFonts w:ascii="Times New Roman" w:eastAsia="HelveticaNeueLTStd-Lt" w:hAnsi="Times New Roman"/>
          <w:noProof/>
          <w:sz w:val="24"/>
          <w:szCs w:val="24"/>
        </w:rPr>
        <w:footnoteReference w:id="19"/>
      </w:r>
      <w:r>
        <w:rPr>
          <w:rFonts w:ascii="Times New Roman" w:eastAsiaTheme="minorHAnsi" w:hAnsi="Times New Roman"/>
          <w:noProof/>
          <w:sz w:val="24"/>
          <w:szCs w:val="24"/>
        </w:rPr>
        <w:t xml:space="preserve">. </w:t>
      </w:r>
      <w:r>
        <w:rPr>
          <w:rFonts w:ascii="Times New Roman" w:hAnsi="Times New Roman"/>
          <w:noProof/>
          <w:sz w:val="24"/>
          <w:szCs w:val="24"/>
        </w:rPr>
        <w:t>Furthermore, distributed storage systems could be adopted on a neighbourhood or community basis, thereby reducing the cost-per-kWh and allowing individual regions to integrate higher volumes of distributed, consu</w:t>
      </w:r>
      <w:r>
        <w:rPr>
          <w:rFonts w:ascii="Times New Roman" w:hAnsi="Times New Roman"/>
          <w:noProof/>
          <w:sz w:val="24"/>
          <w:szCs w:val="24"/>
        </w:rPr>
        <w:t>mer-driven renewable energy.</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eastAsiaTheme="minorHAnsi" w:hAnsi="Times New Roman"/>
          <w:noProof/>
          <w:sz w:val="24"/>
          <w:szCs w:val="24"/>
        </w:rPr>
        <w:t>Besides the above-mentioned flexibility measures, smarter renewable generation can help facilitating the market integration of distributed renewable energy generation. As shown by the</w:t>
      </w:r>
      <w:r>
        <w:rPr>
          <w:rFonts w:ascii="Times New Roman" w:hAnsi="Times New Roman"/>
          <w:noProof/>
          <w:sz w:val="24"/>
          <w:szCs w:val="24"/>
        </w:rPr>
        <w:t xml:space="preserve"> MetaPV project</w:t>
      </w:r>
      <w:r>
        <w:rPr>
          <w:rStyle w:val="FootnoteReference"/>
          <w:rFonts w:ascii="Times New Roman" w:hAnsi="Times New Roman"/>
          <w:noProof/>
          <w:sz w:val="24"/>
          <w:szCs w:val="24"/>
        </w:rPr>
        <w:footnoteReference w:id="20"/>
      </w:r>
      <w:r>
        <w:rPr>
          <w:rFonts w:ascii="Times New Roman" w:hAnsi="Times New Roman"/>
          <w:noProof/>
          <w:sz w:val="24"/>
          <w:szCs w:val="24"/>
        </w:rPr>
        <w:t>, intelligent control of PV</w:t>
      </w:r>
      <w:r>
        <w:rPr>
          <w:rFonts w:ascii="Times New Roman" w:hAnsi="Times New Roman"/>
          <w:noProof/>
          <w:sz w:val="24"/>
          <w:szCs w:val="24"/>
        </w:rPr>
        <w:t xml:space="preserve"> inverters by distribution system operators (DSOs) can increase the capacity of the network for hosting distributed generation by 50%. In Germany, new-built small-scale PV systems (with a capacity below 30 kWp) should either be </w:t>
      </w:r>
      <w:r>
        <w:rPr>
          <w:rFonts w:ascii="Times New Roman" w:hAnsi="Times New Roman"/>
          <w:noProof/>
          <w:sz w:val="24"/>
          <w:szCs w:val="24"/>
        </w:rPr>
        <w:lastRenderedPageBreak/>
        <w:t>able to be curtailed remotel</w:t>
      </w:r>
      <w:r>
        <w:rPr>
          <w:rFonts w:ascii="Times New Roman" w:hAnsi="Times New Roman"/>
          <w:noProof/>
          <w:sz w:val="24"/>
          <w:szCs w:val="24"/>
        </w:rPr>
        <w:t>y, or must permanently limit power injection into the grid to 70% of rated AC capacity, the rest being either self-consumed or curtailed. This kind of capacity-based regulation is also applied in many U.S. net metering schemes.</w:t>
      </w:r>
    </w:p>
    <w:p w:rsidR="007F60C7" w:rsidRDefault="007F60C7">
      <w:pPr>
        <w:spacing w:after="0" w:line="240" w:lineRule="auto"/>
        <w:jc w:val="both"/>
        <w:rPr>
          <w:rFonts w:ascii="Times New Roman" w:hAnsi="Times New Roman"/>
          <w:noProof/>
          <w:sz w:val="24"/>
          <w:szCs w:val="24"/>
        </w:rPr>
      </w:pPr>
    </w:p>
    <w:p w:rsidR="007F60C7" w:rsidRDefault="00704701">
      <w:pPr>
        <w:pStyle w:val="Caption"/>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noProof/>
          <w:szCs w:val="24"/>
        </w:rPr>
      </w:pPr>
      <w:r>
        <w:rPr>
          <w:noProof/>
          <w:szCs w:val="24"/>
        </w:rPr>
        <w:t>Best practice includes:</w:t>
      </w:r>
    </w:p>
    <w:p w:rsidR="007F60C7" w:rsidRDefault="00704701">
      <w:pPr>
        <w:pStyle w:val="Caption"/>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rPr>
          <w:b w:val="0"/>
          <w:noProof/>
        </w:rPr>
      </w:pPr>
      <w:r>
        <w:rPr>
          <w:b w:val="0"/>
          <w:i/>
          <w:noProof/>
          <w:szCs w:val="24"/>
        </w:rPr>
        <w:t>Establishment of simplified authorisation procedures, including through simple notification, for small-scale renewable energy projects.</w:t>
      </w:r>
    </w:p>
    <w:p w:rsidR="007F60C7" w:rsidRDefault="00704701">
      <w:pPr>
        <w:pStyle w:val="Caption"/>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before="240" w:after="0" w:line="280" w:lineRule="exact"/>
        <w:ind w:left="357" w:hanging="357"/>
        <w:rPr>
          <w:b w:val="0"/>
          <w:noProof/>
          <w:szCs w:val="24"/>
        </w:rPr>
      </w:pPr>
      <w:r>
        <w:rPr>
          <w:b w:val="0"/>
          <w:i/>
          <w:noProof/>
          <w:szCs w:val="24"/>
        </w:rPr>
        <w:t>Allowing renewable energy self-consumption and decentralized storage.</w:t>
      </w:r>
    </w:p>
    <w:p w:rsidR="007F60C7" w:rsidRDefault="00704701">
      <w:pPr>
        <w:pStyle w:val="Caption"/>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b w:val="0"/>
          <w:i/>
          <w:noProof/>
          <w:szCs w:val="24"/>
        </w:rPr>
      </w:pPr>
      <w:r>
        <w:rPr>
          <w:b w:val="0"/>
          <w:i/>
          <w:noProof/>
          <w:szCs w:val="24"/>
        </w:rPr>
        <w:t xml:space="preserve">Promotion of demand side flexibility, including demand-side response and distributed energy storage, through </w:t>
      </w:r>
      <w:r>
        <w:rPr>
          <w:b w:val="0"/>
          <w:i/>
          <w:noProof/>
        </w:rPr>
        <w:t>price signals (e.g. dynamic pricing) and other incentives.</w:t>
      </w:r>
    </w:p>
    <w:p w:rsidR="007F60C7" w:rsidRDefault="00704701">
      <w:pPr>
        <w:pStyle w:val="Caption"/>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b w:val="0"/>
          <w:i/>
          <w:noProof/>
          <w:szCs w:val="24"/>
        </w:rPr>
      </w:pPr>
      <w:r>
        <w:rPr>
          <w:b w:val="0"/>
          <w:i/>
          <w:noProof/>
          <w:szCs w:val="24"/>
        </w:rPr>
        <w:t>Deployment of adequate smart meters and allow for aggregators to facilitate consumer par</w:t>
      </w:r>
      <w:r>
        <w:rPr>
          <w:b w:val="0"/>
          <w:i/>
          <w:noProof/>
          <w:szCs w:val="24"/>
        </w:rPr>
        <w:t>ticipation in the wholesale market.</w:t>
      </w:r>
    </w:p>
    <w:p w:rsidR="007F60C7" w:rsidRDefault="00704701">
      <w:pPr>
        <w:pStyle w:val="Heading1"/>
        <w:numPr>
          <w:ilvl w:val="0"/>
          <w:numId w:val="0"/>
        </w:numPr>
        <w:spacing w:before="360" w:after="0"/>
        <w:ind w:left="431" w:hanging="431"/>
        <w:rPr>
          <w:rFonts w:ascii="Times New Roman Bold" w:hAnsi="Times New Roman Bold"/>
          <w:b w:val="0"/>
          <w:smallCaps w:val="0"/>
          <w:noProof/>
          <w:szCs w:val="24"/>
        </w:rPr>
      </w:pPr>
      <w:r>
        <w:rPr>
          <w:rFonts w:ascii="Times New Roman Bold" w:hAnsi="Times New Roman Bold"/>
          <w:noProof/>
          <w:szCs w:val="24"/>
        </w:rPr>
        <w:t>4.</w:t>
      </w:r>
      <w:r>
        <w:rPr>
          <w:rFonts w:ascii="Times New Roman Bold" w:hAnsi="Times New Roman Bold"/>
          <w:b w:val="0"/>
          <w:smallCaps w:val="0"/>
          <w:noProof/>
          <w:szCs w:val="24"/>
        </w:rPr>
        <w:tab/>
      </w:r>
      <w:r>
        <w:rPr>
          <w:noProof/>
          <w:szCs w:val="24"/>
        </w:rPr>
        <w:t>Contributing</w:t>
      </w:r>
      <w:r>
        <w:rPr>
          <w:rFonts w:ascii="Times New Roman Bold" w:hAnsi="Times New Roman Bold"/>
          <w:noProof/>
          <w:szCs w:val="24"/>
        </w:rPr>
        <w:t xml:space="preserve"> to the grid</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Renewable electricity that is self-consumed is often exempted from grid costs and other system charges. On the one hand, this may be understandable as such electricity remains within the customer’s premise without touching the public network. On the other,</w:t>
      </w:r>
      <w:r>
        <w:rPr>
          <w:rFonts w:ascii="Times New Roman" w:hAnsi="Times New Roman"/>
          <w:noProof/>
          <w:sz w:val="24"/>
          <w:szCs w:val="24"/>
        </w:rPr>
        <w:t xml:space="preserve"> unless the generated electricity is self-consumed during peak hours, Distributed System Operators' (DSO) costs may not decrease. In fact, the latter are driven by the peak capacity (i.e. the maximum amount of electricity installed that distribution grids </w:t>
      </w:r>
      <w:r>
        <w:rPr>
          <w:rFonts w:ascii="Times New Roman" w:hAnsi="Times New Roman"/>
          <w:noProof/>
          <w:sz w:val="24"/>
          <w:szCs w:val="24"/>
        </w:rPr>
        <w:t>need to deal with) and not by the variations in the distributed volumes of electricity</w:t>
      </w:r>
      <w:r>
        <w:rPr>
          <w:rStyle w:val="FootnoteReference"/>
          <w:rFonts w:ascii="Times New Roman" w:hAnsi="Times New Roman"/>
          <w:noProof/>
          <w:sz w:val="24"/>
          <w:szCs w:val="24"/>
        </w:rPr>
        <w:footnoteReference w:id="21"/>
      </w:r>
      <w:r>
        <w:rPr>
          <w:rFonts w:ascii="Times New Roman" w:hAnsi="Times New Roman"/>
          <w:noProof/>
          <w:sz w:val="24"/>
          <w:szCs w:val="24"/>
        </w:rPr>
        <w:t>. Consequently, concerns have been raised about the risk that a large-scale deployment of self-consumption could impact the remuneration of DSOs and generally the electr</w:t>
      </w:r>
      <w:r>
        <w:rPr>
          <w:rFonts w:ascii="Times New Roman" w:hAnsi="Times New Roman"/>
          <w:noProof/>
          <w:sz w:val="24"/>
          <w:szCs w:val="24"/>
        </w:rPr>
        <w:t>icity tariffs of consumers</w:t>
      </w:r>
      <w:r>
        <w:rPr>
          <w:rStyle w:val="FootnoteReference"/>
          <w:rFonts w:ascii="Times New Roman" w:hAnsi="Times New Roman"/>
          <w:noProof/>
          <w:sz w:val="24"/>
          <w:szCs w:val="24"/>
        </w:rPr>
        <w:footnoteReference w:id="22"/>
      </w:r>
      <w:r>
        <w:rPr>
          <w:rFonts w:ascii="Times New Roman" w:hAnsi="Times New Roman"/>
          <w:noProof/>
          <w:sz w:val="24"/>
          <w:szCs w:val="24"/>
        </w:rPr>
        <w:t>, particularly in countries with high volumetric grid tariffs (see Box 3)</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The various grid tariff structures provide different incentives for energy consumers. A progressive volumetric tariff encourages self-consumption, as it i</w:t>
      </w:r>
      <w:r>
        <w:rPr>
          <w:rFonts w:ascii="Times New Roman" w:hAnsi="Times New Roman"/>
          <w:noProof/>
          <w:sz w:val="24"/>
          <w:szCs w:val="24"/>
        </w:rPr>
        <w:t>ncreases the per kWh electricity price that can be substituted by self-consumed electricity. Furthermore, it provides the strongest incentive to save electricity, which is an important EU policy objective. Time-of-use volumetric tariffs incentivise self-co</w:t>
      </w:r>
      <w:r>
        <w:rPr>
          <w:rFonts w:ascii="Times New Roman" w:hAnsi="Times New Roman"/>
          <w:noProof/>
          <w:sz w:val="24"/>
          <w:szCs w:val="24"/>
        </w:rPr>
        <w:t>nsumption to react to system conditions indicated by the tariff, thus leading to a reduction of the daily/seasonal peak consumption.</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Under capacity-based tariffs, network costs for the consumer are only reduced if self-consumption reduces the peak-load ta</w:t>
      </w:r>
      <w:r>
        <w:rPr>
          <w:rFonts w:ascii="Times New Roman" w:hAnsi="Times New Roman"/>
          <w:noProof/>
          <w:sz w:val="24"/>
          <w:szCs w:val="24"/>
        </w:rPr>
        <w:t>ken from the grid. The transition to capacity-based tariffs might also require transitional measures to mitigate financial implications on low-consuming customers. For instance, when such tariffs were applied to Dutch households in 2009, the differences in</w:t>
      </w:r>
      <w:r>
        <w:rPr>
          <w:rFonts w:ascii="Times New Roman" w:hAnsi="Times New Roman"/>
          <w:noProof/>
          <w:sz w:val="24"/>
          <w:szCs w:val="24"/>
        </w:rPr>
        <w:t xml:space="preserve"> bills for household customers caused by the move from volumetric to </w:t>
      </w:r>
      <w:r>
        <w:rPr>
          <w:rFonts w:ascii="Times New Roman" w:hAnsi="Times New Roman"/>
          <w:noProof/>
          <w:sz w:val="24"/>
          <w:szCs w:val="24"/>
        </w:rPr>
        <w:lastRenderedPageBreak/>
        <w:t>capacity tariff were compensated as much as possible by changes in the applicable energy taxes</w:t>
      </w:r>
      <w:r>
        <w:rPr>
          <w:rStyle w:val="FootnoteReference"/>
          <w:rFonts w:ascii="Times New Roman" w:hAnsi="Times New Roman"/>
          <w:noProof/>
          <w:sz w:val="24"/>
          <w:szCs w:val="24"/>
        </w:rPr>
        <w:footnoteReference w:id="23"/>
      </w:r>
      <w:r>
        <w:rPr>
          <w:rFonts w:ascii="Times New Roman" w:hAnsi="Times New Roman"/>
          <w:noProof/>
          <w:sz w:val="24"/>
          <w:szCs w:val="24"/>
        </w:rPr>
        <w:t xml:space="preserve">.  </w:t>
      </w:r>
    </w:p>
    <w:p w:rsidR="007F60C7" w:rsidRDefault="007F60C7">
      <w:pPr>
        <w:spacing w:after="0" w:line="240" w:lineRule="auto"/>
        <w:jc w:val="both"/>
        <w:rPr>
          <w:rFonts w:ascii="Times New Roman" w:hAnsi="Times New Roman"/>
          <w:noProof/>
          <w:sz w:val="24"/>
          <w:szCs w:val="24"/>
        </w:rPr>
      </w:pPr>
    </w:p>
    <w:p w:rsidR="007F60C7" w:rsidRDefault="00704701">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i/>
          <w:noProof/>
          <w:sz w:val="23"/>
          <w:szCs w:val="23"/>
        </w:rPr>
      </w:pPr>
      <w:r>
        <w:rPr>
          <w:rFonts w:ascii="Times New Roman" w:hAnsi="Times New Roman"/>
          <w:i/>
          <w:noProof/>
          <w:sz w:val="23"/>
          <w:szCs w:val="23"/>
          <w:lang w:eastAsia="en-GB"/>
        </w:rPr>
        <w:t>Box 3: Network charges models</w:t>
      </w:r>
    </w:p>
    <w:p w:rsidR="007F60C7" w:rsidRDefault="00704701">
      <w:pPr>
        <w:pStyle w:val="Caption"/>
        <w:pBdr>
          <w:top w:val="single" w:sz="4" w:space="1" w:color="auto"/>
          <w:left w:val="single" w:sz="4" w:space="4" w:color="auto"/>
          <w:bottom w:val="single" w:sz="4" w:space="1" w:color="auto"/>
          <w:right w:val="single" w:sz="4" w:space="4" w:color="auto"/>
        </w:pBdr>
        <w:spacing w:after="0"/>
        <w:rPr>
          <w:rFonts w:eastAsia="Calibri"/>
          <w:i/>
          <w:noProof/>
          <w:sz w:val="23"/>
          <w:szCs w:val="23"/>
          <w:lang w:eastAsia="en-GB"/>
        </w:rPr>
      </w:pPr>
      <w:r>
        <w:rPr>
          <w:b w:val="0"/>
          <w:noProof/>
          <w:sz w:val="23"/>
          <w:szCs w:val="23"/>
        </w:rPr>
        <w:t xml:space="preserve">Network tariffs are price components paid by electricity </w:t>
      </w:r>
      <w:r>
        <w:rPr>
          <w:b w:val="0"/>
          <w:noProof/>
          <w:sz w:val="23"/>
          <w:szCs w:val="23"/>
        </w:rPr>
        <w:t>consumers to finance the past and future costs of building, and the cost of operating the electricity grid. They are raised by the Transmission System Operators (TSO) and Distributed System Operators (DSO) and are regulated in the context of the EU Electri</w:t>
      </w:r>
      <w:r>
        <w:rPr>
          <w:b w:val="0"/>
          <w:noProof/>
          <w:sz w:val="23"/>
          <w:szCs w:val="23"/>
        </w:rPr>
        <w:t>city Directive (2009/72/EC). The latter leaves room for Member States to develop their own grid tariff methodology, reflecting the particularities of national electricity systems. Apart from the fixed component that is typically charged for services such a</w:t>
      </w:r>
      <w:r>
        <w:rPr>
          <w:b w:val="0"/>
          <w:noProof/>
          <w:sz w:val="23"/>
          <w:szCs w:val="23"/>
        </w:rPr>
        <w:t>s metering and other administrative costs, tariff structures generally are reduced to one, or a combination, of the following basic alternatives:</w:t>
      </w:r>
    </w:p>
    <w:p w:rsidR="007F60C7" w:rsidRDefault="00704701">
      <w:pPr>
        <w:pStyle w:val="Caption"/>
        <w:numPr>
          <w:ilvl w:val="0"/>
          <w:numId w:val="3"/>
        </w:numPr>
        <w:pBdr>
          <w:top w:val="single" w:sz="4" w:space="1" w:color="auto"/>
          <w:left w:val="single" w:sz="4" w:space="4" w:color="auto"/>
          <w:bottom w:val="single" w:sz="4" w:space="1" w:color="auto"/>
          <w:right w:val="single" w:sz="4" w:space="4" w:color="auto"/>
        </w:pBdr>
        <w:spacing w:after="0"/>
        <w:ind w:left="357" w:hanging="357"/>
        <w:rPr>
          <w:b w:val="0"/>
          <w:noProof/>
          <w:sz w:val="23"/>
          <w:szCs w:val="23"/>
        </w:rPr>
      </w:pPr>
      <w:r>
        <w:rPr>
          <w:b w:val="0"/>
          <w:i/>
          <w:noProof/>
          <w:sz w:val="23"/>
          <w:szCs w:val="23"/>
        </w:rPr>
        <w:t>Capacity tariffs</w:t>
      </w:r>
      <w:r>
        <w:rPr>
          <w:b w:val="0"/>
          <w:noProof/>
          <w:sz w:val="23"/>
          <w:szCs w:val="23"/>
        </w:rPr>
        <w:t xml:space="preserve"> depend on the peak load as grid costs are mainly capacity driven. Therefore consumers with hi</w:t>
      </w:r>
      <w:r>
        <w:rPr>
          <w:b w:val="0"/>
          <w:noProof/>
          <w:sz w:val="23"/>
          <w:szCs w:val="23"/>
        </w:rPr>
        <w:t>gh peak loads pay the highest network costs. Different models of capacity tariff exist: a) flat: a fixed charge based on connection capacity (kVA) or measured capacity (kW); b) variable: different capacity with different tariff per level; and, c) time-of-u</w:t>
      </w:r>
      <w:r>
        <w:rPr>
          <w:b w:val="0"/>
          <w:noProof/>
          <w:sz w:val="23"/>
          <w:szCs w:val="23"/>
        </w:rPr>
        <w:t xml:space="preserve">se: different tariffs in line with the available grid capacity (peak/off-peak), requiring a smart meter. </w:t>
      </w:r>
    </w:p>
    <w:p w:rsidR="007F60C7" w:rsidRDefault="00704701">
      <w:pPr>
        <w:pStyle w:val="Caption"/>
        <w:numPr>
          <w:ilvl w:val="0"/>
          <w:numId w:val="3"/>
        </w:numPr>
        <w:pBdr>
          <w:top w:val="single" w:sz="4" w:space="1" w:color="auto"/>
          <w:left w:val="single" w:sz="4" w:space="4" w:color="auto"/>
          <w:bottom w:val="single" w:sz="4" w:space="1" w:color="auto"/>
          <w:right w:val="single" w:sz="4" w:space="4" w:color="auto"/>
        </w:pBdr>
        <w:spacing w:after="0"/>
        <w:ind w:left="357" w:hanging="357"/>
        <w:rPr>
          <w:b w:val="0"/>
          <w:noProof/>
          <w:sz w:val="23"/>
          <w:szCs w:val="23"/>
        </w:rPr>
      </w:pPr>
      <w:r>
        <w:rPr>
          <w:b w:val="0"/>
          <w:i/>
          <w:noProof/>
          <w:sz w:val="23"/>
          <w:szCs w:val="23"/>
        </w:rPr>
        <w:t>Volumetric tariffs</w:t>
      </w:r>
      <w:r>
        <w:rPr>
          <w:b w:val="0"/>
          <w:noProof/>
          <w:sz w:val="23"/>
          <w:szCs w:val="23"/>
        </w:rPr>
        <w:t xml:space="preserve"> are charged for each kWh of electricity consumed from the grid and are easier to implement with conventional meters. Volumetric tar</w:t>
      </w:r>
      <w:r>
        <w:rPr>
          <w:b w:val="0"/>
          <w:noProof/>
          <w:sz w:val="23"/>
          <w:szCs w:val="23"/>
        </w:rPr>
        <w:t xml:space="preserve">iffs can be: a) proportionate: consumers pay per kWh, independent of volume level; b) progressive: the tariff per kWh increases with an increasing consumption level; c) regressive: the tariff per kWh decreases with an increasing consumption level; and, d) </w:t>
      </w:r>
      <w:r>
        <w:rPr>
          <w:b w:val="0"/>
          <w:noProof/>
          <w:sz w:val="23"/>
          <w:szCs w:val="23"/>
        </w:rPr>
        <w:t xml:space="preserve">time-of-use: different tariffs in line with the available grid capacity (peak /off-peak). A day/night tariff is possible without smart meter whereas more complex peak and off-peak tariffs are only possible with smart meters. </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 xml:space="preserve">Hybrid models combining both </w:t>
      </w:r>
      <w:r>
        <w:rPr>
          <w:rFonts w:ascii="Times New Roman" w:hAnsi="Times New Roman"/>
          <w:noProof/>
          <w:sz w:val="24"/>
          <w:szCs w:val="24"/>
        </w:rPr>
        <w:t>capacity and volumetric tariff also exist. For instance in Spain and in Italy the electricity distribution grid tariff for household customers consists of three components: a flat component (€/point of delivery), a component billing the connection capacity</w:t>
      </w:r>
      <w:r>
        <w:rPr>
          <w:rFonts w:ascii="Times New Roman" w:hAnsi="Times New Roman"/>
          <w:noProof/>
          <w:sz w:val="24"/>
          <w:szCs w:val="24"/>
        </w:rPr>
        <w:t xml:space="preserve"> (€/kW), and a progressive volumetric component (€/kWh). For an average Italian household consumer, about 80% of the whole electricity bill is volume related and 20% capacity based. The combination of volume and capacity elements is also currently applied </w:t>
      </w:r>
      <w:r>
        <w:rPr>
          <w:rFonts w:ascii="Times New Roman" w:hAnsi="Times New Roman"/>
          <w:noProof/>
          <w:sz w:val="24"/>
          <w:szCs w:val="24"/>
        </w:rPr>
        <w:t xml:space="preserve">for industrial consumers in other countries like Belgium, France and the Netherlands. </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Most EU Member States currently charge grid costs through volumetric grid tariffs, although there is increasing interest in charging part, or all, of such costs through</w:t>
      </w:r>
      <w:r>
        <w:rPr>
          <w:rFonts w:ascii="Times New Roman" w:hAnsi="Times New Roman"/>
          <w:noProof/>
          <w:sz w:val="24"/>
          <w:szCs w:val="24"/>
        </w:rPr>
        <w:t xml:space="preserve"> the capacity component of the tariff. For instance, in 2009 the Netherlands introduced capacity-based network tariffs for residential consumers. In July 2015, </w:t>
      </w:r>
      <w:r>
        <w:rPr>
          <w:rFonts w:ascii="Times New Roman" w:eastAsiaTheme="minorHAnsi" w:hAnsi="Times New Roman"/>
          <w:bCs/>
          <w:noProof/>
          <w:color w:val="000000"/>
          <w:sz w:val="24"/>
          <w:szCs w:val="24"/>
        </w:rPr>
        <w:t>the Belgian region of Flanders has imposed a specific grid fee for self-consumption systems up t</w:t>
      </w:r>
      <w:r>
        <w:rPr>
          <w:rFonts w:ascii="Times New Roman" w:eastAsiaTheme="minorHAnsi" w:hAnsi="Times New Roman"/>
          <w:bCs/>
          <w:noProof/>
          <w:color w:val="000000"/>
          <w:sz w:val="24"/>
          <w:szCs w:val="24"/>
        </w:rPr>
        <w:t>o 10 kWp (approx. €70 per kW of installed solar PV). Furthermore, in</w:t>
      </w:r>
      <w:r>
        <w:rPr>
          <w:rFonts w:ascii="Times New Roman" w:hAnsi="Times New Roman"/>
          <w:noProof/>
          <w:sz w:val="24"/>
          <w:szCs w:val="24"/>
        </w:rPr>
        <w:t xml:space="preserve"> Italy self-consumption projects are gradually called to contribute to the grid costs, depending on their capacity</w:t>
      </w:r>
      <w:r>
        <w:rPr>
          <w:rStyle w:val="FootnoteReference"/>
          <w:rFonts w:ascii="Times New Roman" w:hAnsi="Times New Roman"/>
          <w:noProof/>
          <w:sz w:val="24"/>
          <w:szCs w:val="24"/>
        </w:rPr>
        <w:footnoteReference w:id="24"/>
      </w:r>
      <w:r>
        <w:rPr>
          <w:rFonts w:ascii="Times New Roman" w:hAnsi="Times New Roman"/>
          <w:noProof/>
          <w:sz w:val="24"/>
          <w:szCs w:val="24"/>
        </w:rPr>
        <w:t>.</w:t>
      </w:r>
      <w:r>
        <w:rPr>
          <w:rFonts w:ascii="Times New Roman" w:eastAsiaTheme="minorHAnsi" w:hAnsi="Times New Roman"/>
          <w:bCs/>
          <w:noProof/>
          <w:color w:val="000000"/>
          <w:sz w:val="24"/>
          <w:szCs w:val="24"/>
        </w:rPr>
        <w:t xml:space="preserve"> In Portugal</w:t>
      </w:r>
      <w:r>
        <w:rPr>
          <w:rFonts w:ascii="Times New Roman" w:hAnsi="Times New Roman"/>
          <w:noProof/>
          <w:sz w:val="24"/>
          <w:szCs w:val="24"/>
        </w:rPr>
        <w:t xml:space="preserve">, when self-consumption </w:t>
      </w:r>
      <w:r>
        <w:rPr>
          <w:rFonts w:ascii="Times New Roman" w:hAnsi="Times New Roman"/>
          <w:noProof/>
          <w:sz w:val="24"/>
          <w:szCs w:val="24"/>
        </w:rPr>
        <w:lastRenderedPageBreak/>
        <w:t>systems will reach the equivalent of</w:t>
      </w:r>
      <w:r>
        <w:rPr>
          <w:rFonts w:ascii="Times New Roman" w:hAnsi="Times New Roman"/>
          <w:noProof/>
          <w:sz w:val="24"/>
          <w:szCs w:val="24"/>
        </w:rPr>
        <w:t xml:space="preserve"> 3% of the total installed power capacity, new projects will have to contribute in part to the grid cost according to a given formula.</w:t>
      </w:r>
    </w:p>
    <w:p w:rsidR="007F60C7" w:rsidRDefault="007F60C7">
      <w:pPr>
        <w:spacing w:after="0" w:line="240" w:lineRule="auto"/>
        <w:jc w:val="both"/>
        <w:rPr>
          <w:rFonts w:ascii="Times New Roman" w:hAnsi="Times New Roman"/>
          <w:noProof/>
          <w:sz w:val="24"/>
          <w:szCs w:val="24"/>
        </w:rPr>
      </w:pPr>
    </w:p>
    <w:p w:rsidR="007F60C7" w:rsidRDefault="00704701">
      <w:pPr>
        <w:pStyle w:val="Default"/>
        <w:jc w:val="both"/>
        <w:rPr>
          <w:rFonts w:ascii="Times New Roman" w:hAnsi="Times New Roman" w:cs="Times New Roman"/>
          <w:noProof/>
        </w:rPr>
      </w:pPr>
      <w:r>
        <w:rPr>
          <w:rFonts w:ascii="Times New Roman" w:hAnsi="Times New Roman"/>
          <w:noProof/>
        </w:rPr>
        <w:t>Overall, given the large variety of tariff structure models across the EU and given the differing local conditions, ther</w:t>
      </w:r>
      <w:r>
        <w:rPr>
          <w:rFonts w:ascii="Times New Roman" w:hAnsi="Times New Roman"/>
          <w:noProof/>
        </w:rPr>
        <w:t xml:space="preserve">e may not be one-size-fits-all solution. Tariff setting should be </w:t>
      </w:r>
      <w:r>
        <w:rPr>
          <w:rFonts w:ascii="Times New Roman" w:hAnsi="Times New Roman" w:cs="Times New Roman"/>
          <w:noProof/>
        </w:rPr>
        <w:t xml:space="preserve">based on objective and non-discriminatory criteria, which apply consistently to all users who are in the same situation. The different models should also correctly reflect the impact of the </w:t>
      </w:r>
      <w:r>
        <w:rPr>
          <w:rFonts w:ascii="Times New Roman" w:hAnsi="Times New Roman" w:cs="Times New Roman"/>
          <w:noProof/>
        </w:rPr>
        <w:t>consumer on the electricity grid</w:t>
      </w:r>
      <w:r>
        <w:rPr>
          <w:rStyle w:val="FootnoteReference"/>
          <w:rFonts w:ascii="Times New Roman" w:hAnsi="Times New Roman" w:cs="Times New Roman"/>
          <w:noProof/>
        </w:rPr>
        <w:footnoteReference w:id="25"/>
      </w:r>
      <w:r>
        <w:rPr>
          <w:rFonts w:ascii="Times New Roman" w:hAnsi="Times New Roman" w:cs="Times New Roman"/>
          <w:noProof/>
        </w:rPr>
        <w:t>, while ensuring that regulated assets contribute to the energy transition by supporting the EU policy objectives on energy efficiency and renewable energy.</w:t>
      </w:r>
    </w:p>
    <w:p w:rsidR="007F60C7" w:rsidRDefault="007F60C7">
      <w:pPr>
        <w:pStyle w:val="PlainText"/>
        <w:jc w:val="both"/>
        <w:rPr>
          <w:rFonts w:ascii="Times New Roman" w:hAnsi="Times New Roman"/>
          <w:noProof/>
          <w:sz w:val="24"/>
          <w:szCs w:val="24"/>
        </w:rPr>
      </w:pPr>
    </w:p>
    <w:p w:rsidR="007F60C7" w:rsidRDefault="007F60C7">
      <w:pPr>
        <w:spacing w:after="0" w:line="240" w:lineRule="auto"/>
        <w:jc w:val="both"/>
        <w:rPr>
          <w:rFonts w:ascii="Times New Roman" w:hAnsi="Times New Roman"/>
          <w:noProof/>
          <w:sz w:val="24"/>
          <w:szCs w:val="24"/>
        </w:rPr>
      </w:pPr>
    </w:p>
    <w:p w:rsidR="007F60C7" w:rsidRDefault="00704701">
      <w:pPr>
        <w:pStyle w:val="Caption"/>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rPr>
          <w:noProof/>
          <w:szCs w:val="24"/>
        </w:rPr>
      </w:pPr>
      <w:r>
        <w:rPr>
          <w:noProof/>
          <w:szCs w:val="24"/>
        </w:rPr>
        <w:t>Best practice includes:</w:t>
      </w:r>
    </w:p>
    <w:p w:rsidR="007F60C7" w:rsidRDefault="00704701">
      <w:pPr>
        <w:pStyle w:val="Caption"/>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b w:val="0"/>
          <w:i/>
          <w:noProof/>
          <w:color w:val="000000"/>
          <w:szCs w:val="24"/>
        </w:rPr>
      </w:pPr>
      <w:r>
        <w:rPr>
          <w:b w:val="0"/>
          <w:i/>
          <w:noProof/>
          <w:szCs w:val="24"/>
        </w:rPr>
        <w:t xml:space="preserve">Avoidance of discriminatory charges for </w:t>
      </w:r>
      <w:r>
        <w:rPr>
          <w:b w:val="0"/>
          <w:i/>
          <w:noProof/>
          <w:szCs w:val="24"/>
        </w:rPr>
        <w:t>self-consumption projects.</w:t>
      </w:r>
    </w:p>
    <w:p w:rsidR="007F60C7" w:rsidRDefault="00704701">
      <w:pPr>
        <w:pStyle w:val="Caption"/>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b w:val="0"/>
          <w:i/>
          <w:noProof/>
          <w:color w:val="000000"/>
          <w:szCs w:val="24"/>
        </w:rPr>
      </w:pPr>
      <w:r>
        <w:rPr>
          <w:b w:val="0"/>
          <w:i/>
          <w:noProof/>
          <w:szCs w:val="24"/>
        </w:rPr>
        <w:t>Acknowledging the different national conditions,</w:t>
      </w:r>
      <w:r>
        <w:rPr>
          <w:b w:val="0"/>
          <w:i/>
          <w:noProof/>
          <w:color w:val="000000"/>
          <w:szCs w:val="24"/>
        </w:rPr>
        <w:t xml:space="preserve"> ensuring that possible future grid tariff reforms promote both renewable energy and energy efficiency objectives, </w:t>
      </w:r>
      <w:r>
        <w:rPr>
          <w:b w:val="0"/>
          <w:i/>
          <w:noProof/>
        </w:rPr>
        <w:t>are based on objective and non-discriminatory criteria and reflect</w:t>
      </w:r>
      <w:r>
        <w:rPr>
          <w:b w:val="0"/>
          <w:i/>
          <w:noProof/>
        </w:rPr>
        <w:t xml:space="preserve"> the impact of the consumer on the electricity grid</w:t>
      </w:r>
      <w:r>
        <w:rPr>
          <w:b w:val="0"/>
          <w:i/>
          <w:noProof/>
          <w:color w:val="000000"/>
          <w:szCs w:val="24"/>
        </w:rPr>
        <w:t>, while guaranteeing sufficient funding for grid and system costs.</w:t>
      </w:r>
    </w:p>
    <w:p w:rsidR="007F60C7" w:rsidRDefault="00704701">
      <w:pPr>
        <w:pStyle w:val="Caption"/>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b w:val="0"/>
          <w:i/>
          <w:noProof/>
          <w:color w:val="000000"/>
          <w:szCs w:val="24"/>
        </w:rPr>
      </w:pPr>
      <w:r>
        <w:rPr>
          <w:b w:val="0"/>
          <w:i/>
          <w:noProof/>
          <w:color w:val="000000"/>
          <w:szCs w:val="24"/>
        </w:rPr>
        <w:t>Ensuring predictable conditions by announcing caps of installed capacities after which grid cost exemption are revised.</w:t>
      </w:r>
    </w:p>
    <w:p w:rsidR="007F60C7" w:rsidRDefault="00704701">
      <w:pPr>
        <w:pStyle w:val="Caption"/>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b w:val="0"/>
          <w:i/>
          <w:noProof/>
          <w:szCs w:val="24"/>
        </w:rPr>
      </w:pPr>
      <w:r>
        <w:rPr>
          <w:b w:val="0"/>
          <w:i/>
          <w:noProof/>
          <w:szCs w:val="24"/>
        </w:rPr>
        <w:t>If modifications t</w:t>
      </w:r>
      <w:r>
        <w:rPr>
          <w:b w:val="0"/>
          <w:i/>
          <w:noProof/>
          <w:szCs w:val="24"/>
        </w:rPr>
        <w:t xml:space="preserve">o the tariff structure are deemed necessary and appropriate, </w:t>
      </w:r>
      <w:r>
        <w:rPr>
          <w:b w:val="0"/>
          <w:bCs/>
          <w:i/>
          <w:noProof/>
          <w:szCs w:val="24"/>
          <w:u w:val="single"/>
          <w:lang w:val="en-US"/>
        </w:rPr>
        <w:t xml:space="preserve">take into account the need to ensure stability for </w:t>
      </w:r>
      <w:r>
        <w:rPr>
          <w:b w:val="0"/>
          <w:i/>
          <w:noProof/>
          <w:szCs w:val="24"/>
        </w:rPr>
        <w:t>previous investments in self-consumption projects.</w:t>
      </w:r>
    </w:p>
    <w:p w:rsidR="007F60C7" w:rsidRDefault="00704701">
      <w:pPr>
        <w:pStyle w:val="Heading1"/>
        <w:numPr>
          <w:ilvl w:val="0"/>
          <w:numId w:val="0"/>
        </w:numPr>
        <w:spacing w:before="480" w:after="0"/>
        <w:ind w:left="431" w:hanging="431"/>
        <w:rPr>
          <w:rFonts w:ascii="Times New Roman Bold" w:eastAsiaTheme="minorHAnsi" w:hAnsi="Times New Roman Bold"/>
          <w:smallCaps w:val="0"/>
          <w:noProof/>
          <w:szCs w:val="24"/>
        </w:rPr>
      </w:pPr>
      <w:r>
        <w:rPr>
          <w:rFonts w:ascii="Times New Roman Bold" w:hAnsi="Times New Roman Bold"/>
          <w:smallCaps w:val="0"/>
          <w:noProof/>
          <w:szCs w:val="24"/>
        </w:rPr>
        <w:t>5.</w:t>
      </w:r>
      <w:r>
        <w:rPr>
          <w:rFonts w:ascii="Times New Roman Bold" w:hAnsi="Times New Roman Bold"/>
          <w:smallCaps w:val="0"/>
          <w:noProof/>
          <w:szCs w:val="24"/>
        </w:rPr>
        <w:tab/>
      </w:r>
      <w:r>
        <w:rPr>
          <w:rFonts w:ascii="Times New Roman Bold" w:hAnsi="Times New Roman Bold"/>
          <w:noProof/>
          <w:szCs w:val="24"/>
        </w:rPr>
        <w:t>Valuing self-consumption</w:t>
      </w:r>
    </w:p>
    <w:p w:rsidR="007F60C7" w:rsidRDefault="007F60C7">
      <w:pPr>
        <w:pStyle w:val="Caption"/>
        <w:spacing w:before="0" w:after="0"/>
        <w:rPr>
          <w:rFonts w:eastAsia="Calibri"/>
          <w:b w:val="0"/>
          <w:noProof/>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lang w:val="en-US"/>
        </w:rPr>
        <w:t xml:space="preserve">Grid parity assessments for direct self-consumption </w:t>
      </w:r>
      <w:r>
        <w:rPr>
          <w:rFonts w:ascii="Times New Roman" w:hAnsi="Times New Roman"/>
          <w:bCs/>
          <w:noProof/>
          <w:sz w:val="24"/>
          <w:szCs w:val="24"/>
        </w:rPr>
        <w:t xml:space="preserve">assume the optimal situation that 100% of the produced electricity is self-consumed, which is usually not the case for residential or commercial consumers. Therefore, </w:t>
      </w:r>
      <w:r>
        <w:rPr>
          <w:rFonts w:ascii="Times New Roman" w:hAnsi="Times New Roman"/>
          <w:noProof/>
          <w:sz w:val="24"/>
          <w:szCs w:val="24"/>
        </w:rPr>
        <w:t xml:space="preserve">consumers producing renewable energy may still need to </w:t>
      </w:r>
      <w:r>
        <w:rPr>
          <w:rFonts w:ascii="Times New Roman" w:eastAsiaTheme="minorHAnsi" w:hAnsi="Times New Roman"/>
          <w:noProof/>
          <w:sz w:val="24"/>
          <w:szCs w:val="24"/>
        </w:rPr>
        <w:t xml:space="preserve">feed the non-consumed electricity </w:t>
      </w:r>
      <w:r>
        <w:rPr>
          <w:rFonts w:ascii="Times New Roman" w:eastAsiaTheme="minorHAnsi" w:hAnsi="Times New Roman"/>
          <w:noProof/>
          <w:sz w:val="24"/>
          <w:szCs w:val="24"/>
        </w:rPr>
        <w:t>into the grid and receive value for it</w:t>
      </w:r>
      <w:r>
        <w:rPr>
          <w:rFonts w:ascii="Times New Roman" w:hAnsi="Times New Roman"/>
          <w:noProof/>
          <w:sz w:val="24"/>
          <w:szCs w:val="24"/>
        </w:rPr>
        <w:t xml:space="preserve"> in order for the project to be viable (in many MS small renewable generators are eligible for some kind of premium tariff - see Annex). The following approaches on how to value prosumers' excess electricity can be ide</w:t>
      </w:r>
      <w:r>
        <w:rPr>
          <w:rFonts w:ascii="Times New Roman" w:hAnsi="Times New Roman"/>
          <w:noProof/>
          <w:sz w:val="24"/>
          <w:szCs w:val="24"/>
        </w:rPr>
        <w:t>ntified.</w:t>
      </w:r>
    </w:p>
    <w:p w:rsidR="007F60C7" w:rsidRDefault="007F60C7">
      <w:pPr>
        <w:spacing w:after="0" w:line="240" w:lineRule="auto"/>
        <w:rPr>
          <w:rFonts w:ascii="Times New Roman" w:hAnsi="Times New Roman"/>
          <w:b/>
          <w:i/>
          <w:noProof/>
          <w:sz w:val="24"/>
          <w:szCs w:val="24"/>
        </w:rPr>
      </w:pPr>
    </w:p>
    <w:p w:rsidR="007F60C7" w:rsidRDefault="00704701">
      <w:pPr>
        <w:spacing w:after="0" w:line="240" w:lineRule="auto"/>
        <w:rPr>
          <w:rFonts w:ascii="Times New Roman" w:hAnsi="Times New Roman"/>
          <w:b/>
          <w:i/>
          <w:noProof/>
          <w:sz w:val="24"/>
          <w:szCs w:val="24"/>
        </w:rPr>
      </w:pPr>
      <w:r>
        <w:rPr>
          <w:rFonts w:ascii="Times New Roman" w:hAnsi="Times New Roman"/>
          <w:b/>
          <w:i/>
          <w:noProof/>
          <w:sz w:val="24"/>
          <w:szCs w:val="24"/>
        </w:rPr>
        <w:t>Self-consumption and feed-in tariff/premium approach</w:t>
      </w:r>
    </w:p>
    <w:p w:rsidR="007F60C7" w:rsidRDefault="007F60C7">
      <w:pPr>
        <w:spacing w:after="0" w:line="240" w:lineRule="auto"/>
        <w:jc w:val="both"/>
        <w:rPr>
          <w:rFonts w:ascii="Times New Roman" w:eastAsia="HelveticaNeueLTStd-Lt" w:hAnsi="Times New Roman"/>
          <w:noProof/>
          <w:sz w:val="24"/>
          <w:szCs w:val="24"/>
        </w:rPr>
      </w:pPr>
    </w:p>
    <w:p w:rsidR="007F60C7" w:rsidRDefault="00704701">
      <w:pPr>
        <w:spacing w:after="0" w:line="240" w:lineRule="auto"/>
        <w:jc w:val="both"/>
        <w:rPr>
          <w:rFonts w:ascii="Times New Roman" w:eastAsia="HelveticaNeueLTStd-Lt" w:hAnsi="Times New Roman"/>
          <w:noProof/>
          <w:sz w:val="24"/>
          <w:szCs w:val="24"/>
        </w:rPr>
      </w:pPr>
      <w:r>
        <w:rPr>
          <w:rFonts w:ascii="Times New Roman" w:eastAsia="HelveticaNeueLTStd-Lt" w:hAnsi="Times New Roman"/>
          <w:noProof/>
          <w:sz w:val="24"/>
          <w:szCs w:val="24"/>
        </w:rPr>
        <w:t xml:space="preserve">Here prosumer receives support for </w:t>
      </w:r>
      <w:r>
        <w:rPr>
          <w:rFonts w:ascii="Times New Roman" w:hAnsi="Times New Roman"/>
          <w:noProof/>
          <w:sz w:val="24"/>
          <w:szCs w:val="24"/>
        </w:rPr>
        <w:t>non-consumed electricity that is fed into the grid.</w:t>
      </w:r>
      <w:r>
        <w:rPr>
          <w:rFonts w:ascii="Times New Roman" w:eastAsia="HelveticaNeueLTStd-Lt" w:hAnsi="Times New Roman"/>
          <w:noProof/>
          <w:sz w:val="24"/>
          <w:szCs w:val="24"/>
        </w:rPr>
        <w:t xml:space="preserve"> In order to </w:t>
      </w:r>
      <w:r>
        <w:rPr>
          <w:rFonts w:ascii="Times New Roman" w:hAnsi="Times New Roman"/>
          <w:noProof/>
          <w:sz w:val="24"/>
          <w:szCs w:val="24"/>
        </w:rPr>
        <w:t>encourage consumers to look for ways to increase their direct consumption of self-generated e</w:t>
      </w:r>
      <w:r>
        <w:rPr>
          <w:rFonts w:ascii="Times New Roman" w:hAnsi="Times New Roman"/>
          <w:noProof/>
          <w:sz w:val="24"/>
          <w:szCs w:val="24"/>
        </w:rPr>
        <w:t>lectricity over injecting it into the grid</w:t>
      </w:r>
      <w:r>
        <w:rPr>
          <w:rFonts w:ascii="Times New Roman" w:eastAsia="HelveticaNeueLTStd-Lt" w:hAnsi="Times New Roman"/>
          <w:noProof/>
          <w:sz w:val="24"/>
          <w:szCs w:val="24"/>
        </w:rPr>
        <w:t xml:space="preserve">, </w:t>
      </w:r>
      <w:r>
        <w:rPr>
          <w:rFonts w:ascii="Times New Roman" w:hAnsi="Times New Roman"/>
          <w:noProof/>
          <w:sz w:val="24"/>
          <w:szCs w:val="24"/>
        </w:rPr>
        <w:t>only</w:t>
      </w:r>
      <w:r>
        <w:rPr>
          <w:rFonts w:ascii="Times New Roman" w:eastAsia="HelveticaNeueLTStd-Lt" w:hAnsi="Times New Roman"/>
          <w:noProof/>
          <w:sz w:val="24"/>
          <w:szCs w:val="24"/>
        </w:rPr>
        <w:t xml:space="preserve"> electricity self-consumed above a given rate (e.g. 30%) can receive a premium tariff. This approach can work as a bridge to grid parity, however past experience with feed-in tariffs shows that there is a nee</w:t>
      </w:r>
      <w:r>
        <w:rPr>
          <w:rFonts w:ascii="Times New Roman" w:eastAsia="HelveticaNeueLTStd-Lt" w:hAnsi="Times New Roman"/>
          <w:noProof/>
          <w:sz w:val="24"/>
          <w:szCs w:val="24"/>
        </w:rPr>
        <w:t xml:space="preserve">d for close monitoring of the development of renewable energy markets so as to to adjust tariffs to the </w:t>
      </w:r>
      <w:r>
        <w:rPr>
          <w:rFonts w:ascii="Times New Roman" w:eastAsia="HelveticaNeueLTStd-Lt" w:hAnsi="Times New Roman"/>
          <w:noProof/>
          <w:sz w:val="24"/>
          <w:szCs w:val="24"/>
        </w:rPr>
        <w:lastRenderedPageBreak/>
        <w:t>declining costs in order to avoid overcompensation and limit the overall financing cost of the support.</w:t>
      </w:r>
    </w:p>
    <w:p w:rsidR="007F60C7" w:rsidRDefault="007F60C7">
      <w:pPr>
        <w:spacing w:after="0" w:line="240" w:lineRule="auto"/>
        <w:jc w:val="both"/>
        <w:rPr>
          <w:rFonts w:ascii="Times New Roman" w:eastAsia="HelveticaNeueLTStd-Lt"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eastAsia="HelveticaNeueLTStd-Lt" w:hAnsi="Times New Roman"/>
          <w:noProof/>
          <w:sz w:val="24"/>
          <w:szCs w:val="24"/>
        </w:rPr>
        <w:t xml:space="preserve">This model was applied </w:t>
      </w:r>
      <w:r>
        <w:rPr>
          <w:rFonts w:ascii="Times New Roman" w:hAnsi="Times New Roman"/>
          <w:noProof/>
          <w:sz w:val="24"/>
          <w:szCs w:val="24"/>
        </w:rPr>
        <w:t>in 2009-2012 in Germany,</w:t>
      </w:r>
      <w:r>
        <w:rPr>
          <w:rFonts w:ascii="Times New Roman" w:hAnsi="Times New Roman"/>
          <w:noProof/>
          <w:sz w:val="24"/>
          <w:szCs w:val="24"/>
        </w:rPr>
        <w:t xml:space="preserve"> with the introduction of a premium tariff for self-consumed electricity generated from roof-top PV systems (up to 500 kW). The rapid decrease in generation cost of PV has prompted the German authorities to eliminate the premium tariff and value the self-c</w:t>
      </w:r>
      <w:r>
        <w:rPr>
          <w:rFonts w:ascii="Times New Roman" w:hAnsi="Times New Roman"/>
          <w:noProof/>
          <w:sz w:val="24"/>
          <w:szCs w:val="24"/>
        </w:rPr>
        <w:t>onsumed electricity at the retail price</w:t>
      </w:r>
      <w:r>
        <w:rPr>
          <w:rStyle w:val="FootnoteReference"/>
          <w:rFonts w:ascii="Times New Roman" w:hAnsi="Times New Roman"/>
          <w:noProof/>
          <w:sz w:val="24"/>
          <w:szCs w:val="24"/>
        </w:rPr>
        <w:footnoteReference w:id="26"/>
      </w:r>
      <w:r>
        <w:rPr>
          <w:rFonts w:ascii="Times New Roman" w:hAnsi="Times New Roman"/>
          <w:noProof/>
          <w:sz w:val="24"/>
          <w:szCs w:val="24"/>
        </w:rPr>
        <w:t xml:space="preserve">. </w:t>
      </w:r>
      <w:r>
        <w:rPr>
          <w:rFonts w:ascii="Times New Roman" w:eastAsiaTheme="minorHAnsi" w:hAnsi="Times New Roman"/>
          <w:noProof/>
          <w:sz w:val="24"/>
          <w:szCs w:val="24"/>
        </w:rPr>
        <w:t xml:space="preserve">Until July 2013, under the 'Fifth energy account', Italy also had a premium dedicated to self-consumption similar to the one in Germany. </w:t>
      </w:r>
      <w:r>
        <w:rPr>
          <w:rFonts w:ascii="Times New Roman" w:hAnsi="Times New Roman"/>
          <w:noProof/>
          <w:sz w:val="24"/>
          <w:szCs w:val="24"/>
        </w:rPr>
        <w:t>In the UK, s</w:t>
      </w:r>
      <w:r>
        <w:rPr>
          <w:rFonts w:ascii="Times New Roman" w:eastAsiaTheme="minorHAnsi" w:hAnsi="Times New Roman"/>
          <w:bCs/>
          <w:noProof/>
          <w:color w:val="000000"/>
          <w:sz w:val="24"/>
          <w:szCs w:val="24"/>
        </w:rPr>
        <w:t xml:space="preserve">maller-scale PV systems (&lt;30kWp) eligible to receive a </w:t>
      </w:r>
      <w:r>
        <w:rPr>
          <w:rFonts w:ascii="Times New Roman" w:eastAsiaTheme="minorHAnsi" w:hAnsi="Times New Roman"/>
          <w:bCs/>
          <w:noProof/>
          <w:color w:val="000000"/>
          <w:sz w:val="24"/>
          <w:szCs w:val="24"/>
        </w:rPr>
        <w:t>Feed-in-Tariff are given not only a generation tariff for the PV production (that is self-consumed) but also a bonus for the excess electricity fed into the grid.</w:t>
      </w:r>
    </w:p>
    <w:p w:rsidR="007F60C7" w:rsidRDefault="007F60C7">
      <w:pPr>
        <w:spacing w:after="0" w:line="240" w:lineRule="auto"/>
        <w:jc w:val="both"/>
        <w:rPr>
          <w:rFonts w:ascii="Times New Roman" w:eastAsia="HelveticaNeueLTStd-Lt"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b/>
          <w:i/>
          <w:noProof/>
          <w:sz w:val="24"/>
          <w:szCs w:val="24"/>
        </w:rPr>
        <w:t>Net metering approach</w:t>
      </w:r>
    </w:p>
    <w:p w:rsidR="007F60C7" w:rsidRDefault="007F60C7">
      <w:pPr>
        <w:spacing w:after="0" w:line="240" w:lineRule="auto"/>
        <w:jc w:val="both"/>
        <w:rPr>
          <w:rFonts w:ascii="Times New Roman" w:eastAsia="HelveticaNeueLTStd-Lt"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eastAsia="HelveticaNeueLTStd-Lt" w:hAnsi="Times New Roman"/>
          <w:noProof/>
          <w:sz w:val="24"/>
          <w:szCs w:val="24"/>
        </w:rPr>
        <w:t>Net metering is a regulatory framework under which the excess electri</w:t>
      </w:r>
      <w:r>
        <w:rPr>
          <w:rFonts w:ascii="Times New Roman" w:eastAsia="HelveticaNeueLTStd-Lt" w:hAnsi="Times New Roman"/>
          <w:noProof/>
          <w:sz w:val="24"/>
          <w:szCs w:val="24"/>
        </w:rPr>
        <w:t xml:space="preserve">city injected into the grid can be used at a later time to offset consumption during times when their onsite renewable </w:t>
      </w:r>
      <w:r>
        <w:rPr>
          <w:rFonts w:ascii="Times New Roman" w:hAnsi="Times New Roman"/>
          <w:noProof/>
          <w:sz w:val="24"/>
          <w:szCs w:val="24"/>
        </w:rPr>
        <w:t>generation</w:t>
      </w:r>
      <w:r>
        <w:rPr>
          <w:rFonts w:ascii="Times New Roman" w:eastAsia="HelveticaNeueLTStd-Lt" w:hAnsi="Times New Roman"/>
          <w:noProof/>
          <w:sz w:val="24"/>
          <w:szCs w:val="24"/>
        </w:rPr>
        <w:t xml:space="preserve"> is absent or not sufficient. In other words, under this scheme, consumers use the grid as a backup system for their excess pow</w:t>
      </w:r>
      <w:r>
        <w:rPr>
          <w:rFonts w:ascii="Times New Roman" w:eastAsia="HelveticaNeueLTStd-Lt" w:hAnsi="Times New Roman"/>
          <w:noProof/>
          <w:sz w:val="24"/>
          <w:szCs w:val="24"/>
        </w:rPr>
        <w:t>er production.</w:t>
      </w:r>
      <w:r>
        <w:rPr>
          <w:rFonts w:ascii="Times New Roman" w:hAnsi="Times New Roman"/>
          <w:noProof/>
          <w:sz w:val="24"/>
          <w:szCs w:val="24"/>
        </w:rPr>
        <w:t xml:space="preserve"> Generally, net metering approaches have limited the system size to which it is applicable, with limits ranging from 20 kW to 2 MW or expressed in proportion to customer’s power capacity use. The applicable billing period can extend from one </w:t>
      </w:r>
      <w:r>
        <w:rPr>
          <w:rFonts w:ascii="Times New Roman" w:hAnsi="Times New Roman"/>
          <w:noProof/>
          <w:sz w:val="24"/>
          <w:szCs w:val="24"/>
        </w:rPr>
        <w:t xml:space="preserve">hour over long periods of time (e.g. one billing period) or one year, renewable. </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Net metering schemes have proved to be effective to jump-start distributed generation markets and are progressively being introduced in a number of Member States. Outside th</w:t>
      </w:r>
      <w:r>
        <w:rPr>
          <w:rFonts w:ascii="Times New Roman" w:hAnsi="Times New Roman"/>
          <w:noProof/>
          <w:sz w:val="24"/>
          <w:szCs w:val="24"/>
        </w:rPr>
        <w:t>e EU, net metering forms the basis of support for solar PV across most US states (43 of them) and Australian states. From the consumer perspective, net energy metering is attractive and easy to apply and to understand, as it relies on the use of one single</w:t>
      </w:r>
      <w:r>
        <w:rPr>
          <w:rFonts w:ascii="Times New Roman" w:hAnsi="Times New Roman"/>
          <w:noProof/>
          <w:sz w:val="24"/>
          <w:szCs w:val="24"/>
        </w:rPr>
        <w:t xml:space="preserve"> meter. From a system perspective, however, net metering raises concerns when large deployment levels are reached. This is because remuneration of the excess production from onsite renewable energy systems is made at a retail price that in most cases excee</w:t>
      </w:r>
      <w:r>
        <w:rPr>
          <w:rFonts w:ascii="Times New Roman" w:hAnsi="Times New Roman"/>
          <w:noProof/>
          <w:sz w:val="24"/>
          <w:szCs w:val="24"/>
        </w:rPr>
        <w:t xml:space="preserve">ds the value of that generation to the electricity system. </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 xml:space="preserve">Under this model, consumers with self-generation are using the grid to artificially store electricity produced at one point of time to consume it at another point of time, without reflecting the </w:t>
      </w:r>
      <w:r>
        <w:rPr>
          <w:rFonts w:ascii="Times New Roman" w:hAnsi="Times New Roman"/>
          <w:noProof/>
          <w:sz w:val="24"/>
          <w:szCs w:val="24"/>
        </w:rPr>
        <w:t xml:space="preserve">value of electricity which may vary substantially between the time periods. An alternative approach is provided by the Italian 'net billing' scheme which calculates the value of the excess electricity fed into the grid (at wholesale price). Such value can </w:t>
      </w:r>
      <w:r>
        <w:rPr>
          <w:rFonts w:ascii="Times New Roman" w:hAnsi="Times New Roman"/>
          <w:noProof/>
          <w:sz w:val="24"/>
          <w:szCs w:val="24"/>
        </w:rPr>
        <w:t>be used as a credit for subsequent period or is paid to the consumer</w:t>
      </w:r>
      <w:r>
        <w:rPr>
          <w:rStyle w:val="FootnoteReference"/>
          <w:rFonts w:ascii="Times New Roman" w:hAnsi="Times New Roman"/>
          <w:noProof/>
          <w:sz w:val="24"/>
          <w:szCs w:val="24"/>
        </w:rPr>
        <w:footnoteReference w:id="27"/>
      </w:r>
      <w:r>
        <w:rPr>
          <w:rFonts w:ascii="Times New Roman" w:hAnsi="Times New Roman"/>
          <w:noProof/>
          <w:sz w:val="24"/>
          <w:szCs w:val="24"/>
        </w:rPr>
        <w:t>.</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lastRenderedPageBreak/>
        <w:t>This challenge explains why a number of countries in the EU and states in the USA</w:t>
      </w:r>
      <w:r>
        <w:rPr>
          <w:rStyle w:val="FootnoteReference"/>
          <w:rFonts w:ascii="Times New Roman" w:hAnsi="Times New Roman"/>
          <w:noProof/>
          <w:sz w:val="24"/>
          <w:szCs w:val="24"/>
        </w:rPr>
        <w:footnoteReference w:id="28"/>
      </w:r>
      <w:r>
        <w:rPr>
          <w:rFonts w:ascii="Times New Roman" w:hAnsi="Times New Roman"/>
          <w:noProof/>
          <w:sz w:val="24"/>
          <w:szCs w:val="24"/>
        </w:rPr>
        <w:t xml:space="preserve"> have put different forms of limits to their net metering programmes. For instance, following a surge </w:t>
      </w:r>
      <w:r>
        <w:rPr>
          <w:rFonts w:ascii="Times New Roman" w:hAnsi="Times New Roman"/>
          <w:noProof/>
          <w:sz w:val="24"/>
          <w:szCs w:val="24"/>
        </w:rPr>
        <w:t>in net-metering deployment in 2012, Denmark reformed its system to allow netting withdrawals with injections only on an hourly basis – resulting in much less netting to occur. In the Netherlands, yearly-based net-metering is allowed for ‘small users’. This</w:t>
      </w:r>
      <w:r>
        <w:rPr>
          <w:rFonts w:ascii="Times New Roman" w:hAnsi="Times New Roman"/>
          <w:noProof/>
          <w:sz w:val="24"/>
          <w:szCs w:val="24"/>
        </w:rPr>
        <w:t xml:space="preserve"> applies to systems up to 15kWp with a grid connection limited to 80A in three phases, but compensation is received for only a maximum of 5000 kWh</w:t>
      </w:r>
      <w:r>
        <w:rPr>
          <w:rStyle w:val="FootnoteReference"/>
          <w:rFonts w:ascii="Times New Roman" w:hAnsi="Times New Roman"/>
          <w:noProof/>
          <w:sz w:val="24"/>
          <w:szCs w:val="24"/>
        </w:rPr>
        <w:footnoteReference w:id="29"/>
      </w:r>
      <w:r>
        <w:rPr>
          <w:rFonts w:ascii="Times New Roman" w:hAnsi="Times New Roman"/>
          <w:noProof/>
          <w:sz w:val="24"/>
          <w:szCs w:val="24"/>
        </w:rPr>
        <w:t>. In Belgium, all regions have chosen a net-metering scheme for systems up to 10kW (10kVA) but no remuneratio</w:t>
      </w:r>
      <w:r>
        <w:rPr>
          <w:rFonts w:ascii="Times New Roman" w:hAnsi="Times New Roman"/>
          <w:noProof/>
          <w:sz w:val="24"/>
          <w:szCs w:val="24"/>
        </w:rPr>
        <w:t>n is foreseen for the excess electricity generation that is injected into the grid.</w:t>
      </w:r>
    </w:p>
    <w:p w:rsidR="007F60C7" w:rsidRDefault="007F60C7">
      <w:pPr>
        <w:spacing w:after="0" w:line="240" w:lineRule="auto"/>
        <w:rPr>
          <w:rFonts w:ascii="Times New Roman" w:hAnsi="Times New Roman"/>
          <w:b/>
          <w:noProof/>
          <w:sz w:val="24"/>
          <w:szCs w:val="24"/>
        </w:rPr>
      </w:pPr>
    </w:p>
    <w:p w:rsidR="007F60C7" w:rsidRDefault="00704701">
      <w:pPr>
        <w:spacing w:after="0" w:line="240" w:lineRule="auto"/>
        <w:rPr>
          <w:rFonts w:ascii="Times New Roman" w:hAnsi="Times New Roman"/>
          <w:b/>
          <w:i/>
          <w:noProof/>
          <w:sz w:val="24"/>
          <w:szCs w:val="24"/>
        </w:rPr>
      </w:pPr>
      <w:r>
        <w:rPr>
          <w:rFonts w:ascii="Times New Roman" w:hAnsi="Times New Roman"/>
          <w:b/>
          <w:i/>
          <w:noProof/>
          <w:sz w:val="24"/>
          <w:szCs w:val="24"/>
        </w:rPr>
        <w:t>Self-consumption and market value approach</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As the market design is reformed, further self-consumption deployment will occur on a pure market basis: the electricity that i</w:t>
      </w:r>
      <w:r>
        <w:rPr>
          <w:rFonts w:ascii="Times New Roman" w:hAnsi="Times New Roman"/>
          <w:noProof/>
          <w:sz w:val="24"/>
          <w:szCs w:val="24"/>
        </w:rPr>
        <w:t xml:space="preserve">s not self-consumed but injected into the grid would be rewarded at a market price. By offering a lower tariff for electricity injections into the grid during certain parts of the day, for instance, consumers could be incentivized to consume more of their </w:t>
      </w:r>
      <w:r>
        <w:rPr>
          <w:rFonts w:ascii="Times New Roman" w:hAnsi="Times New Roman"/>
          <w:noProof/>
          <w:sz w:val="24"/>
          <w:szCs w:val="24"/>
        </w:rPr>
        <w:t>electricity onsite. If sufficiently high, price-based incentives could begin to increase the generation and consumption in a way that is more optimal for the grid, deferring or avoiding altogether the need for upgrades and investments.</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sz w:val="24"/>
          <w:szCs w:val="24"/>
        </w:rPr>
      </w:pPr>
      <w:r>
        <w:rPr>
          <w:rFonts w:ascii="Times New Roman" w:hAnsi="Times New Roman"/>
          <w:noProof/>
          <w:sz w:val="24"/>
          <w:szCs w:val="24"/>
        </w:rPr>
        <w:t>From a policy stand</w:t>
      </w:r>
      <w:r>
        <w:rPr>
          <w:rFonts w:ascii="Times New Roman" w:hAnsi="Times New Roman"/>
          <w:noProof/>
          <w:sz w:val="24"/>
          <w:szCs w:val="24"/>
        </w:rPr>
        <w:t xml:space="preserve">point, this approach may be the most sustainable. From a consumer perspective, it can also be attractive particularly for commercial and industrial customers that can reach high self-consumption rates. For instance, in Italy for a commercial customer with </w:t>
      </w:r>
      <w:r>
        <w:rPr>
          <w:rFonts w:ascii="Times New Roman" w:hAnsi="Times New Roman"/>
          <w:noProof/>
          <w:sz w:val="24"/>
          <w:szCs w:val="24"/>
        </w:rPr>
        <w:t>a large rooftop solar PV system (1 MW) this approach appears today already as an economically attractive scheme</w:t>
      </w:r>
      <w:r>
        <w:rPr>
          <w:rStyle w:val="FootnoteReference"/>
          <w:rFonts w:ascii="Times New Roman" w:hAnsi="Times New Roman"/>
          <w:noProof/>
          <w:sz w:val="24"/>
          <w:szCs w:val="24"/>
        </w:rPr>
        <w:footnoteReference w:id="30"/>
      </w:r>
      <w:r>
        <w:rPr>
          <w:rFonts w:ascii="Times New Roman" w:hAnsi="Times New Roman"/>
          <w:noProof/>
          <w:sz w:val="24"/>
          <w:szCs w:val="24"/>
        </w:rPr>
        <w:t>. However, more research is needed to assess the implications of such a model on the financial viability of self-consumption systems for residen</w:t>
      </w:r>
      <w:r>
        <w:rPr>
          <w:rFonts w:ascii="Times New Roman" w:hAnsi="Times New Roman"/>
          <w:noProof/>
          <w:sz w:val="24"/>
          <w:szCs w:val="24"/>
        </w:rPr>
        <w:t xml:space="preserve">tial consumers. </w:t>
      </w:r>
    </w:p>
    <w:p w:rsidR="007F60C7" w:rsidRDefault="007F60C7">
      <w:pPr>
        <w:spacing w:after="0" w:line="240" w:lineRule="auto"/>
        <w:jc w:val="both"/>
        <w:rPr>
          <w:rFonts w:ascii="Times New Roman" w:hAnsi="Times New Roman"/>
          <w:noProof/>
          <w:sz w:val="24"/>
          <w:szCs w:val="24"/>
        </w:rPr>
      </w:pPr>
    </w:p>
    <w:p w:rsidR="007F60C7" w:rsidRDefault="00704701">
      <w:pPr>
        <w:spacing w:after="0" w:line="240" w:lineRule="auto"/>
        <w:jc w:val="both"/>
        <w:rPr>
          <w:rFonts w:ascii="Times New Roman" w:hAnsi="Times New Roman"/>
          <w:noProof/>
          <w:color w:val="000000"/>
          <w:sz w:val="24"/>
          <w:szCs w:val="24"/>
        </w:rPr>
      </w:pPr>
      <w:r>
        <w:rPr>
          <w:rFonts w:ascii="Times New Roman" w:hAnsi="Times New Roman"/>
          <w:noProof/>
          <w:sz w:val="24"/>
          <w:szCs w:val="24"/>
        </w:rPr>
        <w:t>Variable renewable energy systems cannot always recuperate their investment costs on the energy market alone. Furthermore, getting the true market prices for numerous but small installations may entail significant transaction costs</w:t>
      </w:r>
      <w:r>
        <w:rPr>
          <w:rStyle w:val="FootnoteReference"/>
          <w:rFonts w:ascii="Times New Roman" w:hAnsi="Times New Roman"/>
          <w:noProof/>
          <w:sz w:val="24"/>
          <w:szCs w:val="24"/>
        </w:rPr>
        <w:footnoteReference w:id="31"/>
      </w:r>
      <w:r>
        <w:rPr>
          <w:rFonts w:ascii="Times New Roman" w:hAnsi="Times New Roman"/>
          <w:noProof/>
          <w:sz w:val="24"/>
          <w:szCs w:val="24"/>
        </w:rPr>
        <w:t xml:space="preserve">. This could be done through market aggregators, but more often it is done with rates that average market prices – possibly with time-of-use variations. Under the recent Portuguese self-consumption regulation, </w:t>
      </w:r>
      <w:r>
        <w:rPr>
          <w:rFonts w:ascii="Times New Roman" w:hAnsi="Times New Roman"/>
          <w:noProof/>
          <w:color w:val="000000"/>
          <w:sz w:val="24"/>
          <w:szCs w:val="24"/>
        </w:rPr>
        <w:t xml:space="preserve">electricity injected in the grid will be paid </w:t>
      </w:r>
      <w:r>
        <w:rPr>
          <w:rFonts w:ascii="Times New Roman" w:hAnsi="Times New Roman"/>
          <w:noProof/>
          <w:color w:val="000000"/>
          <w:sz w:val="24"/>
          <w:szCs w:val="24"/>
        </w:rPr>
        <w:t xml:space="preserve">at 90% of an average Iberian spot price </w:t>
      </w:r>
      <w:r>
        <w:rPr>
          <w:rFonts w:ascii="Times New Roman" w:hAnsi="Times New Roman"/>
          <w:bCs/>
          <w:noProof/>
          <w:sz w:val="24"/>
          <w:szCs w:val="24"/>
        </w:rPr>
        <w:t>to cover integration costs</w:t>
      </w:r>
      <w:r>
        <w:rPr>
          <w:rFonts w:ascii="Times New Roman" w:hAnsi="Times New Roman"/>
          <w:noProof/>
          <w:color w:val="000000"/>
          <w:sz w:val="24"/>
          <w:szCs w:val="24"/>
        </w:rPr>
        <w:t>.</w:t>
      </w:r>
    </w:p>
    <w:p w:rsidR="007F60C7" w:rsidRDefault="007F60C7">
      <w:pPr>
        <w:spacing w:after="0" w:line="240" w:lineRule="auto"/>
        <w:jc w:val="both"/>
        <w:rPr>
          <w:rFonts w:ascii="Times New Roman" w:hAnsi="Times New Roman"/>
          <w:bCs/>
          <w:noProof/>
          <w:sz w:val="24"/>
          <w:szCs w:val="24"/>
        </w:rPr>
      </w:pPr>
    </w:p>
    <w:p w:rsidR="007F60C7" w:rsidRDefault="007F60C7">
      <w:pPr>
        <w:spacing w:after="0" w:line="240" w:lineRule="auto"/>
        <w:jc w:val="both"/>
        <w:rPr>
          <w:rFonts w:ascii="Times New Roman" w:hAnsi="Times New Roman"/>
          <w:bCs/>
          <w:noProof/>
          <w:sz w:val="24"/>
          <w:szCs w:val="24"/>
        </w:rPr>
      </w:pPr>
    </w:p>
    <w:p w:rsidR="007F60C7" w:rsidRDefault="00704701">
      <w:pPr>
        <w:pStyle w:val="Caption"/>
        <w:pBdr>
          <w:top w:val="single" w:sz="4" w:space="1" w:color="auto"/>
          <w:left w:val="single" w:sz="4" w:space="4" w:color="auto"/>
          <w:bottom w:val="single" w:sz="4" w:space="1" w:color="auto"/>
          <w:right w:val="single" w:sz="4" w:space="4" w:color="auto"/>
        </w:pBdr>
        <w:shd w:val="clear" w:color="auto" w:fill="D9D9D9" w:themeFill="background1" w:themeFillShade="D9"/>
        <w:spacing w:before="0" w:after="0" w:line="300" w:lineRule="exact"/>
        <w:rPr>
          <w:noProof/>
          <w:szCs w:val="24"/>
        </w:rPr>
      </w:pPr>
      <w:r>
        <w:rPr>
          <w:noProof/>
          <w:szCs w:val="24"/>
        </w:rPr>
        <w:t>Best practice includes:</w:t>
      </w:r>
    </w:p>
    <w:p w:rsidR="007F60C7" w:rsidRDefault="00704701">
      <w:pPr>
        <w:pStyle w:val="Caption"/>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b w:val="0"/>
          <w:i/>
          <w:noProof/>
          <w:szCs w:val="24"/>
        </w:rPr>
      </w:pPr>
      <w:r>
        <w:rPr>
          <w:b w:val="0"/>
          <w:i/>
          <w:noProof/>
          <w:szCs w:val="24"/>
        </w:rPr>
        <w:t>Monitoring of market developments and overall system impacts in order to ensure cost-effectiveness and avoid overcompensation.</w:t>
      </w:r>
    </w:p>
    <w:p w:rsidR="007F60C7" w:rsidRDefault="00704701">
      <w:pPr>
        <w:pStyle w:val="MTMRBodyText"/>
        <w:numPr>
          <w:ilvl w:val="0"/>
          <w:numId w:val="2"/>
        </w:numPr>
        <w:shd w:val="clear" w:color="auto" w:fill="D9D9D9" w:themeFill="background1" w:themeFillShade="D9"/>
        <w:spacing w:before="120" w:line="280" w:lineRule="exact"/>
        <w:ind w:left="357" w:hanging="357"/>
        <w:rPr>
          <w:b w:val="0"/>
          <w:noProof/>
          <w:sz w:val="24"/>
          <w:szCs w:val="24"/>
        </w:rPr>
      </w:pPr>
      <w:r>
        <w:rPr>
          <w:b w:val="0"/>
          <w:noProof/>
          <w:sz w:val="24"/>
          <w:szCs w:val="24"/>
        </w:rPr>
        <w:t xml:space="preserve">Preference for self-consumption </w:t>
      </w:r>
      <w:r>
        <w:rPr>
          <w:b w:val="0"/>
          <w:noProof/>
          <w:sz w:val="24"/>
          <w:szCs w:val="24"/>
        </w:rPr>
        <w:t>schemes over net metering schemes.</w:t>
      </w:r>
    </w:p>
    <w:p w:rsidR="007F60C7" w:rsidRDefault="00704701">
      <w:pPr>
        <w:pStyle w:val="Caption"/>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b w:val="0"/>
          <w:i/>
          <w:noProof/>
          <w:szCs w:val="24"/>
        </w:rPr>
      </w:pPr>
      <w:r>
        <w:rPr>
          <w:b w:val="0"/>
          <w:i/>
          <w:noProof/>
          <w:color w:val="000000"/>
          <w:szCs w:val="24"/>
        </w:rPr>
        <w:t>Limiting n</w:t>
      </w:r>
      <w:r>
        <w:rPr>
          <w:b w:val="0"/>
          <w:i/>
          <w:noProof/>
          <w:szCs w:val="24"/>
        </w:rPr>
        <w:t>et-metering  to phase-in periods and regular review in a transparent and predictably way.</w:t>
      </w:r>
    </w:p>
    <w:p w:rsidR="007F60C7" w:rsidRDefault="00704701">
      <w:pPr>
        <w:pStyle w:val="Caption"/>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b w:val="0"/>
          <w:i/>
          <w:noProof/>
          <w:szCs w:val="24"/>
        </w:rPr>
      </w:pPr>
      <w:r>
        <w:rPr>
          <w:b w:val="0"/>
          <w:i/>
          <w:noProof/>
          <w:szCs w:val="24"/>
        </w:rPr>
        <w:t>Avoidance of retroactive changes to support for existing self-consumption projects to guarantee investment security.</w:t>
      </w:r>
    </w:p>
    <w:p w:rsidR="007F60C7" w:rsidRDefault="00704701">
      <w:pPr>
        <w:pStyle w:val="Caption"/>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80" w:lineRule="exact"/>
        <w:ind w:left="357" w:hanging="357"/>
        <w:rPr>
          <w:i/>
          <w:noProof/>
          <w:szCs w:val="24"/>
        </w:rPr>
      </w:pPr>
      <w:r>
        <w:rPr>
          <w:b w:val="0"/>
          <w:i/>
          <w:noProof/>
          <w:szCs w:val="24"/>
        </w:rPr>
        <w:t>Phas</w:t>
      </w:r>
      <w:r>
        <w:rPr>
          <w:b w:val="0"/>
          <w:i/>
          <w:noProof/>
          <w:szCs w:val="24"/>
        </w:rPr>
        <w:t>ing in of short-term market exposure by valuing surplus electricity injected into the grid at the wholesale market price.</w:t>
      </w:r>
    </w:p>
    <w:p w:rsidR="007F60C7" w:rsidRDefault="00704701">
      <w:pPr>
        <w:pStyle w:val="Heading1"/>
        <w:numPr>
          <w:ilvl w:val="0"/>
          <w:numId w:val="0"/>
        </w:numPr>
        <w:spacing w:before="360" w:after="0"/>
        <w:ind w:left="431" w:hanging="431"/>
        <w:rPr>
          <w:rFonts w:ascii="Times New Roman Bold" w:hAnsi="Times New Roman Bold"/>
          <w:noProof/>
          <w:szCs w:val="23"/>
        </w:rPr>
      </w:pPr>
      <w:r>
        <w:rPr>
          <w:rFonts w:ascii="Times New Roman Bold" w:hAnsi="Times New Roman Bold"/>
          <w:noProof/>
          <w:szCs w:val="23"/>
        </w:rPr>
        <w:t>6.</w:t>
      </w:r>
      <w:r>
        <w:rPr>
          <w:rFonts w:ascii="Times New Roman Bold" w:hAnsi="Times New Roman Bold"/>
          <w:noProof/>
          <w:szCs w:val="23"/>
        </w:rPr>
        <w:tab/>
        <w:t>Conclusions</w:t>
      </w:r>
    </w:p>
    <w:p w:rsidR="007F60C7" w:rsidRDefault="007F60C7">
      <w:pPr>
        <w:pStyle w:val="Text1"/>
        <w:spacing w:after="0"/>
        <w:ind w:left="0"/>
        <w:rPr>
          <w:noProof/>
          <w:szCs w:val="23"/>
        </w:rPr>
      </w:pPr>
    </w:p>
    <w:p w:rsidR="007F60C7" w:rsidRDefault="00704701">
      <w:pPr>
        <w:spacing w:after="240" w:line="240" w:lineRule="auto"/>
        <w:jc w:val="both"/>
        <w:rPr>
          <w:rFonts w:ascii="Times New Roman" w:hAnsi="Times New Roman"/>
          <w:noProof/>
          <w:sz w:val="24"/>
          <w:szCs w:val="24"/>
        </w:rPr>
      </w:pPr>
      <w:r>
        <w:rPr>
          <w:rFonts w:ascii="Times New Roman" w:hAnsi="Times New Roman"/>
          <w:noProof/>
          <w:sz w:val="24"/>
          <w:szCs w:val="23"/>
        </w:rPr>
        <w:t xml:space="preserve">The rapid decline of renewable electricity investment costs is creating new opportunities for consumers to become energy producers, allowing them to profit from and contribute to the </w:t>
      </w:r>
      <w:r>
        <w:rPr>
          <w:rFonts w:ascii="Times New Roman" w:hAnsi="Times New Roman"/>
          <w:noProof/>
          <w:sz w:val="24"/>
          <w:szCs w:val="24"/>
        </w:rPr>
        <w:t>efficient</w:t>
      </w:r>
      <w:r>
        <w:rPr>
          <w:rFonts w:ascii="Times New Roman" w:hAnsi="Times New Roman"/>
          <w:noProof/>
          <w:sz w:val="24"/>
          <w:szCs w:val="23"/>
        </w:rPr>
        <w:t xml:space="preserve"> functioning of the energy market. As grids and markets become s</w:t>
      </w:r>
      <w:r>
        <w:rPr>
          <w:rFonts w:ascii="Times New Roman" w:hAnsi="Times New Roman"/>
          <w:noProof/>
          <w:sz w:val="24"/>
          <w:szCs w:val="23"/>
        </w:rPr>
        <w:t xml:space="preserve">marter, this emerging model of self-consumption is set to play a growing role in reducing consumers' energy bills, particularly of commercial consumers such as SME, and promoting market integration of variable renewable electricity. </w:t>
      </w:r>
      <w:r>
        <w:rPr>
          <w:rFonts w:ascii="Times New Roman" w:hAnsi="Times New Roman"/>
          <w:noProof/>
          <w:sz w:val="24"/>
          <w:szCs w:val="24"/>
        </w:rPr>
        <w:t>Member States can proac</w:t>
      </w:r>
      <w:r>
        <w:rPr>
          <w:rFonts w:ascii="Times New Roman" w:hAnsi="Times New Roman"/>
          <w:noProof/>
          <w:sz w:val="24"/>
          <w:szCs w:val="24"/>
        </w:rPr>
        <w:t>tively anticipate and accommodate the emergence of this self-consumption model, while promoting energy security, efficiency and decarbonisation.</w:t>
      </w:r>
    </w:p>
    <w:p w:rsidR="007F60C7" w:rsidRDefault="00704701">
      <w:pPr>
        <w:spacing w:after="240" w:line="240" w:lineRule="auto"/>
        <w:jc w:val="both"/>
        <w:rPr>
          <w:rFonts w:ascii="Times New Roman Bold" w:hAnsi="Times New Roman Bold"/>
          <w:b/>
          <w:smallCaps/>
          <w:noProof/>
          <w:sz w:val="24"/>
          <w:szCs w:val="24"/>
          <w:u w:val="single"/>
          <w:lang w:val="en-IE"/>
        </w:rPr>
      </w:pPr>
      <w:r>
        <w:rPr>
          <w:rFonts w:ascii="Times New Roman" w:hAnsi="Times New Roman"/>
          <w:noProof/>
          <w:sz w:val="24"/>
          <w:szCs w:val="23"/>
        </w:rPr>
        <w:t xml:space="preserve"> </w:t>
      </w:r>
      <w:r>
        <w:rPr>
          <w:rFonts w:ascii="Times New Roman Bold" w:hAnsi="Times New Roman Bold"/>
          <w:b/>
          <w:smallCaps/>
          <w:noProof/>
          <w:sz w:val="24"/>
          <w:szCs w:val="24"/>
          <w:u w:val="single"/>
          <w:lang w:val="en-IE"/>
        </w:rPr>
        <w:br w:type="page"/>
      </w:r>
    </w:p>
    <w:p w:rsidR="007F60C7" w:rsidRDefault="00704701">
      <w:pPr>
        <w:spacing w:after="0" w:line="240" w:lineRule="auto"/>
        <w:jc w:val="center"/>
        <w:rPr>
          <w:rFonts w:ascii="Times New Roman Bold" w:hAnsi="Times New Roman Bold"/>
          <w:b/>
          <w:smallCaps/>
          <w:noProof/>
          <w:sz w:val="24"/>
          <w:szCs w:val="24"/>
          <w:lang w:val="en-IE"/>
        </w:rPr>
      </w:pPr>
      <w:r>
        <w:rPr>
          <w:rFonts w:ascii="Times New Roman Bold" w:hAnsi="Times New Roman Bold"/>
          <w:b/>
          <w:smallCaps/>
          <w:noProof/>
          <w:sz w:val="24"/>
          <w:szCs w:val="24"/>
          <w:lang w:val="en-IE"/>
        </w:rPr>
        <w:lastRenderedPageBreak/>
        <w:t>Annex 1: Overview of national schemes for self-consumption of renewable energy</w:t>
      </w:r>
    </w:p>
    <w:p w:rsidR="007F60C7" w:rsidRDefault="007F60C7">
      <w:pPr>
        <w:spacing w:after="0" w:line="240" w:lineRule="auto"/>
        <w:rPr>
          <w:rFonts w:ascii="Times New Roman" w:hAnsi="Times New Roman"/>
          <w:b/>
          <w:noProof/>
          <w:sz w:val="24"/>
          <w:lang w:val="en-IE"/>
        </w:rPr>
      </w:pPr>
    </w:p>
    <w:p w:rsidR="007F60C7" w:rsidRDefault="00704701">
      <w:pPr>
        <w:spacing w:after="0" w:line="240" w:lineRule="auto"/>
        <w:rPr>
          <w:rFonts w:ascii="Times New Roman" w:hAnsi="Times New Roman"/>
          <w:noProof/>
          <w:szCs w:val="20"/>
        </w:rPr>
      </w:pPr>
      <w:r>
        <w:rPr>
          <w:rFonts w:ascii="Times New Roman" w:hAnsi="Times New Roman"/>
          <w:b/>
          <w:noProof/>
          <w:szCs w:val="20"/>
          <w:lang w:val="en-IE"/>
        </w:rPr>
        <w:t xml:space="preserve">1. Self-consumption (SC) </w:t>
      </w:r>
      <w:r>
        <w:rPr>
          <w:rFonts w:ascii="Times New Roman" w:hAnsi="Times New Roman"/>
          <w:b/>
          <w:noProof/>
          <w:szCs w:val="20"/>
          <w:lang w:val="en-IE"/>
        </w:rPr>
        <w:t>schemes.</w:t>
      </w:r>
      <w:r>
        <w:rPr>
          <w:rFonts w:ascii="Times New Roman" w:hAnsi="Times New Roman"/>
          <w:noProof/>
          <w:szCs w:val="20"/>
          <w:lang w:val="en-IE"/>
        </w:rPr>
        <w:t xml:space="preserve"> </w:t>
      </w:r>
      <w:r>
        <w:rPr>
          <w:rFonts w:ascii="Times New Roman" w:hAnsi="Times New Roman"/>
          <w:noProof/>
          <w:szCs w:val="20"/>
        </w:rPr>
        <w:t xml:space="preserve">Various sources, including information provide by MS. </w:t>
      </w:r>
    </w:p>
    <w:tbl>
      <w:tblPr>
        <w:tblStyle w:val="TableGrid"/>
        <w:tblW w:w="8789" w:type="dxa"/>
        <w:tblInd w:w="108" w:type="dxa"/>
        <w:tblLayout w:type="fixed"/>
        <w:tblLook w:val="04A0" w:firstRow="1" w:lastRow="0" w:firstColumn="1" w:lastColumn="0" w:noHBand="0" w:noVBand="1"/>
      </w:tblPr>
      <w:tblGrid>
        <w:gridCol w:w="1134"/>
        <w:gridCol w:w="4395"/>
        <w:gridCol w:w="3260"/>
      </w:tblGrid>
      <w:tr w:rsidR="007F60C7">
        <w:tc>
          <w:tcPr>
            <w:tcW w:w="1134" w:type="dxa"/>
          </w:tcPr>
          <w:p w:rsidR="007F60C7" w:rsidRDefault="00704701">
            <w:pPr>
              <w:rPr>
                <w:rFonts w:ascii="Times New Roman" w:hAnsi="Times New Roman"/>
                <w:b/>
                <w:i/>
                <w:noProof/>
                <w:sz w:val="20"/>
                <w:szCs w:val="20"/>
              </w:rPr>
            </w:pPr>
            <w:r>
              <w:rPr>
                <w:rFonts w:ascii="Times New Roman" w:hAnsi="Times New Roman"/>
                <w:b/>
                <w:i/>
                <w:noProof/>
                <w:sz w:val="20"/>
                <w:szCs w:val="20"/>
              </w:rPr>
              <w:t>Member State</w:t>
            </w:r>
          </w:p>
        </w:tc>
        <w:tc>
          <w:tcPr>
            <w:tcW w:w="4395" w:type="dxa"/>
          </w:tcPr>
          <w:p w:rsidR="007F60C7" w:rsidRDefault="00704701">
            <w:pPr>
              <w:rPr>
                <w:rFonts w:ascii="Times New Roman" w:hAnsi="Times New Roman"/>
                <w:b/>
                <w:i/>
                <w:noProof/>
                <w:sz w:val="20"/>
                <w:szCs w:val="20"/>
              </w:rPr>
            </w:pPr>
            <w:r>
              <w:rPr>
                <w:rFonts w:ascii="Times New Roman" w:hAnsi="Times New Roman"/>
                <w:b/>
                <w:bCs/>
                <w:i/>
                <w:noProof/>
                <w:sz w:val="20"/>
                <w:szCs w:val="20"/>
              </w:rPr>
              <w:t>Remuneration for self-consumed or surplus electricity sold to the grid</w:t>
            </w:r>
          </w:p>
        </w:tc>
        <w:tc>
          <w:tcPr>
            <w:tcW w:w="3260" w:type="dxa"/>
          </w:tcPr>
          <w:p w:rsidR="007F60C7" w:rsidRDefault="00704701">
            <w:pPr>
              <w:rPr>
                <w:rFonts w:ascii="Times New Roman" w:hAnsi="Times New Roman"/>
                <w:b/>
                <w:i/>
                <w:noProof/>
                <w:sz w:val="20"/>
                <w:szCs w:val="20"/>
              </w:rPr>
            </w:pPr>
            <w:r>
              <w:rPr>
                <w:rFonts w:ascii="Times New Roman" w:hAnsi="Times New Roman"/>
                <w:b/>
                <w:bCs/>
                <w:i/>
                <w:noProof/>
                <w:sz w:val="20"/>
                <w:szCs w:val="20"/>
              </w:rPr>
              <w:t>Grid and system cost contribution</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Austria </w:t>
            </w:r>
          </w:p>
        </w:tc>
        <w:tc>
          <w:tcPr>
            <w:tcW w:w="4395"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Private purchase agreement (PPA)</w:t>
            </w:r>
          </w:p>
        </w:tc>
        <w:tc>
          <w:tcPr>
            <w:tcW w:w="3260"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&gt;</w:t>
            </w:r>
            <w:r>
              <w:rPr>
                <w:rFonts w:ascii="Times New Roman" w:hAnsi="Times New Roman"/>
                <w:bCs/>
                <w:noProof/>
                <w:sz w:val="20"/>
                <w:szCs w:val="20"/>
                <w:lang w:val="en-IE"/>
              </w:rPr>
              <w:t xml:space="preserve">25 MWh/y pay 1.5 € cent/kWh on SC electricity </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Croatia </w:t>
            </w:r>
          </w:p>
        </w:tc>
        <w:tc>
          <w:tcPr>
            <w:tcW w:w="4395"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PV system &lt;300 kWp, 80% at the FiT rate </w:t>
            </w:r>
          </w:p>
        </w:tc>
        <w:tc>
          <w:tcPr>
            <w:tcW w:w="3260"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Exempted</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Denmark</w:t>
            </w:r>
          </w:p>
        </w:tc>
        <w:tc>
          <w:tcPr>
            <w:tcW w:w="4395"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FiT (0.08 €/kWh)</w:t>
            </w:r>
          </w:p>
        </w:tc>
        <w:tc>
          <w:tcPr>
            <w:tcW w:w="3260" w:type="dxa"/>
          </w:tcPr>
          <w:p w:rsidR="007F60C7" w:rsidRDefault="00704701">
            <w:pPr>
              <w:pStyle w:val="NoSpacing"/>
              <w:rPr>
                <w:rFonts w:ascii="Times New Roman" w:hAnsi="Times New Roman" w:cs="Times New Roman"/>
                <w:noProof/>
                <w:sz w:val="20"/>
                <w:szCs w:val="20"/>
                <w:lang w:val="en-IE"/>
              </w:rPr>
            </w:pPr>
            <w:r>
              <w:rPr>
                <w:rFonts w:ascii="Times New Roman" w:hAnsi="Times New Roman" w:cs="Times New Roman"/>
                <w:noProof/>
                <w:sz w:val="20"/>
                <w:szCs w:val="20"/>
                <w:lang w:val="en-IE"/>
              </w:rPr>
              <w:t>&lt; 50kW: no taxes or PSO charge</w:t>
            </w:r>
          </w:p>
          <w:p w:rsidR="007F60C7" w:rsidRDefault="00704701">
            <w:pPr>
              <w:pStyle w:val="NoSpacing"/>
              <w:rPr>
                <w:rFonts w:ascii="Times New Roman" w:hAnsi="Times New Roman" w:cs="Times New Roman"/>
                <w:noProof/>
                <w:sz w:val="20"/>
                <w:szCs w:val="20"/>
                <w:lang w:val="en-IE"/>
              </w:rPr>
            </w:pPr>
            <w:r>
              <w:rPr>
                <w:rFonts w:ascii="Times New Roman" w:hAnsi="Times New Roman" w:cs="Times New Roman"/>
                <w:noProof/>
                <w:sz w:val="20"/>
                <w:szCs w:val="20"/>
                <w:lang w:val="en-IE"/>
              </w:rPr>
              <w:t>&gt; 50kW: no RES surcharge</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Cyprus</w:t>
            </w:r>
          </w:p>
        </w:tc>
        <w:tc>
          <w:tcPr>
            <w:tcW w:w="4395" w:type="dxa"/>
          </w:tcPr>
          <w:p w:rsidR="007F60C7" w:rsidRDefault="00704701">
            <w:pPr>
              <w:rPr>
                <w:rFonts w:ascii="Times New Roman" w:hAnsi="Times New Roman"/>
                <w:noProof/>
                <w:sz w:val="20"/>
                <w:szCs w:val="20"/>
                <w:lang w:val="en-IE"/>
              </w:rPr>
            </w:pPr>
            <w:r>
              <w:rPr>
                <w:rFonts w:ascii="Times New Roman" w:hAnsi="Times New Roman"/>
                <w:noProof/>
                <w:sz w:val="20"/>
                <w:szCs w:val="20"/>
              </w:rPr>
              <w:t>PV system</w:t>
            </w:r>
            <w:r>
              <w:rPr>
                <w:rFonts w:ascii="Times New Roman" w:hAnsi="Times New Roman"/>
                <w:noProof/>
                <w:sz w:val="20"/>
                <w:szCs w:val="20"/>
                <w:lang w:val="en-IE"/>
              </w:rPr>
              <w:t xml:space="preserve">&lt; </w:t>
            </w:r>
            <w:r>
              <w:rPr>
                <w:rFonts w:ascii="Times New Roman" w:hAnsi="Times New Roman"/>
                <w:noProof/>
                <w:sz w:val="20"/>
                <w:szCs w:val="20"/>
              </w:rPr>
              <w:t xml:space="preserve">500kWp, 5 MW yearly cap (under revision), no </w:t>
            </w:r>
            <w:r>
              <w:rPr>
                <w:rFonts w:ascii="Times New Roman" w:hAnsi="Times New Roman"/>
                <w:noProof/>
                <w:sz w:val="20"/>
                <w:szCs w:val="20"/>
              </w:rPr>
              <w:t>compensation</w:t>
            </w:r>
          </w:p>
        </w:tc>
        <w:tc>
          <w:tcPr>
            <w:tcW w:w="3260" w:type="dxa"/>
          </w:tcPr>
          <w:p w:rsidR="007F60C7" w:rsidRDefault="00704701">
            <w:pPr>
              <w:rPr>
                <w:rFonts w:ascii="Times New Roman" w:hAnsi="Times New Roman"/>
                <w:noProof/>
                <w:sz w:val="20"/>
                <w:szCs w:val="20"/>
              </w:rPr>
            </w:pPr>
            <w:r>
              <w:rPr>
                <w:rFonts w:ascii="Times New Roman" w:hAnsi="Times New Roman"/>
                <w:noProof/>
                <w:sz w:val="20"/>
                <w:szCs w:val="20"/>
              </w:rPr>
              <w:t>Fixed Network charges:</w:t>
            </w:r>
          </w:p>
          <w:p w:rsidR="007F60C7" w:rsidRDefault="00704701">
            <w:pPr>
              <w:autoSpaceDE w:val="0"/>
              <w:autoSpaceDN w:val="0"/>
              <w:adjustRightInd w:val="0"/>
              <w:rPr>
                <w:rFonts w:ascii="Times New Roman" w:eastAsiaTheme="minorHAnsi" w:hAnsi="Times New Roman"/>
                <w:noProof/>
                <w:color w:val="000000"/>
                <w:sz w:val="20"/>
                <w:szCs w:val="20"/>
              </w:rPr>
            </w:pPr>
            <w:r>
              <w:rPr>
                <w:rFonts w:ascii="Times New Roman" w:eastAsiaTheme="minorHAnsi" w:hAnsi="Times New Roman"/>
                <w:noProof/>
                <w:color w:val="000000"/>
                <w:sz w:val="20"/>
                <w:szCs w:val="20"/>
              </w:rPr>
              <w:t xml:space="preserve">H. Voltage 1,31 € cent/kWh </w:t>
            </w:r>
          </w:p>
          <w:p w:rsidR="007F60C7" w:rsidRDefault="00704701">
            <w:pPr>
              <w:autoSpaceDE w:val="0"/>
              <w:autoSpaceDN w:val="0"/>
              <w:adjustRightInd w:val="0"/>
              <w:rPr>
                <w:rFonts w:ascii="Times New Roman" w:eastAsiaTheme="minorHAnsi" w:hAnsi="Times New Roman"/>
                <w:noProof/>
                <w:color w:val="000000"/>
                <w:sz w:val="20"/>
                <w:szCs w:val="20"/>
              </w:rPr>
            </w:pPr>
            <w:r>
              <w:rPr>
                <w:rFonts w:ascii="Times New Roman" w:eastAsiaTheme="minorHAnsi" w:hAnsi="Times New Roman"/>
                <w:noProof/>
                <w:color w:val="000000"/>
                <w:sz w:val="20"/>
                <w:szCs w:val="20"/>
              </w:rPr>
              <w:t>M</w:t>
            </w:r>
            <w:r>
              <w:rPr>
                <w:rFonts w:ascii="Times New Roman" w:eastAsiaTheme="minorHAnsi" w:hAnsi="Times New Roman"/>
                <w:noProof/>
                <w:color w:val="000000"/>
                <w:sz w:val="20"/>
                <w:szCs w:val="20"/>
                <w:lang w:val="en-US"/>
              </w:rPr>
              <w:t>.</w:t>
            </w:r>
            <w:r>
              <w:rPr>
                <w:rFonts w:ascii="Times New Roman" w:eastAsiaTheme="minorHAnsi" w:hAnsi="Times New Roman"/>
                <w:noProof/>
                <w:color w:val="000000"/>
                <w:sz w:val="20"/>
                <w:szCs w:val="20"/>
              </w:rPr>
              <w:t xml:space="preserve"> Voltage</w:t>
            </w:r>
            <w:r>
              <w:rPr>
                <w:rFonts w:ascii="Times New Roman" w:eastAsiaTheme="minorHAnsi" w:hAnsi="Times New Roman"/>
                <w:noProof/>
                <w:color w:val="000000"/>
                <w:sz w:val="20"/>
                <w:szCs w:val="20"/>
                <w:lang w:val="en-US"/>
              </w:rPr>
              <w:t xml:space="preserve"> 1,63 € cent/kWh</w:t>
            </w:r>
          </w:p>
          <w:p w:rsidR="007F60C7" w:rsidRDefault="00704701">
            <w:pPr>
              <w:autoSpaceDE w:val="0"/>
              <w:autoSpaceDN w:val="0"/>
              <w:adjustRightInd w:val="0"/>
              <w:rPr>
                <w:rFonts w:ascii="Times New Roman" w:eastAsiaTheme="minorHAnsi" w:hAnsi="Times New Roman"/>
                <w:noProof/>
                <w:color w:val="000000"/>
                <w:sz w:val="20"/>
                <w:szCs w:val="20"/>
              </w:rPr>
            </w:pPr>
            <w:r>
              <w:rPr>
                <w:rFonts w:ascii="Times New Roman" w:eastAsiaTheme="minorHAnsi" w:hAnsi="Times New Roman"/>
                <w:noProof/>
                <w:color w:val="000000"/>
                <w:sz w:val="20"/>
                <w:szCs w:val="20"/>
              </w:rPr>
              <w:t>L</w:t>
            </w:r>
            <w:r>
              <w:rPr>
                <w:rFonts w:ascii="Times New Roman" w:eastAsiaTheme="minorHAnsi" w:hAnsi="Times New Roman"/>
                <w:noProof/>
                <w:color w:val="000000"/>
                <w:sz w:val="20"/>
                <w:szCs w:val="20"/>
                <w:lang w:val="en-US"/>
              </w:rPr>
              <w:t xml:space="preserve">. </w:t>
            </w:r>
            <w:r>
              <w:rPr>
                <w:rFonts w:ascii="Times New Roman" w:eastAsiaTheme="minorHAnsi" w:hAnsi="Times New Roman"/>
                <w:noProof/>
                <w:color w:val="000000"/>
                <w:sz w:val="20"/>
                <w:szCs w:val="20"/>
              </w:rPr>
              <w:t xml:space="preserve">Voltage </w:t>
            </w:r>
            <w:r>
              <w:rPr>
                <w:rFonts w:ascii="Times New Roman" w:eastAsiaTheme="minorHAnsi" w:hAnsi="Times New Roman"/>
                <w:noProof/>
                <w:color w:val="000000"/>
                <w:sz w:val="20"/>
                <w:szCs w:val="20"/>
                <w:lang w:val="en-US"/>
              </w:rPr>
              <w:t xml:space="preserve">2,01 € cent/kWh </w:t>
            </w:r>
          </w:p>
          <w:p w:rsidR="007F60C7" w:rsidRDefault="00704701">
            <w:pPr>
              <w:autoSpaceDE w:val="0"/>
              <w:autoSpaceDN w:val="0"/>
              <w:adjustRightInd w:val="0"/>
              <w:rPr>
                <w:rFonts w:ascii="Times New Roman" w:eastAsiaTheme="minorHAnsi" w:hAnsi="Times New Roman"/>
                <w:noProof/>
                <w:color w:val="000000"/>
                <w:sz w:val="20"/>
                <w:szCs w:val="20"/>
              </w:rPr>
            </w:pPr>
            <w:r>
              <w:rPr>
                <w:rFonts w:ascii="Times New Roman" w:eastAsiaTheme="minorHAnsi" w:hAnsi="Times New Roman"/>
                <w:noProof/>
                <w:color w:val="000000"/>
                <w:sz w:val="20"/>
                <w:szCs w:val="20"/>
              </w:rPr>
              <w:t xml:space="preserve">RES levy 0.5 </w:t>
            </w:r>
            <w:r>
              <w:rPr>
                <w:rFonts w:ascii="Times New Roman" w:eastAsiaTheme="minorHAnsi" w:hAnsi="Times New Roman"/>
                <w:noProof/>
                <w:color w:val="000000"/>
                <w:sz w:val="20"/>
                <w:szCs w:val="20"/>
                <w:lang w:val="en-US"/>
              </w:rPr>
              <w:t>€</w:t>
            </w:r>
            <w:r>
              <w:rPr>
                <w:rFonts w:ascii="Times New Roman" w:eastAsiaTheme="minorHAnsi" w:hAnsi="Times New Roman"/>
                <w:noProof/>
                <w:color w:val="000000"/>
                <w:sz w:val="20"/>
                <w:szCs w:val="20"/>
              </w:rPr>
              <w:t xml:space="preserve"> cent/kWh</w:t>
            </w:r>
          </w:p>
          <w:p w:rsidR="007F60C7" w:rsidRDefault="00704701">
            <w:pPr>
              <w:autoSpaceDE w:val="0"/>
              <w:autoSpaceDN w:val="0"/>
              <w:adjustRightInd w:val="0"/>
              <w:rPr>
                <w:rFonts w:ascii="Times New Roman" w:eastAsiaTheme="minorHAnsi" w:hAnsi="Times New Roman"/>
                <w:noProof/>
                <w:color w:val="000000"/>
                <w:sz w:val="20"/>
                <w:szCs w:val="20"/>
              </w:rPr>
            </w:pPr>
            <w:r>
              <w:rPr>
                <w:rFonts w:ascii="Times New Roman" w:eastAsiaTheme="minorHAnsi" w:hAnsi="Times New Roman"/>
                <w:noProof/>
                <w:color w:val="000000"/>
                <w:sz w:val="20"/>
                <w:szCs w:val="20"/>
              </w:rPr>
              <w:t>Public service obligation 0,134€cent/kWh</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Germany</w:t>
            </w:r>
          </w:p>
        </w:tc>
        <w:tc>
          <w:tcPr>
            <w:tcW w:w="4395"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&lt; 90% production: applicable FIT or FIP rate</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&gt; 90% production, </w:t>
            </w:r>
            <w:r>
              <w:rPr>
                <w:rFonts w:ascii="Times New Roman" w:hAnsi="Times New Roman"/>
                <w:noProof/>
                <w:sz w:val="20"/>
                <w:szCs w:val="20"/>
                <w:lang w:val="en-IE"/>
              </w:rPr>
              <w:t>either:</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a) average spot market price for solar energy (4-5 €ct/kWh)</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b) income from electricity sale (market or PPA) plus management premium of 1.2 €ct/kWh (decreasing to 0.7 €ct /kWh by 2015)</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PV system &gt; 100 kWp (from 2016): </w:t>
            </w:r>
            <w:r>
              <w:rPr>
                <w:rFonts w:ascii="Times New Roman" w:hAnsi="Times New Roman"/>
                <w:bCs/>
                <w:noProof/>
                <w:sz w:val="20"/>
                <w:szCs w:val="20"/>
                <w:lang w:val="en-IE"/>
              </w:rPr>
              <w:t>market price</w:t>
            </w:r>
          </w:p>
        </w:tc>
        <w:tc>
          <w:tcPr>
            <w:tcW w:w="3260"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Before 01/08/2014 </w:t>
            </w:r>
            <w:r>
              <w:rPr>
                <w:rFonts w:ascii="Times New Roman" w:hAnsi="Times New Roman"/>
                <w:noProof/>
                <w:sz w:val="20"/>
                <w:szCs w:val="20"/>
                <w:lang w:val="en-IE"/>
              </w:rPr>
              <w:t xml:space="preserve">: exemptedAfter 01/08/2014 :  exempted if &lt; 10 kWp and  &lt; 10 MWh/year </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If &gt;10 kWp or &gt; 10 MWh/y : subject to reduced RES-surcharge:</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30% by end 2015</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35% by end 2016:</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40% by end 2017</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Germany</w:t>
            </w:r>
          </w:p>
        </w:tc>
        <w:tc>
          <w:tcPr>
            <w:tcW w:w="4395"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&lt; 90% production: applicable FIT or FIP rate</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&gt; 90%production, </w:t>
            </w:r>
            <w:r>
              <w:rPr>
                <w:rFonts w:ascii="Times New Roman" w:hAnsi="Times New Roman"/>
                <w:noProof/>
                <w:sz w:val="20"/>
                <w:szCs w:val="20"/>
                <w:lang w:val="en-IE"/>
              </w:rPr>
              <w:t>either:</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a) average spot market price for solar energy (4-5 €ct/kWh)</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b) income from electricity sale (market or PPA) plus management premium of 1.2 €ct/kWh (decreasing to 0.7 €ct /kWh by 2015)</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PV system &gt; 100 kWp (from 2016): </w:t>
            </w:r>
            <w:r>
              <w:rPr>
                <w:rFonts w:ascii="Times New Roman" w:hAnsi="Times New Roman"/>
                <w:bCs/>
                <w:noProof/>
                <w:sz w:val="20"/>
                <w:szCs w:val="20"/>
                <w:lang w:val="en-IE"/>
              </w:rPr>
              <w:t>market price</w:t>
            </w:r>
          </w:p>
        </w:tc>
        <w:tc>
          <w:tcPr>
            <w:tcW w:w="3260"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Before 01/08/2014 </w:t>
            </w:r>
            <w:r>
              <w:rPr>
                <w:rFonts w:ascii="Times New Roman" w:hAnsi="Times New Roman"/>
                <w:noProof/>
                <w:sz w:val="20"/>
                <w:szCs w:val="20"/>
                <w:lang w:val="en-IE"/>
              </w:rPr>
              <w:t xml:space="preserve">: exempted. </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After 01/08/2014 :  exempted if &lt; 10 kWp and  &lt; 10 MWh/year. </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If &gt;10 kWp or &gt; 10 MWh/y : subject to reduced RES-surcharge:</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30% by end 2015, 35% by end 2016, </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40% by end 2017</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Finland</w:t>
            </w:r>
          </w:p>
        </w:tc>
        <w:tc>
          <w:tcPr>
            <w:tcW w:w="4395"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Private purchase agreement (PPA)</w:t>
            </w:r>
          </w:p>
        </w:tc>
        <w:tc>
          <w:tcPr>
            <w:tcW w:w="3260" w:type="dxa"/>
            <w:shd w:val="clear" w:color="auto" w:fill="auto"/>
          </w:tcPr>
          <w:p w:rsidR="007F60C7" w:rsidRDefault="00704701">
            <w:pPr>
              <w:rPr>
                <w:rFonts w:ascii="Times New Roman" w:hAnsi="Times New Roman"/>
                <w:noProof/>
                <w:sz w:val="20"/>
                <w:szCs w:val="20"/>
              </w:rPr>
            </w:pPr>
            <w:r>
              <w:rPr>
                <w:rFonts w:ascii="Times New Roman" w:hAnsi="Times New Roman"/>
                <w:noProof/>
                <w:sz w:val="20"/>
                <w:szCs w:val="20"/>
                <w:lang w:val="en-IE"/>
              </w:rPr>
              <w:t>&lt;</w:t>
            </w:r>
            <w:r>
              <w:rPr>
                <w:rFonts w:ascii="Times New Roman" w:hAnsi="Times New Roman"/>
                <w:noProof/>
                <w:sz w:val="20"/>
                <w:szCs w:val="20"/>
                <w:lang w:val="en-US"/>
              </w:rPr>
              <w:t>100 kVA or 800.000 kWh,</w:t>
            </w:r>
            <w:r>
              <w:rPr>
                <w:rFonts w:ascii="Times New Roman" w:hAnsi="Times New Roman"/>
                <w:noProof/>
                <w:sz w:val="20"/>
                <w:szCs w:val="20"/>
              </w:rPr>
              <w:t xml:space="preserve"> ex</w:t>
            </w:r>
            <w:r>
              <w:rPr>
                <w:rFonts w:ascii="Times New Roman" w:hAnsi="Times New Roman"/>
                <w:noProof/>
                <w:sz w:val="20"/>
                <w:szCs w:val="20"/>
              </w:rPr>
              <w:t>empted from electricity tax, electricity transfer fee, and VAT</w:t>
            </w:r>
          </w:p>
          <w:p w:rsidR="007F60C7" w:rsidRDefault="00704701">
            <w:pPr>
              <w:rPr>
                <w:rFonts w:ascii="Times New Roman" w:hAnsi="Times New Roman"/>
                <w:noProof/>
                <w:sz w:val="20"/>
                <w:szCs w:val="20"/>
                <w:lang w:val="en-IE"/>
              </w:rPr>
            </w:pPr>
            <w:r>
              <w:rPr>
                <w:rFonts w:ascii="Times New Roman" w:hAnsi="Times New Roman"/>
                <w:noProof/>
                <w:sz w:val="20"/>
                <w:szCs w:val="20"/>
              </w:rPr>
              <w:t>- fixed part of the grid charge applies</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France</w:t>
            </w:r>
          </w:p>
        </w:tc>
        <w:tc>
          <w:tcPr>
            <w:tcW w:w="7655" w:type="dxa"/>
            <w:gridSpan w:val="2"/>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Under discussion</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Italy</w:t>
            </w:r>
          </w:p>
        </w:tc>
        <w:tc>
          <w:tcPr>
            <w:tcW w:w="4395"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&lt;20 MWe: private purchase agreement (PPA)</w:t>
            </w:r>
          </w:p>
        </w:tc>
        <w:tc>
          <w:tcPr>
            <w:tcW w:w="3260" w:type="dxa"/>
            <w:shd w:val="clear" w:color="auto" w:fill="auto"/>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&lt; 20kW, exempted from grid and system costs</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20-200kW partially exempted</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&gt;200kW </w:t>
            </w:r>
            <w:r>
              <w:rPr>
                <w:rFonts w:ascii="Times New Roman" w:hAnsi="Times New Roman"/>
                <w:noProof/>
                <w:sz w:val="20"/>
                <w:szCs w:val="20"/>
                <w:lang w:val="en-IE"/>
              </w:rPr>
              <w:t>exempted only from system costs</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Latvia</w:t>
            </w:r>
          </w:p>
        </w:tc>
        <w:tc>
          <w:tcPr>
            <w:tcW w:w="7655" w:type="dxa"/>
            <w:gridSpan w:val="2"/>
          </w:tcPr>
          <w:p w:rsidR="007F60C7" w:rsidRDefault="00704701">
            <w:pPr>
              <w:rPr>
                <w:rFonts w:ascii="Times New Roman" w:hAnsi="Times New Roman"/>
                <w:noProof/>
                <w:sz w:val="20"/>
                <w:szCs w:val="20"/>
                <w:lang w:val="en-IE"/>
              </w:rPr>
            </w:pPr>
            <w:r>
              <w:rPr>
                <w:rFonts w:ascii="Times New Roman" w:hAnsi="Times New Roman"/>
                <w:bCs/>
                <w:noProof/>
                <w:sz w:val="20"/>
                <w:szCs w:val="20"/>
                <w:lang w:val="en-IE"/>
              </w:rPr>
              <w:t>Regulation still to be adopted</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Malta</w:t>
            </w:r>
          </w:p>
        </w:tc>
        <w:tc>
          <w:tcPr>
            <w:tcW w:w="4395"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Private purchase agreement (PPA)</w:t>
            </w:r>
          </w:p>
        </w:tc>
        <w:tc>
          <w:tcPr>
            <w:tcW w:w="3260"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Exempted</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Portugal</w:t>
            </w:r>
          </w:p>
        </w:tc>
        <w:tc>
          <w:tcPr>
            <w:tcW w:w="4395" w:type="dxa"/>
          </w:tcPr>
          <w:p w:rsidR="007F60C7" w:rsidRDefault="00704701">
            <w:pPr>
              <w:rPr>
                <w:rFonts w:ascii="Times New Roman" w:hAnsi="Times New Roman"/>
                <w:bCs/>
                <w:noProof/>
                <w:sz w:val="20"/>
                <w:szCs w:val="20"/>
                <w:lang w:val="en-IE"/>
              </w:rPr>
            </w:pPr>
            <w:r>
              <w:rPr>
                <w:rFonts w:ascii="Times New Roman" w:hAnsi="Times New Roman"/>
                <w:bCs/>
                <w:noProof/>
                <w:sz w:val="20"/>
                <w:szCs w:val="20"/>
                <w:lang w:val="en-IE"/>
              </w:rPr>
              <w:t xml:space="preserve">Average Iberian electricity market price minus 10% </w:t>
            </w:r>
          </w:p>
        </w:tc>
        <w:tc>
          <w:tcPr>
            <w:tcW w:w="3260" w:type="dxa"/>
          </w:tcPr>
          <w:p w:rsidR="007F60C7" w:rsidRDefault="00704701">
            <w:pPr>
              <w:rPr>
                <w:rFonts w:ascii="Times New Roman" w:hAnsi="Times New Roman"/>
                <w:bCs/>
                <w:noProof/>
                <w:sz w:val="20"/>
                <w:szCs w:val="20"/>
                <w:lang w:val="en-IE"/>
              </w:rPr>
            </w:pPr>
            <w:r>
              <w:rPr>
                <w:rFonts w:ascii="Times New Roman" w:hAnsi="Times New Roman"/>
                <w:bCs/>
                <w:noProof/>
                <w:sz w:val="20"/>
                <w:szCs w:val="20"/>
                <w:lang w:val="en-IE"/>
              </w:rPr>
              <w:t xml:space="preserve">If SC systems capacity </w:t>
            </w:r>
            <w:r>
              <w:rPr>
                <w:rFonts w:ascii="Times New Roman" w:hAnsi="Times New Roman"/>
                <w:noProof/>
                <w:sz w:val="20"/>
                <w:szCs w:val="20"/>
                <w:lang w:val="en-IE"/>
              </w:rPr>
              <w:t>&lt;</w:t>
            </w:r>
            <w:r>
              <w:rPr>
                <w:rFonts w:ascii="Times New Roman" w:hAnsi="Times New Roman"/>
                <w:bCs/>
                <w:noProof/>
                <w:sz w:val="20"/>
                <w:szCs w:val="20"/>
                <w:lang w:val="en-IE"/>
              </w:rPr>
              <w:t>1% of total power capacity (TPC): SC exempted</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&gt;1% </w:t>
            </w:r>
            <w:r>
              <w:rPr>
                <w:rFonts w:ascii="Times New Roman" w:hAnsi="Times New Roman"/>
                <w:noProof/>
                <w:sz w:val="20"/>
                <w:szCs w:val="20"/>
                <w:lang w:val="en-IE"/>
              </w:rPr>
              <w:t>and &lt;</w:t>
            </w:r>
            <w:r>
              <w:rPr>
                <w:rFonts w:ascii="Times New Roman" w:hAnsi="Times New Roman"/>
                <w:bCs/>
                <w:noProof/>
                <w:sz w:val="20"/>
                <w:szCs w:val="20"/>
                <w:lang w:val="en-IE"/>
              </w:rPr>
              <w:t xml:space="preserve">3%, SC pays 30% grid fees, </w:t>
            </w:r>
            <w:r>
              <w:rPr>
                <w:rFonts w:ascii="Times New Roman" w:hAnsi="Times New Roman"/>
                <w:noProof/>
                <w:sz w:val="20"/>
                <w:szCs w:val="20"/>
                <w:lang w:val="en-IE"/>
              </w:rPr>
              <w:t xml:space="preserve">&gt;3%, SC pays 50% grid fees </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Spain</w:t>
            </w:r>
          </w:p>
        </w:tc>
        <w:tc>
          <w:tcPr>
            <w:tcW w:w="7655" w:type="dxa"/>
            <w:gridSpan w:val="2"/>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Up to 100 kWp</w:t>
            </w:r>
            <w:r>
              <w:rPr>
                <w:rFonts w:ascii="Times New Roman" w:hAnsi="Times New Roman"/>
                <w:bCs/>
                <w:noProof/>
                <w:sz w:val="20"/>
                <w:szCs w:val="20"/>
                <w:lang w:val="en-IE"/>
              </w:rPr>
              <w:t>, regulation still to be adopted</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Slovakia</w:t>
            </w:r>
          </w:p>
        </w:tc>
        <w:tc>
          <w:tcPr>
            <w:tcW w:w="4395" w:type="dxa"/>
          </w:tcPr>
          <w:p w:rsidR="007F60C7" w:rsidRDefault="00704701">
            <w:pPr>
              <w:rPr>
                <w:rFonts w:ascii="Times New Roman" w:hAnsi="Times New Roman"/>
                <w:bCs/>
                <w:noProof/>
                <w:sz w:val="20"/>
                <w:szCs w:val="20"/>
                <w:lang w:val="en-IE"/>
              </w:rPr>
            </w:pPr>
            <w:r>
              <w:rPr>
                <w:rFonts w:ascii="Times New Roman" w:hAnsi="Times New Roman"/>
                <w:noProof/>
                <w:sz w:val="20"/>
                <w:szCs w:val="20"/>
              </w:rPr>
              <w:t xml:space="preserve">Household with voltage level </w:t>
            </w:r>
            <w:r>
              <w:rPr>
                <w:rFonts w:ascii="Times New Roman" w:hAnsi="Times New Roman"/>
                <w:noProof/>
                <w:sz w:val="20"/>
                <w:szCs w:val="20"/>
                <w:lang w:val="en-IE"/>
              </w:rPr>
              <w:t>&lt;</w:t>
            </w:r>
            <w:r>
              <w:rPr>
                <w:rFonts w:ascii="Times New Roman" w:hAnsi="Times New Roman"/>
                <w:noProof/>
                <w:sz w:val="20"/>
                <w:szCs w:val="20"/>
              </w:rPr>
              <w:t>0.4/0.23kV, connection capacity</w:t>
            </w:r>
            <w:r>
              <w:rPr>
                <w:rFonts w:ascii="Times New Roman" w:hAnsi="Times New Roman"/>
                <w:noProof/>
                <w:sz w:val="20"/>
                <w:szCs w:val="20"/>
                <w:lang w:val="en-IE"/>
              </w:rPr>
              <w:t>&lt;</w:t>
            </w:r>
            <w:r>
              <w:rPr>
                <w:rFonts w:ascii="Times New Roman" w:hAnsi="Times New Roman"/>
                <w:noProof/>
                <w:sz w:val="20"/>
                <w:szCs w:val="20"/>
              </w:rPr>
              <w:t>16 A</w:t>
            </w:r>
            <w:r>
              <w:rPr>
                <w:rFonts w:ascii="Times New Roman" w:hAnsi="Times New Roman"/>
                <w:bCs/>
                <w:noProof/>
                <w:sz w:val="20"/>
                <w:szCs w:val="20"/>
                <w:lang w:val="en-IE"/>
              </w:rPr>
              <w:t xml:space="preserve"> </w:t>
            </w:r>
          </w:p>
          <w:p w:rsidR="007F60C7" w:rsidRDefault="00704701">
            <w:pPr>
              <w:rPr>
                <w:rFonts w:ascii="Times New Roman" w:hAnsi="Times New Roman"/>
                <w:bCs/>
                <w:noProof/>
                <w:sz w:val="20"/>
                <w:szCs w:val="20"/>
                <w:lang w:val="en-IE"/>
              </w:rPr>
            </w:pPr>
            <w:r>
              <w:rPr>
                <w:rFonts w:ascii="Times New Roman" w:hAnsi="Times New Roman"/>
                <w:bCs/>
                <w:noProof/>
                <w:sz w:val="20"/>
                <w:szCs w:val="20"/>
                <w:lang w:val="en-IE"/>
              </w:rPr>
              <w:t>No compensation for excess power</w:t>
            </w:r>
          </w:p>
        </w:tc>
        <w:tc>
          <w:tcPr>
            <w:tcW w:w="3260" w:type="dxa"/>
          </w:tcPr>
          <w:p w:rsidR="007F60C7" w:rsidRDefault="00704701">
            <w:pPr>
              <w:rPr>
                <w:rFonts w:ascii="Times New Roman" w:hAnsi="Times New Roman"/>
                <w:noProof/>
                <w:sz w:val="20"/>
                <w:szCs w:val="20"/>
                <w:lang w:val="en-IE"/>
              </w:rPr>
            </w:pPr>
            <w:r>
              <w:rPr>
                <w:rFonts w:ascii="Times New Roman" w:hAnsi="Times New Roman"/>
                <w:bCs/>
                <w:noProof/>
                <w:sz w:val="20"/>
                <w:szCs w:val="20"/>
                <w:lang w:val="en-IE"/>
              </w:rPr>
              <w:t>Regulations still to be adopted</w:t>
            </w:r>
          </w:p>
        </w:tc>
      </w:tr>
      <w:tr w:rsidR="007F60C7">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United Kingdom</w:t>
            </w:r>
          </w:p>
        </w:tc>
        <w:tc>
          <w:tcPr>
            <w:tcW w:w="4395" w:type="dxa"/>
          </w:tcPr>
          <w:p w:rsidR="007F60C7" w:rsidRDefault="00704701">
            <w:pPr>
              <w:pStyle w:val="NormalWeb"/>
              <w:rPr>
                <w:noProof/>
                <w:sz w:val="20"/>
                <w:szCs w:val="20"/>
                <w:lang w:val="en-IE"/>
              </w:rPr>
            </w:pPr>
            <w:r>
              <w:rPr>
                <w:noProof/>
                <w:sz w:val="20"/>
                <w:szCs w:val="20"/>
              </w:rPr>
              <w:t xml:space="preserve">PV and wind systems </w:t>
            </w:r>
            <w:r>
              <w:rPr>
                <w:noProof/>
                <w:sz w:val="20"/>
                <w:szCs w:val="20"/>
                <w:lang w:val="en-IE"/>
              </w:rPr>
              <w:t xml:space="preserve">&lt; 50 kWp: generation tariff + export premium of </w:t>
            </w:r>
            <w:r>
              <w:rPr>
                <w:noProof/>
                <w:sz w:val="20"/>
                <w:szCs w:val="20"/>
                <w:lang w:val="en"/>
              </w:rPr>
              <w:t xml:space="preserve">4.77p </w:t>
            </w:r>
            <w:r>
              <w:rPr>
                <w:noProof/>
                <w:sz w:val="20"/>
                <w:szCs w:val="20"/>
                <w:lang w:val="en-IE"/>
              </w:rPr>
              <w:t>£/kWh</w:t>
            </w:r>
            <w:r>
              <w:rPr>
                <w:noProof/>
                <w:sz w:val="20"/>
                <w:szCs w:val="20"/>
                <w:lang w:val="en"/>
              </w:rPr>
              <w:t xml:space="preserve"> </w:t>
            </w:r>
            <w:r>
              <w:rPr>
                <w:noProof/>
                <w:sz w:val="20"/>
                <w:szCs w:val="20"/>
                <w:lang w:val="en-IE"/>
              </w:rPr>
              <w:t xml:space="preserve"> for up to 50% of excess power fed into the grid</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&gt; 50 kWp and &lt; 5 MWp : Feed-in-tariff  </w:t>
            </w:r>
          </w:p>
        </w:tc>
        <w:tc>
          <w:tcPr>
            <w:tcW w:w="3260" w:type="dxa"/>
            <w:shd w:val="clear" w:color="auto" w:fill="auto"/>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Exempted</w:t>
            </w:r>
          </w:p>
        </w:tc>
      </w:tr>
    </w:tbl>
    <w:p w:rsidR="007F60C7" w:rsidRDefault="00704701">
      <w:pPr>
        <w:spacing w:after="0" w:line="240" w:lineRule="auto"/>
        <w:rPr>
          <w:rFonts w:ascii="Times New Roman" w:hAnsi="Times New Roman"/>
          <w:noProof/>
          <w:szCs w:val="21"/>
        </w:rPr>
      </w:pPr>
      <w:r>
        <w:rPr>
          <w:rFonts w:ascii="Times New Roman" w:hAnsi="Times New Roman"/>
          <w:b/>
          <w:noProof/>
          <w:szCs w:val="21"/>
          <w:lang w:val="en-IE"/>
        </w:rPr>
        <w:lastRenderedPageBreak/>
        <w:t>2. Net metering schemes.</w:t>
      </w:r>
      <w:r>
        <w:rPr>
          <w:rFonts w:ascii="Times New Roman" w:hAnsi="Times New Roman"/>
          <w:noProof/>
          <w:szCs w:val="21"/>
          <w:lang w:val="en-IE"/>
        </w:rPr>
        <w:t xml:space="preserve"> </w:t>
      </w:r>
      <w:r>
        <w:rPr>
          <w:rFonts w:ascii="Times New Roman" w:hAnsi="Times New Roman"/>
          <w:noProof/>
          <w:szCs w:val="21"/>
        </w:rPr>
        <w:t xml:space="preserve">Various sources, including </w:t>
      </w:r>
      <w:r>
        <w:rPr>
          <w:rFonts w:ascii="Times New Roman" w:hAnsi="Times New Roman"/>
          <w:noProof/>
          <w:szCs w:val="21"/>
        </w:rPr>
        <w:t>information provide by MS.</w:t>
      </w:r>
    </w:p>
    <w:p w:rsidR="007F60C7" w:rsidRDefault="007F60C7">
      <w:pPr>
        <w:spacing w:after="0" w:line="240" w:lineRule="auto"/>
        <w:rPr>
          <w:rFonts w:ascii="Times New Roman" w:hAnsi="Times New Roman"/>
          <w:noProof/>
          <w:szCs w:val="21"/>
          <w:lang w:val="en-IE"/>
        </w:rPr>
      </w:pPr>
    </w:p>
    <w:tbl>
      <w:tblPr>
        <w:tblStyle w:val="TableGrid"/>
        <w:tblW w:w="8789" w:type="dxa"/>
        <w:tblInd w:w="108" w:type="dxa"/>
        <w:tblLayout w:type="fixed"/>
        <w:tblLook w:val="04A0" w:firstRow="1" w:lastRow="0" w:firstColumn="1" w:lastColumn="0" w:noHBand="0" w:noVBand="1"/>
      </w:tblPr>
      <w:tblGrid>
        <w:gridCol w:w="1276"/>
        <w:gridCol w:w="2410"/>
        <w:gridCol w:w="1134"/>
        <w:gridCol w:w="2268"/>
        <w:gridCol w:w="1701"/>
      </w:tblGrid>
      <w:tr w:rsidR="007F60C7">
        <w:tc>
          <w:tcPr>
            <w:tcW w:w="1276" w:type="dxa"/>
          </w:tcPr>
          <w:p w:rsidR="007F60C7" w:rsidRDefault="00704701">
            <w:pPr>
              <w:rPr>
                <w:rFonts w:ascii="Times New Roman" w:hAnsi="Times New Roman"/>
                <w:b/>
                <w:i/>
                <w:noProof/>
                <w:sz w:val="20"/>
                <w:szCs w:val="20"/>
                <w:lang w:val="en-IE"/>
              </w:rPr>
            </w:pPr>
            <w:r>
              <w:rPr>
                <w:rFonts w:ascii="Times New Roman" w:hAnsi="Times New Roman"/>
                <w:b/>
                <w:i/>
                <w:noProof/>
                <w:sz w:val="20"/>
                <w:szCs w:val="20"/>
                <w:lang w:val="en-IE"/>
              </w:rPr>
              <w:t>Member State</w:t>
            </w:r>
          </w:p>
        </w:tc>
        <w:tc>
          <w:tcPr>
            <w:tcW w:w="2410" w:type="dxa"/>
          </w:tcPr>
          <w:p w:rsidR="007F60C7" w:rsidRDefault="00704701">
            <w:pPr>
              <w:rPr>
                <w:rFonts w:ascii="Times New Roman" w:hAnsi="Times New Roman"/>
                <w:b/>
                <w:i/>
                <w:noProof/>
                <w:sz w:val="20"/>
                <w:szCs w:val="20"/>
                <w:lang w:val="en-IE"/>
              </w:rPr>
            </w:pPr>
            <w:r>
              <w:rPr>
                <w:rFonts w:ascii="Times New Roman" w:hAnsi="Times New Roman"/>
                <w:b/>
                <w:i/>
                <w:noProof/>
                <w:sz w:val="20"/>
                <w:szCs w:val="20"/>
                <w:lang w:val="en-IE"/>
              </w:rPr>
              <w:t>Eligibility requirements</w:t>
            </w:r>
          </w:p>
        </w:tc>
        <w:tc>
          <w:tcPr>
            <w:tcW w:w="1134" w:type="dxa"/>
          </w:tcPr>
          <w:p w:rsidR="007F60C7" w:rsidRDefault="00704701">
            <w:pPr>
              <w:rPr>
                <w:rFonts w:ascii="Times New Roman" w:hAnsi="Times New Roman"/>
                <w:b/>
                <w:i/>
                <w:noProof/>
                <w:sz w:val="20"/>
                <w:szCs w:val="20"/>
                <w:u w:val="single"/>
                <w:lang w:val="en-IE"/>
              </w:rPr>
            </w:pPr>
            <w:r>
              <w:rPr>
                <w:rFonts w:ascii="Times New Roman" w:hAnsi="Times New Roman"/>
                <w:b/>
                <w:bCs/>
                <w:i/>
                <w:noProof/>
                <w:sz w:val="20"/>
                <w:szCs w:val="20"/>
                <w:lang w:val="en-IE"/>
              </w:rPr>
              <w:t>Netting period</w:t>
            </w:r>
          </w:p>
        </w:tc>
        <w:tc>
          <w:tcPr>
            <w:tcW w:w="2268" w:type="dxa"/>
          </w:tcPr>
          <w:p w:rsidR="007F60C7" w:rsidRDefault="00704701">
            <w:pPr>
              <w:rPr>
                <w:rFonts w:ascii="Times New Roman" w:hAnsi="Times New Roman"/>
                <w:b/>
                <w:bCs/>
                <w:i/>
                <w:noProof/>
                <w:sz w:val="20"/>
                <w:szCs w:val="20"/>
                <w:lang w:val="en-IE"/>
              </w:rPr>
            </w:pPr>
            <w:r>
              <w:rPr>
                <w:rFonts w:ascii="Times New Roman" w:hAnsi="Times New Roman"/>
                <w:b/>
                <w:bCs/>
                <w:i/>
                <w:noProof/>
                <w:sz w:val="20"/>
                <w:szCs w:val="20"/>
                <w:lang w:val="en-IE"/>
              </w:rPr>
              <w:t>Electricity compensation</w:t>
            </w:r>
          </w:p>
        </w:tc>
        <w:tc>
          <w:tcPr>
            <w:tcW w:w="1701" w:type="dxa"/>
          </w:tcPr>
          <w:p w:rsidR="007F60C7" w:rsidRDefault="00704701">
            <w:pPr>
              <w:rPr>
                <w:rFonts w:ascii="Times New Roman" w:hAnsi="Times New Roman"/>
                <w:b/>
                <w:bCs/>
                <w:i/>
                <w:noProof/>
                <w:sz w:val="20"/>
                <w:szCs w:val="20"/>
                <w:lang w:val="en-IE"/>
              </w:rPr>
            </w:pPr>
            <w:r>
              <w:rPr>
                <w:rFonts w:ascii="Times New Roman" w:hAnsi="Times New Roman"/>
                <w:b/>
                <w:bCs/>
                <w:i/>
                <w:noProof/>
                <w:sz w:val="20"/>
                <w:szCs w:val="20"/>
                <w:lang w:val="en-IE"/>
              </w:rPr>
              <w:t>Capacity cap</w:t>
            </w:r>
          </w:p>
        </w:tc>
      </w:tr>
      <w:tr w:rsidR="007F60C7">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Belgium </w:t>
            </w:r>
          </w:p>
        </w:tc>
        <w:tc>
          <w:tcPr>
            <w:tcW w:w="2410" w:type="dxa"/>
          </w:tcPr>
          <w:p w:rsidR="007F60C7" w:rsidRDefault="00704701">
            <w:pPr>
              <w:rPr>
                <w:rFonts w:ascii="Times New Roman" w:hAnsi="Times New Roman"/>
                <w:noProof/>
                <w:sz w:val="20"/>
                <w:szCs w:val="20"/>
              </w:rPr>
            </w:pPr>
            <w:r>
              <w:rPr>
                <w:rFonts w:ascii="Times New Roman" w:hAnsi="Times New Roman"/>
                <w:noProof/>
                <w:sz w:val="20"/>
                <w:szCs w:val="20"/>
              </w:rPr>
              <w:t>RES systems connection</w:t>
            </w:r>
          </w:p>
          <w:p w:rsidR="007F60C7" w:rsidRDefault="00704701">
            <w:pPr>
              <w:rPr>
                <w:rFonts w:ascii="Times New Roman" w:hAnsi="Times New Roman"/>
                <w:noProof/>
                <w:sz w:val="20"/>
                <w:szCs w:val="20"/>
                <w:lang w:val="nn-NO"/>
              </w:rPr>
            </w:pPr>
            <w:r>
              <w:rPr>
                <w:rFonts w:ascii="Times New Roman" w:hAnsi="Times New Roman"/>
                <w:noProof/>
                <w:sz w:val="20"/>
                <w:szCs w:val="20"/>
              </w:rPr>
              <w:t xml:space="preserve"> </w:t>
            </w:r>
            <w:r>
              <w:rPr>
                <w:rFonts w:ascii="Times New Roman" w:hAnsi="Times New Roman"/>
                <w:noProof/>
                <w:sz w:val="20"/>
                <w:szCs w:val="20"/>
                <w:lang w:val="nn-NO"/>
              </w:rPr>
              <w:t>&lt;10 kVA (5 kVA in Brussels) ~ +/-12 kWp</w:t>
            </w:r>
          </w:p>
        </w:tc>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Yearly</w:t>
            </w:r>
          </w:p>
        </w:tc>
        <w:tc>
          <w:tcPr>
            <w:tcW w:w="2268"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All categories of PV owners.</w:t>
            </w:r>
          </w:p>
        </w:tc>
        <w:tc>
          <w:tcPr>
            <w:tcW w:w="1701"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N/A</w:t>
            </w:r>
          </w:p>
        </w:tc>
      </w:tr>
      <w:tr w:rsidR="007F60C7">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Cyprus </w:t>
            </w:r>
          </w:p>
        </w:tc>
        <w:tc>
          <w:tcPr>
            <w:tcW w:w="2410" w:type="dxa"/>
          </w:tcPr>
          <w:p w:rsidR="007F60C7" w:rsidRDefault="00704701">
            <w:pPr>
              <w:rPr>
                <w:rFonts w:ascii="Times New Roman" w:hAnsi="Times New Roman"/>
                <w:noProof/>
                <w:sz w:val="20"/>
                <w:szCs w:val="20"/>
                <w:lang w:val="en-IE"/>
              </w:rPr>
            </w:pPr>
            <w:r>
              <w:rPr>
                <w:rFonts w:ascii="Times New Roman" w:hAnsi="Times New Roman"/>
                <w:noProof/>
                <w:sz w:val="20"/>
                <w:szCs w:val="20"/>
              </w:rPr>
              <w:t xml:space="preserve">Household and municipal PV </w:t>
            </w:r>
            <w:r>
              <w:rPr>
                <w:rFonts w:ascii="Times New Roman" w:hAnsi="Times New Roman"/>
                <w:bCs/>
                <w:noProof/>
                <w:sz w:val="20"/>
                <w:szCs w:val="20"/>
                <w:lang w:val="en-IE"/>
              </w:rPr>
              <w:t xml:space="preserve">systems </w:t>
            </w:r>
            <w:r>
              <w:rPr>
                <w:rFonts w:ascii="Times New Roman" w:hAnsi="Times New Roman"/>
                <w:noProof/>
                <w:sz w:val="20"/>
                <w:szCs w:val="20"/>
                <w:lang w:val="en-IE"/>
              </w:rPr>
              <w:t xml:space="preserve">&lt; </w:t>
            </w:r>
            <w:r>
              <w:rPr>
                <w:rFonts w:ascii="Times New Roman" w:hAnsi="Times New Roman"/>
                <w:noProof/>
                <w:sz w:val="20"/>
                <w:szCs w:val="20"/>
              </w:rPr>
              <w:t>3 kW</w:t>
            </w:r>
          </w:p>
        </w:tc>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Yearly</w:t>
            </w:r>
          </w:p>
        </w:tc>
        <w:tc>
          <w:tcPr>
            <w:tcW w:w="2268"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Retail price</w:t>
            </w:r>
          </w:p>
          <w:p w:rsidR="007F60C7" w:rsidRDefault="00704701">
            <w:pPr>
              <w:rPr>
                <w:rFonts w:ascii="Times New Roman" w:hAnsi="Times New Roman"/>
                <w:noProof/>
                <w:sz w:val="20"/>
                <w:szCs w:val="20"/>
                <w:lang w:val="en-IE"/>
              </w:rPr>
            </w:pPr>
            <w:r>
              <w:rPr>
                <w:rFonts w:ascii="Times New Roman" w:hAnsi="Times New Roman"/>
                <w:noProof/>
                <w:sz w:val="20"/>
                <w:szCs w:val="20"/>
              </w:rPr>
              <w:t>- Subsidy of 900 Euro/kW for vulnerable consumers</w:t>
            </w:r>
          </w:p>
        </w:tc>
        <w:tc>
          <w:tcPr>
            <w:tcW w:w="1701" w:type="dxa"/>
          </w:tcPr>
          <w:p w:rsidR="007F60C7" w:rsidRDefault="007F60C7">
            <w:pPr>
              <w:rPr>
                <w:rFonts w:ascii="Times New Roman" w:hAnsi="Times New Roman"/>
                <w:noProof/>
                <w:sz w:val="20"/>
                <w:szCs w:val="20"/>
              </w:rPr>
            </w:pPr>
          </w:p>
          <w:p w:rsidR="007F60C7" w:rsidRDefault="00704701">
            <w:pPr>
              <w:rPr>
                <w:rFonts w:ascii="Times New Roman" w:hAnsi="Times New Roman"/>
                <w:noProof/>
                <w:sz w:val="20"/>
                <w:szCs w:val="20"/>
                <w:lang w:val="en-IE"/>
              </w:rPr>
            </w:pPr>
            <w:r>
              <w:rPr>
                <w:rFonts w:ascii="Times New Roman" w:hAnsi="Times New Roman"/>
                <w:noProof/>
                <w:sz w:val="20"/>
                <w:szCs w:val="20"/>
              </w:rPr>
              <w:t>10 MW per year</w:t>
            </w:r>
          </w:p>
        </w:tc>
      </w:tr>
      <w:tr w:rsidR="007F60C7">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Denmark </w:t>
            </w:r>
          </w:p>
        </w:tc>
        <w:tc>
          <w:tcPr>
            <w:tcW w:w="2410" w:type="dxa"/>
          </w:tcPr>
          <w:p w:rsidR="007F60C7" w:rsidRDefault="00704701">
            <w:pPr>
              <w:rPr>
                <w:rFonts w:ascii="Times New Roman" w:hAnsi="Times New Roman"/>
                <w:noProof/>
                <w:sz w:val="20"/>
                <w:szCs w:val="20"/>
                <w:lang w:val="fr-BE"/>
              </w:rPr>
            </w:pPr>
            <w:r>
              <w:rPr>
                <w:rFonts w:ascii="Times New Roman" w:hAnsi="Times New Roman"/>
                <w:noProof/>
                <w:sz w:val="20"/>
                <w:szCs w:val="20"/>
                <w:lang w:val="fr-BE"/>
              </w:rPr>
              <w:t xml:space="preserve">Non-commercial RES </w:t>
            </w:r>
            <w:r>
              <w:rPr>
                <w:rFonts w:ascii="Times New Roman" w:hAnsi="Times New Roman"/>
                <w:bCs/>
                <w:noProof/>
                <w:sz w:val="20"/>
                <w:szCs w:val="20"/>
                <w:lang w:val="fr-BE"/>
              </w:rPr>
              <w:t xml:space="preserve">systems </w:t>
            </w:r>
            <w:r>
              <w:rPr>
                <w:rFonts w:ascii="Times New Roman" w:hAnsi="Times New Roman"/>
                <w:noProof/>
                <w:sz w:val="20"/>
                <w:szCs w:val="20"/>
                <w:lang w:val="fr-BE"/>
              </w:rPr>
              <w:t>&lt;6 kW</w:t>
            </w:r>
          </w:p>
        </w:tc>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Hourly</w:t>
            </w:r>
          </w:p>
        </w:tc>
        <w:tc>
          <w:tcPr>
            <w:tcW w:w="2268"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Retail price</w:t>
            </w:r>
          </w:p>
        </w:tc>
        <w:tc>
          <w:tcPr>
            <w:tcW w:w="1701"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N/A</w:t>
            </w:r>
          </w:p>
        </w:tc>
      </w:tr>
      <w:tr w:rsidR="007F60C7">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Greece</w:t>
            </w:r>
          </w:p>
        </w:tc>
        <w:tc>
          <w:tcPr>
            <w:tcW w:w="2410"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PV systems &lt;20 kWp</w:t>
            </w:r>
          </w:p>
        </w:tc>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Yearly</w:t>
            </w:r>
          </w:p>
        </w:tc>
        <w:tc>
          <w:tcPr>
            <w:tcW w:w="2268"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Retail price</w:t>
            </w:r>
          </w:p>
        </w:tc>
        <w:tc>
          <w:tcPr>
            <w:tcW w:w="1701"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N/A</w:t>
            </w:r>
          </w:p>
        </w:tc>
      </w:tr>
      <w:tr w:rsidR="007F60C7">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Italy</w:t>
            </w:r>
          </w:p>
        </w:tc>
        <w:tc>
          <w:tcPr>
            <w:tcW w:w="2410"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RES systems: </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&lt;200kW (after 31/12/2007)</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&lt;500kW (after 1/01/2015)</w:t>
            </w:r>
          </w:p>
        </w:tc>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Yearly</w:t>
            </w:r>
          </w:p>
        </w:tc>
        <w:tc>
          <w:tcPr>
            <w:tcW w:w="2268"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Net-billing system: remuneration based on time-of-use price</w:t>
            </w:r>
          </w:p>
        </w:tc>
        <w:tc>
          <w:tcPr>
            <w:tcW w:w="1701"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N/A</w:t>
            </w:r>
          </w:p>
        </w:tc>
      </w:tr>
      <w:tr w:rsidR="007F60C7">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Hungary</w:t>
            </w:r>
          </w:p>
        </w:tc>
        <w:tc>
          <w:tcPr>
            <w:tcW w:w="2410" w:type="dxa"/>
          </w:tcPr>
          <w:p w:rsidR="007F60C7" w:rsidRDefault="00704701">
            <w:pPr>
              <w:rPr>
                <w:rFonts w:ascii="Times New Roman" w:hAnsi="Times New Roman"/>
                <w:noProof/>
                <w:sz w:val="20"/>
                <w:szCs w:val="20"/>
                <w:lang w:val="en-IE"/>
              </w:rPr>
            </w:pPr>
            <w:r>
              <w:rPr>
                <w:rFonts w:ascii="Times New Roman" w:hAnsi="Times New Roman"/>
                <w:noProof/>
                <w:sz w:val="20"/>
                <w:szCs w:val="20"/>
              </w:rPr>
              <w:t xml:space="preserve">Household </w:t>
            </w:r>
            <w:r>
              <w:rPr>
                <w:rFonts w:ascii="Times New Roman" w:hAnsi="Times New Roman"/>
                <w:noProof/>
                <w:sz w:val="20"/>
                <w:szCs w:val="20"/>
                <w:lang w:val="en-IE"/>
              </w:rPr>
              <w:t xml:space="preserve">and commercial RES </w:t>
            </w:r>
            <w:r>
              <w:rPr>
                <w:rFonts w:ascii="Times New Roman" w:hAnsi="Times New Roman"/>
                <w:bCs/>
                <w:noProof/>
                <w:sz w:val="20"/>
                <w:szCs w:val="20"/>
                <w:lang w:val="en-IE"/>
              </w:rPr>
              <w:t xml:space="preserve">systems </w:t>
            </w:r>
            <w:r>
              <w:rPr>
                <w:rFonts w:ascii="Times New Roman" w:hAnsi="Times New Roman"/>
                <w:noProof/>
                <w:sz w:val="20"/>
                <w:szCs w:val="20"/>
                <w:lang w:val="en-IE"/>
              </w:rPr>
              <w:t xml:space="preserve">&lt;50 kW, </w:t>
            </w:r>
            <w:r>
              <w:rPr>
                <w:rFonts w:ascii="Times New Roman" w:hAnsi="Times New Roman"/>
                <w:noProof/>
                <w:sz w:val="20"/>
                <w:szCs w:val="20"/>
              </w:rPr>
              <w:t xml:space="preserve">connection size </w:t>
            </w:r>
            <w:r>
              <w:rPr>
                <w:rFonts w:ascii="Times New Roman" w:hAnsi="Times New Roman"/>
                <w:noProof/>
                <w:sz w:val="20"/>
                <w:szCs w:val="20"/>
                <w:lang w:val="en-IE"/>
              </w:rPr>
              <w:t>&lt;</w:t>
            </w:r>
            <w:r>
              <w:rPr>
                <w:rFonts w:ascii="Times New Roman" w:hAnsi="Times New Roman"/>
                <w:noProof/>
                <w:sz w:val="20"/>
                <w:szCs w:val="20"/>
              </w:rPr>
              <w:t>3x63A</w:t>
            </w:r>
          </w:p>
        </w:tc>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rPr>
              <w:t>Negotiated with DSO (monthly, half-yearly o</w:t>
            </w:r>
            <w:r>
              <w:rPr>
                <w:rFonts w:ascii="Times New Roman" w:hAnsi="Times New Roman"/>
                <w:noProof/>
                <w:sz w:val="20"/>
                <w:szCs w:val="20"/>
              </w:rPr>
              <w:t>r yearly)</w:t>
            </w:r>
          </w:p>
        </w:tc>
        <w:tc>
          <w:tcPr>
            <w:tcW w:w="2268" w:type="dxa"/>
          </w:tcPr>
          <w:p w:rsidR="007F60C7" w:rsidRDefault="00704701">
            <w:pPr>
              <w:rPr>
                <w:rFonts w:ascii="Times New Roman" w:hAnsi="Times New Roman"/>
                <w:noProof/>
                <w:sz w:val="20"/>
                <w:szCs w:val="20"/>
              </w:rPr>
            </w:pPr>
            <w:r>
              <w:rPr>
                <w:rFonts w:ascii="Times New Roman" w:hAnsi="Times New Roman"/>
                <w:noProof/>
                <w:sz w:val="20"/>
                <w:szCs w:val="20"/>
                <w:lang w:val="en-IE"/>
              </w:rPr>
              <w:t>Retail price,</w:t>
            </w:r>
            <w:r>
              <w:rPr>
                <w:rFonts w:ascii="Times New Roman" w:hAnsi="Times New Roman"/>
                <w:noProof/>
                <w:sz w:val="20"/>
                <w:szCs w:val="20"/>
              </w:rPr>
              <w:t xml:space="preserve"> </w:t>
            </w:r>
            <w:r>
              <w:rPr>
                <w:rFonts w:ascii="Times New Roman" w:hAnsi="Times New Roman"/>
                <w:noProof/>
                <w:sz w:val="20"/>
                <w:szCs w:val="20"/>
                <w:lang w:val="en-IE"/>
              </w:rPr>
              <w:t>which is free from system charges.</w:t>
            </w:r>
          </w:p>
        </w:tc>
        <w:tc>
          <w:tcPr>
            <w:tcW w:w="1701"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N/A</w:t>
            </w:r>
          </w:p>
        </w:tc>
      </w:tr>
      <w:tr w:rsidR="007F60C7">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 xml:space="preserve">Latvia </w:t>
            </w:r>
          </w:p>
        </w:tc>
        <w:tc>
          <w:tcPr>
            <w:tcW w:w="2410" w:type="dxa"/>
          </w:tcPr>
          <w:p w:rsidR="007F60C7" w:rsidRDefault="00704701">
            <w:pPr>
              <w:rPr>
                <w:rFonts w:ascii="Times New Roman" w:hAnsi="Times New Roman"/>
                <w:noProof/>
                <w:sz w:val="20"/>
                <w:szCs w:val="20"/>
                <w:lang w:val="en-IE"/>
              </w:rPr>
            </w:pPr>
            <w:r>
              <w:rPr>
                <w:rFonts w:ascii="Times New Roman" w:hAnsi="Times New Roman"/>
                <w:noProof/>
                <w:sz w:val="20"/>
                <w:szCs w:val="20"/>
              </w:rPr>
              <w:t xml:space="preserve">Household RES </w:t>
            </w:r>
            <w:r>
              <w:rPr>
                <w:rFonts w:ascii="Times New Roman" w:hAnsi="Times New Roman"/>
                <w:bCs/>
                <w:noProof/>
                <w:sz w:val="20"/>
                <w:szCs w:val="20"/>
                <w:lang w:val="en-IE"/>
              </w:rPr>
              <w:t xml:space="preserve">systems </w:t>
            </w:r>
            <w:r>
              <w:rPr>
                <w:rFonts w:ascii="Times New Roman" w:hAnsi="Times New Roman"/>
                <w:noProof/>
                <w:sz w:val="20"/>
                <w:szCs w:val="20"/>
                <w:lang w:val="en-IE"/>
              </w:rPr>
              <w:t>&lt;</w:t>
            </w:r>
            <w:r>
              <w:rPr>
                <w:rFonts w:ascii="Times New Roman" w:hAnsi="Times New Roman"/>
                <w:noProof/>
                <w:sz w:val="20"/>
                <w:szCs w:val="20"/>
              </w:rPr>
              <w:t>11 kW, with installation &lt;400V and &lt;16A per connection</w:t>
            </w:r>
          </w:p>
        </w:tc>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Yearly</w:t>
            </w:r>
          </w:p>
        </w:tc>
        <w:tc>
          <w:tcPr>
            <w:tcW w:w="2268"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Retail price</w:t>
            </w:r>
          </w:p>
        </w:tc>
        <w:tc>
          <w:tcPr>
            <w:tcW w:w="1701"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N/A</w:t>
            </w:r>
          </w:p>
        </w:tc>
      </w:tr>
      <w:tr w:rsidR="007F60C7">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Netherlands</w:t>
            </w:r>
          </w:p>
        </w:tc>
        <w:tc>
          <w:tcPr>
            <w:tcW w:w="2410" w:type="dxa"/>
          </w:tcPr>
          <w:p w:rsidR="007F60C7" w:rsidRDefault="00704701">
            <w:pPr>
              <w:rPr>
                <w:rFonts w:ascii="Times New Roman" w:hAnsi="Times New Roman"/>
                <w:noProof/>
                <w:sz w:val="20"/>
                <w:szCs w:val="20"/>
                <w:lang w:val="en-IE"/>
              </w:rPr>
            </w:pPr>
            <w:r>
              <w:rPr>
                <w:rFonts w:ascii="Times New Roman" w:hAnsi="Times New Roman"/>
                <w:bCs/>
                <w:noProof/>
                <w:sz w:val="20"/>
                <w:szCs w:val="20"/>
                <w:lang w:val="en-IE"/>
              </w:rPr>
              <w:t>C</w:t>
            </w:r>
            <w:r>
              <w:rPr>
                <w:rFonts w:ascii="Times New Roman" w:hAnsi="Times New Roman"/>
                <w:noProof/>
                <w:sz w:val="20"/>
                <w:szCs w:val="20"/>
                <w:lang w:val="en-IE"/>
              </w:rPr>
              <w:t xml:space="preserve">onnection size </w:t>
            </w:r>
          </w:p>
          <w:p w:rsidR="007F60C7" w:rsidRDefault="00704701">
            <w:pPr>
              <w:rPr>
                <w:rFonts w:ascii="Times New Roman" w:hAnsi="Times New Roman"/>
                <w:noProof/>
                <w:sz w:val="20"/>
                <w:szCs w:val="20"/>
                <w:lang w:val="en-IE"/>
              </w:rPr>
            </w:pPr>
            <w:r>
              <w:rPr>
                <w:rFonts w:ascii="Times New Roman" w:hAnsi="Times New Roman"/>
                <w:noProof/>
                <w:sz w:val="20"/>
                <w:szCs w:val="20"/>
                <w:lang w:val="en-IE"/>
              </w:rPr>
              <w:t>&lt;3x80A</w:t>
            </w:r>
          </w:p>
        </w:tc>
        <w:tc>
          <w:tcPr>
            <w:tcW w:w="1134"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Yearly</w:t>
            </w:r>
          </w:p>
        </w:tc>
        <w:tc>
          <w:tcPr>
            <w:tcW w:w="2268"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Retail price</w:t>
            </w:r>
          </w:p>
        </w:tc>
        <w:tc>
          <w:tcPr>
            <w:tcW w:w="1701"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N/A</w:t>
            </w:r>
          </w:p>
        </w:tc>
      </w:tr>
      <w:tr w:rsidR="007F60C7" w:rsidRPr="00704701">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Poland</w:t>
            </w:r>
          </w:p>
        </w:tc>
        <w:tc>
          <w:tcPr>
            <w:tcW w:w="2410" w:type="dxa"/>
          </w:tcPr>
          <w:p w:rsidR="007F60C7" w:rsidRDefault="00704701">
            <w:pPr>
              <w:autoSpaceDE w:val="0"/>
              <w:autoSpaceDN w:val="0"/>
              <w:adjustRightInd w:val="0"/>
              <w:rPr>
                <w:rFonts w:ascii="Times New Roman" w:hAnsi="Times New Roman"/>
                <w:noProof/>
                <w:sz w:val="20"/>
                <w:szCs w:val="20"/>
                <w:lang w:val="en-IE"/>
              </w:rPr>
            </w:pPr>
            <w:r>
              <w:rPr>
                <w:rFonts w:ascii="Times New Roman" w:eastAsiaTheme="minorHAnsi" w:hAnsi="Times New Roman"/>
                <w:bCs/>
                <w:noProof/>
                <w:sz w:val="20"/>
                <w:szCs w:val="20"/>
                <w:lang w:val="en-IE"/>
              </w:rPr>
              <w:t xml:space="preserve">RES systems </w:t>
            </w:r>
            <w:r>
              <w:rPr>
                <w:rFonts w:ascii="Times New Roman" w:hAnsi="Times New Roman"/>
                <w:noProof/>
                <w:sz w:val="20"/>
                <w:szCs w:val="20"/>
                <w:lang w:val="en-IE"/>
              </w:rPr>
              <w:t>&lt;</w:t>
            </w:r>
            <w:r>
              <w:rPr>
                <w:rFonts w:ascii="Times New Roman" w:eastAsiaTheme="minorHAnsi" w:hAnsi="Times New Roman"/>
                <w:bCs/>
                <w:noProof/>
                <w:sz w:val="20"/>
                <w:szCs w:val="20"/>
                <w:lang w:val="en-IE"/>
              </w:rPr>
              <w:t>40kW</w:t>
            </w:r>
          </w:p>
        </w:tc>
        <w:tc>
          <w:tcPr>
            <w:tcW w:w="1134" w:type="dxa"/>
          </w:tcPr>
          <w:p w:rsidR="007F60C7" w:rsidRDefault="00704701">
            <w:pPr>
              <w:rPr>
                <w:rFonts w:ascii="Times New Roman" w:hAnsi="Times New Roman"/>
                <w:noProof/>
                <w:sz w:val="20"/>
                <w:szCs w:val="20"/>
                <w:lang w:val="en-IE"/>
              </w:rPr>
            </w:pPr>
            <w:r>
              <w:rPr>
                <w:rFonts w:ascii="Times New Roman" w:hAnsi="Times New Roman"/>
                <w:bCs/>
                <w:noProof/>
                <w:sz w:val="20"/>
                <w:szCs w:val="20"/>
              </w:rPr>
              <w:t>Half-yearly</w:t>
            </w:r>
          </w:p>
        </w:tc>
        <w:tc>
          <w:tcPr>
            <w:tcW w:w="2268" w:type="dxa"/>
          </w:tcPr>
          <w:p w:rsidR="007F60C7" w:rsidRDefault="00704701">
            <w:pPr>
              <w:rPr>
                <w:rFonts w:ascii="Times New Roman" w:eastAsiaTheme="minorHAnsi" w:hAnsi="Times New Roman"/>
                <w:noProof/>
                <w:sz w:val="20"/>
                <w:szCs w:val="20"/>
                <w:lang w:val="en-IE"/>
              </w:rPr>
            </w:pPr>
            <w:r>
              <w:rPr>
                <w:rFonts w:ascii="Times New Roman" w:hAnsi="Times New Roman"/>
                <w:noProof/>
                <w:sz w:val="20"/>
                <w:szCs w:val="20"/>
                <w:lang w:val="en-IE"/>
              </w:rPr>
              <w:t xml:space="preserve">&lt; 10 kW : Feed-in tariffs (15 years): </w:t>
            </w:r>
            <w:r>
              <w:rPr>
                <w:rFonts w:ascii="Times New Roman" w:eastAsiaTheme="minorHAnsi" w:hAnsi="Times New Roman"/>
                <w:noProof/>
                <w:sz w:val="20"/>
                <w:szCs w:val="20"/>
                <w:lang w:val="en-IE"/>
              </w:rPr>
              <w:t>~ €0.18 per kWh per below 3 kW; €0.11 per kWh for below 10 kW projects.</w:t>
            </w:r>
          </w:p>
          <w:p w:rsidR="007F60C7" w:rsidRDefault="007F60C7">
            <w:pPr>
              <w:rPr>
                <w:rFonts w:ascii="Times New Roman" w:eastAsiaTheme="minorHAnsi" w:hAnsi="Times New Roman"/>
                <w:noProof/>
                <w:sz w:val="20"/>
                <w:szCs w:val="20"/>
                <w:lang w:val="en-IE"/>
              </w:rPr>
            </w:pPr>
          </w:p>
          <w:p w:rsidR="007F60C7" w:rsidRDefault="00704701">
            <w:pPr>
              <w:rPr>
                <w:rFonts w:ascii="Times New Roman" w:hAnsi="Times New Roman"/>
                <w:noProof/>
                <w:sz w:val="20"/>
                <w:szCs w:val="20"/>
                <w:lang w:val="en-IE"/>
              </w:rPr>
            </w:pPr>
            <w:r>
              <w:rPr>
                <w:rFonts w:ascii="Times New Roman" w:eastAsiaTheme="minorHAnsi" w:hAnsi="Times New Roman"/>
                <w:noProof/>
                <w:sz w:val="20"/>
                <w:szCs w:val="20"/>
                <w:lang w:val="en-IE"/>
              </w:rPr>
              <w:t>&gt; 10 kW and &lt; 40 kW: 100% of the average sales price of electric energy on the competitive market in the preceding quarter</w:t>
            </w:r>
          </w:p>
        </w:tc>
        <w:tc>
          <w:tcPr>
            <w:tcW w:w="1701" w:type="dxa"/>
          </w:tcPr>
          <w:p w:rsidR="007F60C7" w:rsidRDefault="00704701">
            <w:pPr>
              <w:rPr>
                <w:rFonts w:ascii="Times New Roman" w:hAnsi="Times New Roman"/>
                <w:noProof/>
                <w:sz w:val="20"/>
                <w:szCs w:val="20"/>
                <w:lang w:val="da-DK"/>
              </w:rPr>
            </w:pPr>
            <w:r>
              <w:rPr>
                <w:rFonts w:ascii="Times New Roman" w:hAnsi="Times New Roman"/>
                <w:noProof/>
                <w:sz w:val="20"/>
                <w:szCs w:val="20"/>
                <w:lang w:val="da-DK"/>
              </w:rPr>
              <w:t>300 M</w:t>
            </w:r>
            <w:r>
              <w:rPr>
                <w:rFonts w:ascii="Times New Roman" w:hAnsi="Times New Roman"/>
                <w:noProof/>
                <w:sz w:val="20"/>
                <w:szCs w:val="20"/>
                <w:lang w:val="da-DK"/>
              </w:rPr>
              <w:t>W for systems &lt;</w:t>
            </w:r>
            <w:r>
              <w:rPr>
                <w:rFonts w:ascii="Times New Roman" w:eastAsiaTheme="minorHAnsi" w:hAnsi="Times New Roman"/>
                <w:noProof/>
                <w:sz w:val="20"/>
                <w:szCs w:val="20"/>
                <w:lang w:val="da-DK"/>
              </w:rPr>
              <w:t xml:space="preserve">3kW; 500 </w:t>
            </w:r>
            <w:r>
              <w:rPr>
                <w:rFonts w:ascii="Times New Roman" w:hAnsi="Times New Roman"/>
                <w:noProof/>
                <w:sz w:val="20"/>
                <w:szCs w:val="20"/>
                <w:lang w:val="da-DK"/>
              </w:rPr>
              <w:t xml:space="preserve">MW </w:t>
            </w:r>
            <w:r>
              <w:rPr>
                <w:rFonts w:ascii="Times New Roman" w:eastAsiaTheme="minorHAnsi" w:hAnsi="Times New Roman"/>
                <w:noProof/>
                <w:sz w:val="20"/>
                <w:szCs w:val="20"/>
                <w:lang w:val="da-DK"/>
              </w:rPr>
              <w:t xml:space="preserve">for systems </w:t>
            </w:r>
            <w:r>
              <w:rPr>
                <w:rFonts w:ascii="Times New Roman" w:hAnsi="Times New Roman"/>
                <w:noProof/>
                <w:sz w:val="20"/>
                <w:szCs w:val="20"/>
                <w:lang w:val="da-DK"/>
              </w:rPr>
              <w:t>&lt;</w:t>
            </w:r>
            <w:r>
              <w:rPr>
                <w:rFonts w:ascii="Times New Roman" w:eastAsiaTheme="minorHAnsi" w:hAnsi="Times New Roman"/>
                <w:noProof/>
                <w:sz w:val="20"/>
                <w:szCs w:val="20"/>
                <w:lang w:val="da-DK"/>
              </w:rPr>
              <w:t>10 kW</w:t>
            </w:r>
          </w:p>
        </w:tc>
      </w:tr>
      <w:tr w:rsidR="007F60C7">
        <w:tc>
          <w:tcPr>
            <w:tcW w:w="1276" w:type="dxa"/>
          </w:tcPr>
          <w:p w:rsidR="007F60C7" w:rsidRDefault="00704701">
            <w:pPr>
              <w:rPr>
                <w:rFonts w:ascii="Times New Roman" w:hAnsi="Times New Roman"/>
                <w:noProof/>
                <w:sz w:val="20"/>
                <w:szCs w:val="20"/>
                <w:lang w:val="en-IE"/>
              </w:rPr>
            </w:pPr>
            <w:r>
              <w:rPr>
                <w:rFonts w:ascii="Times New Roman" w:hAnsi="Times New Roman"/>
                <w:noProof/>
                <w:sz w:val="20"/>
                <w:szCs w:val="20"/>
                <w:lang w:val="en-IE"/>
              </w:rPr>
              <w:t>Sweden</w:t>
            </w:r>
          </w:p>
          <w:p w:rsidR="007F60C7" w:rsidRDefault="007F60C7">
            <w:pPr>
              <w:jc w:val="center"/>
              <w:rPr>
                <w:rFonts w:ascii="Times New Roman" w:hAnsi="Times New Roman"/>
                <w:noProof/>
                <w:sz w:val="20"/>
                <w:szCs w:val="20"/>
                <w:lang w:val="en-IE"/>
              </w:rPr>
            </w:pPr>
          </w:p>
        </w:tc>
        <w:tc>
          <w:tcPr>
            <w:tcW w:w="2410" w:type="dxa"/>
          </w:tcPr>
          <w:p w:rsidR="007F60C7" w:rsidRDefault="00704701">
            <w:pPr>
              <w:autoSpaceDE w:val="0"/>
              <w:autoSpaceDN w:val="0"/>
              <w:adjustRightInd w:val="0"/>
              <w:rPr>
                <w:rFonts w:ascii="Times New Roman" w:eastAsiaTheme="minorHAnsi" w:hAnsi="Times New Roman"/>
                <w:bCs/>
                <w:noProof/>
                <w:sz w:val="20"/>
                <w:szCs w:val="20"/>
                <w:lang w:val="en-IE"/>
              </w:rPr>
            </w:pPr>
            <w:r>
              <w:rPr>
                <w:rFonts w:ascii="Times New Roman" w:hAnsi="Times New Roman"/>
                <w:noProof/>
                <w:sz w:val="20"/>
                <w:szCs w:val="20"/>
              </w:rPr>
              <w:t xml:space="preserve">RES systems connection size </w:t>
            </w:r>
            <w:r>
              <w:rPr>
                <w:rFonts w:ascii="Times New Roman" w:hAnsi="Times New Roman"/>
                <w:noProof/>
                <w:sz w:val="20"/>
                <w:szCs w:val="20"/>
                <w:lang w:val="en-IE"/>
              </w:rPr>
              <w:t>&lt;</w:t>
            </w:r>
            <w:r>
              <w:rPr>
                <w:rFonts w:ascii="Times New Roman" w:hAnsi="Times New Roman"/>
                <w:bCs/>
                <w:noProof/>
                <w:sz w:val="20"/>
                <w:szCs w:val="20"/>
              </w:rPr>
              <w:t>100A</w:t>
            </w:r>
          </w:p>
        </w:tc>
        <w:tc>
          <w:tcPr>
            <w:tcW w:w="1134" w:type="dxa"/>
          </w:tcPr>
          <w:p w:rsidR="007F60C7" w:rsidRDefault="00704701">
            <w:pPr>
              <w:rPr>
                <w:rFonts w:ascii="Times New Roman" w:hAnsi="Times New Roman"/>
                <w:noProof/>
                <w:sz w:val="20"/>
                <w:szCs w:val="20"/>
                <w:lang w:val="en-IE"/>
              </w:rPr>
            </w:pPr>
            <w:r>
              <w:rPr>
                <w:rFonts w:ascii="Times New Roman" w:hAnsi="Times New Roman"/>
                <w:bCs/>
                <w:noProof/>
                <w:sz w:val="20"/>
                <w:szCs w:val="20"/>
              </w:rPr>
              <w:t>Yearly</w:t>
            </w:r>
          </w:p>
        </w:tc>
        <w:tc>
          <w:tcPr>
            <w:tcW w:w="2268" w:type="dxa"/>
          </w:tcPr>
          <w:p w:rsidR="007F60C7" w:rsidRDefault="00704701">
            <w:pPr>
              <w:rPr>
                <w:rFonts w:ascii="Times New Roman" w:hAnsi="Times New Roman"/>
                <w:bCs/>
                <w:noProof/>
                <w:sz w:val="20"/>
                <w:szCs w:val="20"/>
              </w:rPr>
            </w:pPr>
            <w:r>
              <w:rPr>
                <w:rFonts w:ascii="Times New Roman" w:hAnsi="Times New Roman"/>
                <w:bCs/>
                <w:noProof/>
                <w:sz w:val="20"/>
                <w:szCs w:val="20"/>
              </w:rPr>
              <w:t xml:space="preserve">Tax reduction: 0,60 SEK (~6 €cent) per kWh of RES reduction, but at least an equal amount of electricity should be bought from the grid. Tax reduction for </w:t>
            </w:r>
            <w:r>
              <w:rPr>
                <w:rFonts w:ascii="Times New Roman" w:hAnsi="Times New Roman"/>
                <w:bCs/>
                <w:noProof/>
                <w:sz w:val="20"/>
                <w:szCs w:val="20"/>
              </w:rPr>
              <w:t>delivery up to 30 MWh/y</w:t>
            </w:r>
          </w:p>
        </w:tc>
        <w:tc>
          <w:tcPr>
            <w:tcW w:w="1701" w:type="dxa"/>
          </w:tcPr>
          <w:p w:rsidR="007F60C7" w:rsidRDefault="00704701">
            <w:pPr>
              <w:rPr>
                <w:rFonts w:ascii="Times New Roman" w:hAnsi="Times New Roman"/>
                <w:bCs/>
                <w:noProof/>
                <w:sz w:val="20"/>
                <w:szCs w:val="20"/>
              </w:rPr>
            </w:pPr>
            <w:r>
              <w:rPr>
                <w:rFonts w:ascii="Times New Roman" w:hAnsi="Times New Roman"/>
                <w:bCs/>
                <w:noProof/>
                <w:sz w:val="20"/>
                <w:szCs w:val="20"/>
              </w:rPr>
              <w:t>For up to 30000 kWh, or 18000 SEK per year</w:t>
            </w:r>
          </w:p>
          <w:p w:rsidR="007F60C7" w:rsidRDefault="007F60C7">
            <w:pPr>
              <w:rPr>
                <w:rFonts w:ascii="Times New Roman" w:hAnsi="Times New Roman"/>
                <w:noProof/>
                <w:sz w:val="20"/>
                <w:szCs w:val="20"/>
              </w:rPr>
            </w:pPr>
          </w:p>
        </w:tc>
      </w:tr>
    </w:tbl>
    <w:p w:rsidR="007F60C7" w:rsidRDefault="007F60C7">
      <w:pPr>
        <w:rPr>
          <w:rFonts w:ascii="Times New Roman" w:hAnsi="Times New Roman"/>
          <w:noProof/>
          <w:sz w:val="21"/>
          <w:szCs w:val="21"/>
        </w:rPr>
      </w:pPr>
    </w:p>
    <w:sectPr w:rsidR="007F60C7" w:rsidSect="00704701">
      <w:headerReference w:type="even" r:id="rId19"/>
      <w:headerReference w:type="default" r:id="rId20"/>
      <w:footerReference w:type="even" r:id="rId21"/>
      <w:footerReference w:type="default" r:id="rId22"/>
      <w:headerReference w:type="first" r:id="rId23"/>
      <w:footerReference w:type="first" r:id="rId24"/>
      <w:pgSz w:w="11906" w:h="16838"/>
      <w:pgMar w:top="1276" w:right="1417" w:bottom="1417" w:left="1417" w:header="601" w:footer="107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0C7" w:rsidRDefault="00704701">
      <w:pPr>
        <w:spacing w:after="0" w:line="240" w:lineRule="auto"/>
      </w:pPr>
      <w:r>
        <w:separator/>
      </w:r>
    </w:p>
  </w:endnote>
  <w:endnote w:type="continuationSeparator" w:id="0">
    <w:p w:rsidR="007F60C7" w:rsidRDefault="00704701">
      <w:pPr>
        <w:spacing w:after="0" w:line="240" w:lineRule="auto"/>
      </w:pPr>
      <w:r>
        <w:continuationSeparator/>
      </w:r>
    </w:p>
  </w:endnote>
  <w:endnote w:type="continuationNotice" w:id="1">
    <w:p w:rsidR="007F60C7" w:rsidRDefault="007F60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ueOptima">
    <w:panose1 w:val="00000000000000000000"/>
    <w:charset w:val="00"/>
    <w:family w:val="auto"/>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tone Sans ITC TT">
    <w:altName w:val="Stone Sans ITC T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HelveticaNeueLTStd-Lt">
    <w:altName w:val="MS Gothic"/>
    <w:panose1 w:val="00000000000000000000"/>
    <w:charset w:val="80"/>
    <w:family w:val="swiss"/>
    <w:notTrueType/>
    <w:pitch w:val="default"/>
    <w:sig w:usb0="00000003" w:usb1="08070000" w:usb2="00000010" w:usb3="00000000" w:csb0="00020001" w:csb1="00000000"/>
  </w:font>
  <w:font w:name="SegoeUISemilight">
    <w:altName w:val="MS Mincho"/>
    <w:panose1 w:val="00000000000000000000"/>
    <w:charset w:val="80"/>
    <w:family w:val="auto"/>
    <w:notTrueType/>
    <w:pitch w:val="default"/>
    <w:sig w:usb0="00000001" w:usb1="08070000" w:usb2="00000010" w:usb3="00000000" w:csb0="00020000"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1" w:rsidRDefault="007047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C7" w:rsidRDefault="00704701">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1" w:rsidRDefault="0070470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C7" w:rsidRDefault="007F60C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0423123"/>
      <w:docPartObj>
        <w:docPartGallery w:val="Page Numbers (Bottom of Page)"/>
        <w:docPartUnique/>
      </w:docPartObj>
    </w:sdtPr>
    <w:sdtEndPr>
      <w:rPr>
        <w:rFonts w:ascii="Times New Roman" w:hAnsi="Times New Roman"/>
        <w:noProof/>
        <w:sz w:val="20"/>
      </w:rPr>
    </w:sdtEndPr>
    <w:sdtContent>
      <w:p w:rsidR="007F60C7" w:rsidRDefault="007F60C7">
        <w:pPr>
          <w:pStyle w:val="Footer"/>
          <w:jc w:val="center"/>
        </w:pPr>
      </w:p>
      <w:p w:rsidR="007F60C7" w:rsidRDefault="00704701">
        <w:pPr>
          <w:pStyle w:val="Footer"/>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noProof/>
            <w:sz w:val="20"/>
          </w:rPr>
          <w:fldChar w:fldCharType="end"/>
        </w:r>
      </w:p>
    </w:sdtContent>
  </w:sdt>
  <w:p w:rsidR="007F60C7" w:rsidRDefault="007F60C7">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C7" w:rsidRDefault="007F60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0C7" w:rsidRDefault="00704701">
      <w:pPr>
        <w:spacing w:after="0" w:line="240" w:lineRule="auto"/>
      </w:pPr>
      <w:r>
        <w:separator/>
      </w:r>
    </w:p>
  </w:footnote>
  <w:footnote w:type="continuationSeparator" w:id="0">
    <w:p w:rsidR="007F60C7" w:rsidRDefault="00704701">
      <w:pPr>
        <w:spacing w:after="0" w:line="240" w:lineRule="auto"/>
      </w:pPr>
      <w:r>
        <w:continuationSeparator/>
      </w:r>
    </w:p>
  </w:footnote>
  <w:footnote w:type="continuationNotice" w:id="1">
    <w:p w:rsidR="007F60C7" w:rsidRDefault="007F60C7">
      <w:pPr>
        <w:spacing w:after="0" w:line="240" w:lineRule="auto"/>
      </w:pPr>
    </w:p>
  </w:footnote>
  <w:footnote w:id="2">
    <w:p w:rsidR="007F60C7" w:rsidRDefault="00704701">
      <w:pPr>
        <w:pStyle w:val="FootnoteText"/>
        <w:spacing w:after="0"/>
      </w:pPr>
      <w:r>
        <w:rPr>
          <w:rStyle w:val="FootnoteReference"/>
        </w:rPr>
        <w:footnoteRef/>
      </w:r>
      <w:r>
        <w:t xml:space="preserve"> </w:t>
      </w:r>
      <w:r>
        <w:tab/>
      </w:r>
      <w:r>
        <w:rPr>
          <w:rStyle w:val="Strong"/>
          <w:b w:val="0"/>
          <w:lang w:val="en"/>
        </w:rPr>
        <w:t>Framework Strategy for a Resilient Energy Union with a Forward-Looking Climate Change Policy, COM/2015/080 final.</w:t>
      </w:r>
    </w:p>
  </w:footnote>
  <w:footnote w:id="3">
    <w:p w:rsidR="007F60C7" w:rsidRDefault="00704701">
      <w:pPr>
        <w:pStyle w:val="FootnoteText"/>
        <w:spacing w:after="0"/>
      </w:pPr>
      <w:r>
        <w:rPr>
          <w:rStyle w:val="FootnoteReference"/>
        </w:rPr>
        <w:footnoteRef/>
      </w:r>
      <w:r>
        <w:t xml:space="preserve"> </w:t>
      </w:r>
      <w:r>
        <w:tab/>
      </w:r>
      <w:r>
        <w:rPr>
          <w:rFonts w:eastAsia="NSimSun"/>
        </w:rPr>
        <w:t xml:space="preserve">For example, </w:t>
      </w:r>
      <w:r>
        <w:t>the</w:t>
      </w:r>
      <w:r>
        <w:rPr>
          <w:rFonts w:eastAsia="NSimSun"/>
        </w:rPr>
        <w:t xml:space="preserve"> costs of solar PV modules dropped by 80% between 2008 and 2012.</w:t>
      </w:r>
    </w:p>
  </w:footnote>
  <w:footnote w:id="4">
    <w:p w:rsidR="007F60C7" w:rsidRDefault="00704701">
      <w:pPr>
        <w:pStyle w:val="FootnoteText"/>
        <w:spacing w:after="0"/>
      </w:pPr>
      <w:r>
        <w:rPr>
          <w:rStyle w:val="FootnoteReference"/>
        </w:rPr>
        <w:footnoteRef/>
      </w:r>
      <w:r>
        <w:t xml:space="preserve"> </w:t>
      </w:r>
      <w:r>
        <w:tab/>
        <w:t xml:space="preserve">This document is without prejudice to the application of State aid rules. </w:t>
      </w:r>
    </w:p>
  </w:footnote>
  <w:footnote w:id="5">
    <w:p w:rsidR="007F60C7" w:rsidRDefault="00704701">
      <w:pPr>
        <w:pStyle w:val="FootnoteText"/>
        <w:spacing w:after="0"/>
      </w:pPr>
      <w:r>
        <w:rPr>
          <w:rStyle w:val="FootnoteReference"/>
        </w:rPr>
        <w:footnoteRef/>
      </w:r>
      <w:r>
        <w:tab/>
        <w:t>The self-consumption rate is the amount of electricity actually consumed onsite as a percentage of the total el</w:t>
      </w:r>
      <w:r>
        <w:t>ectricity produced.</w:t>
      </w:r>
    </w:p>
  </w:footnote>
  <w:footnote w:id="6">
    <w:p w:rsidR="007F60C7" w:rsidRDefault="00704701">
      <w:pPr>
        <w:pStyle w:val="FootnoteText"/>
        <w:spacing w:after="0"/>
      </w:pPr>
      <w:r>
        <w:rPr>
          <w:rStyle w:val="FootnoteReference"/>
        </w:rPr>
        <w:footnoteRef/>
      </w:r>
      <w:r>
        <w:t xml:space="preserve"> </w:t>
      </w:r>
      <w:r>
        <w:tab/>
      </w:r>
      <w:r>
        <w:rPr>
          <w:lang w:val="en-US"/>
        </w:rPr>
        <w:t xml:space="preserve">The </w:t>
      </w:r>
      <w:r>
        <w:t>degree</w:t>
      </w:r>
      <w:r>
        <w:rPr>
          <w:lang w:val="en-US"/>
        </w:rPr>
        <w:t xml:space="preserve"> of energy </w:t>
      </w:r>
      <w:r>
        <w:rPr>
          <w:rFonts w:eastAsia="NSimSun"/>
        </w:rPr>
        <w:t>self</w:t>
      </w:r>
      <w:r>
        <w:rPr>
          <w:lang w:val="en-US"/>
        </w:rPr>
        <w:t>-sufficiency measures how much of the total electricity needed by the consumer can be obtained from their own renewable energy system.</w:t>
      </w:r>
    </w:p>
  </w:footnote>
  <w:footnote w:id="7">
    <w:p w:rsidR="007F60C7" w:rsidRDefault="00704701">
      <w:pPr>
        <w:pStyle w:val="FootnoteText"/>
        <w:spacing w:after="0"/>
      </w:pPr>
      <w:r>
        <w:rPr>
          <w:rStyle w:val="FootnoteReference"/>
        </w:rPr>
        <w:footnoteRef/>
      </w:r>
      <w:r>
        <w:rPr>
          <w:rFonts w:eastAsia="NSimSun"/>
        </w:rPr>
        <w:tab/>
      </w:r>
      <w:r>
        <w:rPr>
          <w:rFonts w:eastAsiaTheme="minorHAnsi"/>
        </w:rPr>
        <w:t>Research has generally found that both energy reductions and load shift</w:t>
      </w:r>
      <w:r>
        <w:rPr>
          <w:rFonts w:eastAsiaTheme="minorHAnsi"/>
        </w:rPr>
        <w:t>ing activities have taken place in households following an installation of micro generation  of solar PV.</w:t>
      </w:r>
    </w:p>
  </w:footnote>
  <w:footnote w:id="8">
    <w:p w:rsidR="007F60C7" w:rsidRDefault="00704701">
      <w:pPr>
        <w:pStyle w:val="FootnoteText"/>
        <w:spacing w:after="0"/>
      </w:pPr>
      <w:r>
        <w:rPr>
          <w:rStyle w:val="FootnoteReference"/>
        </w:rPr>
        <w:footnoteRef/>
      </w:r>
      <w:r>
        <w:t xml:space="preserve"> </w:t>
      </w:r>
      <w:r>
        <w:tab/>
      </w:r>
      <w:r>
        <w:rPr>
          <w:rFonts w:eastAsiaTheme="minorHAnsi"/>
          <w:color w:val="000000"/>
        </w:rPr>
        <w:t>The PV parity study found that the losses reduction is between 0.25% and 0.75% depending on the characteristics of the distribution networks and th</w:t>
      </w:r>
      <w:r>
        <w:rPr>
          <w:rFonts w:eastAsiaTheme="minorHAnsi"/>
          <w:color w:val="000000"/>
        </w:rPr>
        <w:t xml:space="preserve">e share of solar PV generation. </w:t>
      </w:r>
    </w:p>
  </w:footnote>
  <w:footnote w:id="9">
    <w:p w:rsidR="007F60C7" w:rsidRDefault="00704701">
      <w:pPr>
        <w:pStyle w:val="FootnoteText"/>
        <w:spacing w:after="0"/>
      </w:pPr>
      <w:r>
        <w:rPr>
          <w:rStyle w:val="FootnoteReference"/>
        </w:rPr>
        <w:footnoteRef/>
      </w:r>
      <w:r>
        <w:t xml:space="preserve"> </w:t>
      </w:r>
      <w:r>
        <w:tab/>
        <w:t xml:space="preserve">Bloomberg New Energy Finance estimates that in Europe </w:t>
      </w:r>
      <w:r>
        <w:rPr>
          <w:rFonts w:eastAsiaTheme="minorHAnsi"/>
        </w:rPr>
        <w:t>small-scale solar systems will increase their share of the electricity capacity mix to 22% by 2040, from 6% in 2014 (BNEF 2015).</w:t>
      </w:r>
      <w:r>
        <w:t xml:space="preserve"> In Italy, analysts project for the co</w:t>
      </w:r>
      <w:r>
        <w:t>ming years an additional installed capacity of solar PV self-consumption systems of 1 GW/year, worth € 1.5 billion /year (SunCity 2015).</w:t>
      </w:r>
    </w:p>
  </w:footnote>
  <w:footnote w:id="10">
    <w:p w:rsidR="007F60C7" w:rsidRDefault="00704701">
      <w:pPr>
        <w:pStyle w:val="FootnoteText"/>
        <w:spacing w:after="0"/>
      </w:pPr>
      <w:r>
        <w:rPr>
          <w:rStyle w:val="FootnoteReference"/>
        </w:rPr>
        <w:footnoteRef/>
      </w:r>
      <w:r>
        <w:t xml:space="preserve"> </w:t>
      </w:r>
      <w:r>
        <w:tab/>
      </w:r>
      <w:r>
        <w:rPr>
          <w:i/>
        </w:rPr>
        <w:t>Renewable energy progress report,</w:t>
      </w:r>
      <w:r>
        <w:t xml:space="preserve"> </w:t>
      </w:r>
      <w:r>
        <w:rPr>
          <w:rFonts w:eastAsiaTheme="minorHAnsi"/>
        </w:rPr>
        <w:t>SWD(2015) 117 final.</w:t>
      </w:r>
    </w:p>
  </w:footnote>
  <w:footnote w:id="11">
    <w:p w:rsidR="007F60C7" w:rsidRDefault="00704701">
      <w:pPr>
        <w:pStyle w:val="FootnoteText"/>
        <w:spacing w:after="0"/>
      </w:pPr>
      <w:r>
        <w:rPr>
          <w:rStyle w:val="FootnoteReference"/>
        </w:rPr>
        <w:footnoteRef/>
      </w:r>
      <w:r>
        <w:tab/>
      </w:r>
      <w:r>
        <w:rPr>
          <w:rFonts w:eastAsiaTheme="minorHAnsi"/>
        </w:rPr>
        <w:t xml:space="preserve">The PV Parity </w:t>
      </w:r>
      <w:r>
        <w:t>project has found that self-consumption exten</w:t>
      </w:r>
      <w:r>
        <w:t>ded by storage and demand response can reduce the additional system costs of the EU integration of solar PV at high penetration levels by around 20%.</w:t>
      </w:r>
    </w:p>
  </w:footnote>
  <w:footnote w:id="12">
    <w:p w:rsidR="007F60C7" w:rsidRDefault="00704701">
      <w:pPr>
        <w:pStyle w:val="FootnoteText"/>
        <w:spacing w:after="0"/>
      </w:pPr>
      <w:r>
        <w:rPr>
          <w:rStyle w:val="FootnoteReference"/>
        </w:rPr>
        <w:footnoteRef/>
      </w:r>
      <w:r>
        <w:tab/>
      </w:r>
      <w:r>
        <w:rPr>
          <w:rFonts w:eastAsiaTheme="minorHAnsi"/>
        </w:rPr>
        <w:t xml:space="preserve">Seebach, 2009, </w:t>
      </w:r>
      <w:r>
        <w:rPr>
          <w:rFonts w:eastAsiaTheme="minorHAnsi"/>
          <w:bCs/>
          <w:i/>
        </w:rPr>
        <w:t>Costs and benefits of smart appliances in Europe</w:t>
      </w:r>
      <w:r>
        <w:rPr>
          <w:rFonts w:eastAsiaTheme="minorHAnsi"/>
          <w:bCs/>
        </w:rPr>
        <w:t xml:space="preserve">. </w:t>
      </w:r>
    </w:p>
  </w:footnote>
  <w:footnote w:id="13">
    <w:p w:rsidR="007F60C7" w:rsidRDefault="00704701">
      <w:pPr>
        <w:pStyle w:val="FootnoteText"/>
        <w:spacing w:after="0"/>
      </w:pPr>
      <w:r>
        <w:rPr>
          <w:rStyle w:val="FootnoteReference"/>
        </w:rPr>
        <w:footnoteRef/>
      </w:r>
      <w:r>
        <w:t xml:space="preserve"> </w:t>
      </w:r>
      <w:r>
        <w:tab/>
        <w:t xml:space="preserve">DNV-GL 2014, </w:t>
      </w:r>
      <w:r>
        <w:rPr>
          <w:i/>
        </w:rPr>
        <w:t>Integration of renewab</w:t>
      </w:r>
      <w:r>
        <w:rPr>
          <w:i/>
        </w:rPr>
        <w:t>le energy in Europe.</w:t>
      </w:r>
    </w:p>
  </w:footnote>
  <w:footnote w:id="14">
    <w:p w:rsidR="007F60C7" w:rsidRDefault="00704701">
      <w:pPr>
        <w:pStyle w:val="Default"/>
        <w:rPr>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Working Group on consumers as energy market actors (2015), </w:t>
      </w:r>
      <w:r>
        <w:rPr>
          <w:rFonts w:ascii="Times New Roman" w:hAnsi="Times New Roman" w:cs="Times New Roman"/>
          <w:i/>
          <w:sz w:val="20"/>
          <w:szCs w:val="20"/>
        </w:rPr>
        <w:t>Interim report</w:t>
      </w:r>
      <w:r>
        <w:rPr>
          <w:rFonts w:ascii="Times New Roman" w:hAnsi="Times New Roman" w:cs="Times New Roman"/>
          <w:sz w:val="20"/>
          <w:szCs w:val="20"/>
        </w:rPr>
        <w:t>.</w:t>
      </w:r>
    </w:p>
  </w:footnote>
  <w:footnote w:id="15">
    <w:p w:rsidR="007F60C7" w:rsidRDefault="00704701">
      <w:pPr>
        <w:pStyle w:val="FootnoteText"/>
        <w:spacing w:after="0"/>
        <w:rPr>
          <w:iCs/>
          <w:lang w:val="en"/>
        </w:rPr>
      </w:pPr>
      <w:r>
        <w:rPr>
          <w:rStyle w:val="FootnoteReference"/>
        </w:rPr>
        <w:footnoteRef/>
      </w:r>
      <w:r>
        <w:t xml:space="preserve"> </w:t>
      </w:r>
      <w:r>
        <w:tab/>
      </w:r>
      <w:r>
        <w:rPr>
          <w:bCs/>
          <w:i/>
          <w:lang w:val="en"/>
        </w:rPr>
        <w:t>Commission Recommendation on preparation</w:t>
      </w:r>
      <w:r>
        <w:rPr>
          <w:i/>
          <w:lang w:val="en-US"/>
        </w:rPr>
        <w:t xml:space="preserve">s </w:t>
      </w:r>
      <w:r>
        <w:rPr>
          <w:bCs/>
          <w:i/>
          <w:lang w:val="en"/>
        </w:rPr>
        <w:t>for the roll-out of smart metering systems</w:t>
      </w:r>
      <w:r>
        <w:rPr>
          <w:bCs/>
          <w:lang w:val="en"/>
        </w:rPr>
        <w:t>, 2012/148/EU</w:t>
      </w:r>
      <w:r>
        <w:rPr>
          <w:bCs/>
          <w:sz w:val="18"/>
          <w:szCs w:val="18"/>
          <w:lang w:val="en"/>
        </w:rPr>
        <w:t>.</w:t>
      </w:r>
    </w:p>
  </w:footnote>
  <w:footnote w:id="16">
    <w:p w:rsidR="007F60C7" w:rsidRDefault="00704701">
      <w:pPr>
        <w:pStyle w:val="FootnoteText"/>
        <w:spacing w:after="0"/>
      </w:pPr>
      <w:r>
        <w:rPr>
          <w:rStyle w:val="FootnoteReference"/>
        </w:rPr>
        <w:footnoteRef/>
      </w:r>
      <w:r>
        <w:tab/>
        <w:t xml:space="preserve">KEMA, 2013, </w:t>
      </w:r>
      <w:r>
        <w:rPr>
          <w:rFonts w:eastAsiaTheme="minorHAnsi"/>
          <w:i/>
        </w:rPr>
        <w:t xml:space="preserve">Potential for smart </w:t>
      </w:r>
      <w:r>
        <w:rPr>
          <w:i/>
        </w:rPr>
        <w:t>electric</w:t>
      </w:r>
      <w:r>
        <w:rPr>
          <w:rFonts w:eastAsiaTheme="minorHAnsi"/>
          <w:i/>
        </w:rPr>
        <w:t xml:space="preserve"> thermal storage contributing to a low carbon energy system</w:t>
      </w:r>
      <w:r>
        <w:rPr>
          <w:rFonts w:eastAsiaTheme="minorHAnsi"/>
        </w:rPr>
        <w:t>. Estimate based on EU-27 data.</w:t>
      </w:r>
    </w:p>
  </w:footnote>
  <w:footnote w:id="17">
    <w:p w:rsidR="007F60C7" w:rsidRDefault="00704701">
      <w:pPr>
        <w:pStyle w:val="FootnoteText"/>
        <w:spacing w:after="0"/>
      </w:pPr>
      <w:r>
        <w:rPr>
          <w:rStyle w:val="FootnoteReference"/>
        </w:rPr>
        <w:footnoteRef/>
      </w:r>
      <w:r>
        <w:tab/>
        <w:t xml:space="preserve">IRENA, 2015, </w:t>
      </w:r>
      <w:r>
        <w:rPr>
          <w:i/>
        </w:rPr>
        <w:t>Battery storage for renewables; market status and technology outlook</w:t>
      </w:r>
      <w:r>
        <w:t>.</w:t>
      </w:r>
    </w:p>
  </w:footnote>
  <w:footnote w:id="18">
    <w:p w:rsidR="007F60C7" w:rsidRDefault="00704701">
      <w:pPr>
        <w:pStyle w:val="FootnoteText"/>
        <w:spacing w:after="0"/>
      </w:pPr>
      <w:r>
        <w:rPr>
          <w:rStyle w:val="FootnoteReference"/>
        </w:rPr>
        <w:footnoteRef/>
      </w:r>
      <w:r>
        <w:tab/>
      </w:r>
      <w:r>
        <w:rPr>
          <w:szCs w:val="24"/>
        </w:rPr>
        <w:t>A 10% EVs market share with an amount of 50 % of electric vehicles simultaneou</w:t>
      </w:r>
      <w:r>
        <w:rPr>
          <w:szCs w:val="24"/>
        </w:rPr>
        <w:t xml:space="preserve">sly connected to the grid via typical 3.6 kW-household sockets could offer a peak power/load of 7.6 GW and about 22 GWh per day for load shifting in Germany (based on daily trips and a mid-sized battery electric vehicle with a 25 kWh battery). </w:t>
      </w:r>
      <w:r>
        <w:t xml:space="preserve">JRC, 2013, </w:t>
      </w:r>
      <w:r>
        <w:rPr>
          <w:rFonts w:eastAsiaTheme="minorHAnsi"/>
          <w:i/>
        </w:rPr>
        <w:t>P</w:t>
      </w:r>
      <w:r>
        <w:rPr>
          <w:rFonts w:eastAsiaTheme="minorHAnsi"/>
          <w:i/>
        </w:rPr>
        <w:t xml:space="preserve">rojections for electric </w:t>
      </w:r>
      <w:r>
        <w:rPr>
          <w:i/>
        </w:rPr>
        <w:t>vehicle</w:t>
      </w:r>
      <w:r>
        <w:rPr>
          <w:rFonts w:eastAsiaTheme="minorHAnsi"/>
          <w:i/>
        </w:rPr>
        <w:t xml:space="preserve"> load profiles in Europe based on travel survey data</w:t>
      </w:r>
      <w:r>
        <w:rPr>
          <w:rFonts w:eastAsiaTheme="minorHAnsi"/>
        </w:rPr>
        <w:t xml:space="preserve">. </w:t>
      </w:r>
    </w:p>
  </w:footnote>
  <w:footnote w:id="19">
    <w:p w:rsidR="007F60C7" w:rsidRDefault="00704701">
      <w:pPr>
        <w:pStyle w:val="FootnoteText"/>
        <w:spacing w:after="0"/>
      </w:pPr>
      <w:r>
        <w:rPr>
          <w:rStyle w:val="FootnoteReference"/>
        </w:rPr>
        <w:footnoteRef/>
      </w:r>
      <w:r>
        <w:tab/>
      </w:r>
      <w:r>
        <w:rPr>
          <w:rFonts w:eastAsiaTheme="minorHAnsi"/>
        </w:rPr>
        <w:t>The German</w:t>
      </w:r>
      <w:r>
        <w:rPr>
          <w:rFonts w:eastAsiaTheme="minorHAnsi"/>
          <w:bCs/>
          <w:color w:val="000000"/>
        </w:rPr>
        <w:t xml:space="preserve"> energy storage </w:t>
      </w:r>
      <w:r>
        <w:t>incentive</w:t>
      </w:r>
      <w:r>
        <w:rPr>
          <w:rFonts w:eastAsiaTheme="minorHAnsi"/>
          <w:bCs/>
          <w:color w:val="000000"/>
        </w:rPr>
        <w:t xml:space="preserve"> programme provides PV owners of systems up to 30 kW with a 30% rebate and low interest loans from the German development bank (KfW).</w:t>
      </w:r>
    </w:p>
  </w:footnote>
  <w:footnote w:id="20">
    <w:p w:rsidR="007F60C7" w:rsidRDefault="00704701">
      <w:pPr>
        <w:pStyle w:val="FootnoteText"/>
        <w:spacing w:after="0"/>
      </w:pPr>
      <w:r>
        <w:rPr>
          <w:rStyle w:val="FootnoteReference"/>
        </w:rPr>
        <w:footnoteRef/>
      </w:r>
      <w:r>
        <w:tab/>
        <w:t xml:space="preserve">MetaPV Study, 2014, </w:t>
      </w:r>
      <w:r>
        <w:rPr>
          <w:i/>
        </w:rPr>
        <w:t>Cost-effective integration of photovoltaics in existing distribution grids</w:t>
      </w:r>
      <w:r>
        <w:t>.</w:t>
      </w:r>
    </w:p>
  </w:footnote>
  <w:footnote w:id="21">
    <w:p w:rsidR="007F60C7" w:rsidRDefault="00704701">
      <w:pPr>
        <w:pStyle w:val="FootnoteText"/>
        <w:spacing w:after="0"/>
      </w:pPr>
      <w:r>
        <w:rPr>
          <w:rStyle w:val="FootnoteReference"/>
        </w:rPr>
        <w:footnoteRef/>
      </w:r>
      <w:r>
        <w:tab/>
      </w:r>
      <w:r>
        <w:rPr>
          <w:rFonts w:eastAsia="HelveticaNeueLTStd-Lt"/>
          <w:lang w:eastAsia="en-GB"/>
        </w:rPr>
        <w:t>The main driver for network investments is the peak power at connection point and grid segment levels: the network is generally dimensioned in a way that e</w:t>
      </w:r>
      <w:r>
        <w:rPr>
          <w:rFonts w:eastAsia="HelveticaNeueLTStd-Lt"/>
          <w:lang w:eastAsia="en-GB"/>
        </w:rPr>
        <w:t xml:space="preserve">nables the DSO to cope with all demand withdrawn from and production injected into the grid at any time throughout the year and at any point while still adhering to all (security and technical) parameters. </w:t>
      </w:r>
    </w:p>
  </w:footnote>
  <w:footnote w:id="22">
    <w:p w:rsidR="007F60C7" w:rsidRDefault="00704701">
      <w:pPr>
        <w:pStyle w:val="FootnoteText"/>
        <w:spacing w:after="0"/>
        <w:rPr>
          <w:rFonts w:eastAsia="HelveticaNeueLTStd-Lt"/>
          <w:lang w:eastAsia="en-GB"/>
        </w:rPr>
      </w:pPr>
      <w:r>
        <w:rPr>
          <w:rStyle w:val="FootnoteReference"/>
        </w:rPr>
        <w:footnoteRef/>
      </w:r>
      <w:r>
        <w:tab/>
        <w:t>Rate increases attributed to prosumers should b</w:t>
      </w:r>
      <w:r>
        <w:t>e put in perspective with rate increases attributable to other sectors. Many countries, for example, provide subsidized electricity rates to energy-intensive manufacturing industries which other ratepayer classes must absorb through higher rates. Such indu</w:t>
      </w:r>
      <w:r>
        <w:t>strial cost shifting can significantly outweigh the magnitude of cost shifting attributable to residential prosumers.</w:t>
      </w:r>
    </w:p>
    <w:p w:rsidR="007F60C7" w:rsidRDefault="007F60C7">
      <w:pPr>
        <w:pStyle w:val="FootnoteText"/>
        <w:spacing w:after="0"/>
        <w:ind w:firstLine="0"/>
      </w:pPr>
    </w:p>
  </w:footnote>
  <w:footnote w:id="23">
    <w:p w:rsidR="007F60C7" w:rsidRDefault="00704701">
      <w:pPr>
        <w:pStyle w:val="FootnoteText"/>
        <w:spacing w:after="0"/>
      </w:pPr>
      <w:r>
        <w:rPr>
          <w:rStyle w:val="FootnoteReference"/>
        </w:rPr>
        <w:footnoteRef/>
      </w:r>
      <w:r>
        <w:tab/>
        <w:t>With the introduction of capacity tariffs, the fixed amount of tax reduction was increased with (nearly) the same amount of the new cap</w:t>
      </w:r>
      <w:r>
        <w:t>acity tariff, while the volume-based tax was also increased with (nearly) the same amount of the volumetric tariff of 2008.</w:t>
      </w:r>
    </w:p>
  </w:footnote>
  <w:footnote w:id="24">
    <w:p w:rsidR="007F60C7" w:rsidRDefault="00704701">
      <w:pPr>
        <w:pStyle w:val="FootnoteText"/>
        <w:spacing w:after="0"/>
      </w:pPr>
      <w:r>
        <w:rPr>
          <w:rStyle w:val="FootnoteReference"/>
        </w:rPr>
        <w:footnoteRef/>
      </w:r>
      <w:r>
        <w:t xml:space="preserve"> </w:t>
      </w:r>
      <w:r>
        <w:tab/>
        <w:t xml:space="preserve">While micro-generation projects are fully exempted, systems with a capacity equal or above 20kWp (connected to low-voltage grid) </w:t>
      </w:r>
      <w:r>
        <w:t>will pay approximately €36/year, while projects of 200 kWp or above (connected to the medium voltage) will pay about €237/year. Source: Qual'energia 2015.</w:t>
      </w:r>
    </w:p>
  </w:footnote>
  <w:footnote w:id="25">
    <w:p w:rsidR="007F60C7" w:rsidRDefault="00704701">
      <w:pPr>
        <w:pStyle w:val="FootnoteText"/>
        <w:spacing w:after="0"/>
      </w:pPr>
      <w:r>
        <w:rPr>
          <w:rStyle w:val="FootnoteReference"/>
        </w:rPr>
        <w:footnoteRef/>
      </w:r>
      <w:r>
        <w:t xml:space="preserve"> </w:t>
      </w:r>
      <w:r>
        <w:tab/>
        <w:t>Article 16(8) of the Renewable Energy Directive requires Member States to '</w:t>
      </w:r>
      <w:r>
        <w:rPr>
          <w:i/>
        </w:rPr>
        <w:t>ensure that tariffs cha</w:t>
      </w:r>
      <w:r>
        <w:rPr>
          <w:i/>
        </w:rPr>
        <w:t>rged by transmission system operators and distribution system operators for the transmission and distribution of electricity from plants using renewable energy sources reflect realisable cost benefits resulting from the plant’s connection to the network. S</w:t>
      </w:r>
      <w:r>
        <w:rPr>
          <w:i/>
        </w:rPr>
        <w:t>uch cost benefits could arise from the direct use of the low-voltage grid</w:t>
      </w:r>
      <w:r>
        <w:t>'.</w:t>
      </w:r>
    </w:p>
  </w:footnote>
  <w:footnote w:id="26">
    <w:p w:rsidR="007F60C7" w:rsidRDefault="00704701">
      <w:pPr>
        <w:spacing w:after="0" w:line="240" w:lineRule="auto"/>
        <w:ind w:left="357" w:hanging="357"/>
        <w:jc w:val="both"/>
      </w:pPr>
      <w:r>
        <w:rPr>
          <w:rStyle w:val="FootnoteReference"/>
          <w:rFonts w:ascii="Times New Roman" w:eastAsia="Times New Roman" w:hAnsi="Times New Roman"/>
          <w:sz w:val="20"/>
          <w:szCs w:val="20"/>
        </w:rPr>
        <w:footnoteRef/>
      </w:r>
      <w:r>
        <w:t xml:space="preserve"> </w:t>
      </w:r>
      <w:r>
        <w:tab/>
      </w:r>
      <w:r>
        <w:rPr>
          <w:rFonts w:ascii="Times New Roman" w:hAnsi="Times New Roman"/>
          <w:bCs/>
          <w:sz w:val="20"/>
          <w:szCs w:val="20"/>
        </w:rPr>
        <w:t>Feed-in-Tariff for small-scale systems are currently lower than the retail electricity price (~13 €cent /kWh vs ~29 €cent /kWh).</w:t>
      </w:r>
    </w:p>
  </w:footnote>
  <w:footnote w:id="27">
    <w:p w:rsidR="007F60C7" w:rsidRDefault="00704701">
      <w:pPr>
        <w:pStyle w:val="PlainText"/>
        <w:ind w:left="357" w:hanging="357"/>
        <w:jc w:val="both"/>
      </w:pPr>
      <w:r>
        <w:rPr>
          <w:rStyle w:val="FootnoteReference"/>
          <w:rFonts w:ascii="Times New Roman" w:eastAsia="Times New Roman" w:hAnsi="Times New Roman"/>
          <w:sz w:val="20"/>
          <w:szCs w:val="20"/>
        </w:rPr>
        <w:footnoteRef/>
      </w:r>
      <w:r>
        <w:t xml:space="preserve"> </w:t>
      </w:r>
      <w:r>
        <w:tab/>
      </w:r>
      <w:r>
        <w:rPr>
          <w:rFonts w:ascii="Times New Roman" w:hAnsi="Times New Roman"/>
          <w:sz w:val="20"/>
          <w:szCs w:val="20"/>
        </w:rPr>
        <w:t xml:space="preserve">The amount of the net billing grant includes </w:t>
      </w:r>
      <w:r>
        <w:rPr>
          <w:rFonts w:ascii="Times New Roman" w:hAnsi="Times New Roman"/>
          <w:sz w:val="20"/>
          <w:szCs w:val="20"/>
        </w:rPr>
        <w:t>an energy component that varies with the value of energy exchanged and a service component, updated regularly, that depends on the cost of services and the energy exchanged. Net metering is only possible when the owner of the renewable energy system and th</w:t>
      </w:r>
      <w:r>
        <w:rPr>
          <w:rFonts w:ascii="Times New Roman" w:hAnsi="Times New Roman"/>
          <w:sz w:val="20"/>
          <w:szCs w:val="20"/>
        </w:rPr>
        <w:t>e self-consumer are the same entity (i.e. it is not possible to have net metering when the plant’s owner is a third party).</w:t>
      </w:r>
    </w:p>
  </w:footnote>
  <w:footnote w:id="28">
    <w:p w:rsidR="007F60C7" w:rsidRDefault="00704701">
      <w:pPr>
        <w:pStyle w:val="FootnoteText"/>
        <w:spacing w:after="0"/>
        <w:rPr>
          <w:sz w:val="16"/>
        </w:rPr>
      </w:pPr>
      <w:r>
        <w:rPr>
          <w:rStyle w:val="FootnoteReference"/>
        </w:rPr>
        <w:footnoteRef/>
      </w:r>
      <w:r>
        <w:tab/>
      </w:r>
      <w:r>
        <w:rPr>
          <w:szCs w:val="24"/>
        </w:rPr>
        <w:t xml:space="preserve">In California, the largest US solar market, a bill is about to </w:t>
      </w:r>
      <w:r>
        <w:t>implement</w:t>
      </w:r>
      <w:r>
        <w:rPr>
          <w:szCs w:val="24"/>
        </w:rPr>
        <w:t xml:space="preserve"> a new net-metering scheme, </w:t>
      </w:r>
      <w:r>
        <w:t xml:space="preserve">introducing time of use rates </w:t>
      </w:r>
      <w:r>
        <w:t>by 2019, i.e. creating a variable cost for kWh depending on actual wholesale price of electricity</w:t>
      </w:r>
      <w:r>
        <w:rPr>
          <w:szCs w:val="24"/>
        </w:rPr>
        <w:t>.</w:t>
      </w:r>
      <w:r>
        <w:rPr>
          <w:sz w:val="24"/>
          <w:szCs w:val="24"/>
        </w:rPr>
        <w:t xml:space="preserve"> </w:t>
      </w:r>
      <w:r>
        <w:rPr>
          <w:szCs w:val="24"/>
        </w:rPr>
        <w:t>Some important, and very sunny, US states (e.g. Arizona, Colorado, and New Mexico) have not put any limit.</w:t>
      </w:r>
    </w:p>
  </w:footnote>
  <w:footnote w:id="29">
    <w:p w:rsidR="007F60C7" w:rsidRDefault="00704701">
      <w:pPr>
        <w:pStyle w:val="FootnoteText"/>
        <w:spacing w:after="0"/>
      </w:pPr>
      <w:r>
        <w:rPr>
          <w:rStyle w:val="FootnoteReference"/>
        </w:rPr>
        <w:footnoteRef/>
      </w:r>
      <w:r>
        <w:tab/>
        <w:t>T</w:t>
      </w:r>
      <w:r>
        <w:rPr>
          <w:rFonts w:eastAsiaTheme="minorHAnsi"/>
          <w:color w:val="000000"/>
        </w:rPr>
        <w:t xml:space="preserve">his requirement naturally limits the size of a </w:t>
      </w:r>
      <w:r>
        <w:rPr>
          <w:rFonts w:eastAsiaTheme="minorHAnsi"/>
          <w:color w:val="000000"/>
        </w:rPr>
        <w:t>system to meet this consumption in order to maximize the rate of return. Excess electricity generation can be sold at a price similar to wholesale prices (€0.05/kWh).</w:t>
      </w:r>
    </w:p>
  </w:footnote>
  <w:footnote w:id="30">
    <w:p w:rsidR="007F60C7" w:rsidRDefault="00704701">
      <w:pPr>
        <w:pStyle w:val="FootnoteText"/>
        <w:spacing w:after="0"/>
      </w:pPr>
      <w:r>
        <w:rPr>
          <w:rStyle w:val="FootnoteReference"/>
        </w:rPr>
        <w:footnoteRef/>
      </w:r>
      <w:r>
        <w:t xml:space="preserve">    The Italian self-consumption scheme (</w:t>
      </w:r>
      <w:r>
        <w:rPr>
          <w:i/>
        </w:rPr>
        <w:t>Sistema Efficiente di Utenza</w:t>
      </w:r>
      <w:r>
        <w:t xml:space="preserve">) </w:t>
      </w:r>
      <w:r>
        <w:rPr>
          <w:bCs/>
        </w:rPr>
        <w:t>allows the direct</w:t>
      </w:r>
      <w:r>
        <w:rPr>
          <w:bCs/>
        </w:rPr>
        <w:t xml:space="preserve"> sale of electricity to the final residential or commercial consumer, although in most cases the excess renewable electricity will be fed into the grid and receives a much lower price than the retail price.</w:t>
      </w:r>
    </w:p>
  </w:footnote>
  <w:footnote w:id="31">
    <w:p w:rsidR="007F60C7" w:rsidRDefault="00704701">
      <w:pPr>
        <w:pStyle w:val="FootnoteText"/>
        <w:spacing w:after="0"/>
      </w:pPr>
      <w:r>
        <w:rPr>
          <w:rStyle w:val="FootnoteReference"/>
        </w:rPr>
        <w:footnoteRef/>
      </w:r>
      <w:r>
        <w:tab/>
        <w:t>Furthermore, when there is a large premium betw</w:t>
      </w:r>
      <w:r>
        <w:t xml:space="preserve">een the retail electricity price and the price paid for excess electricity generation, consumers have an incentive to size the renewable energy systems to maximise the proportion of self-consumption versus injection into the grid, if the systems are still </w:t>
      </w:r>
      <w:r>
        <w:t>expensive as compared to the market price. This can be fostered with investment in a relatively small renewable system. However, the benefit of this smaller system option should be weighed against the transaction costs involved and the customer’s own inter</w:t>
      </w:r>
      <w:r>
        <w:t>nal rate of return.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1" w:rsidRDefault="007047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1" w:rsidRDefault="007047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701" w:rsidRDefault="0070470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C7" w:rsidRDefault="007F60C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C7" w:rsidRDefault="007F60C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0C7" w:rsidRDefault="007F60C7">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3BB"/>
    <w:multiLevelType w:val="singleLevel"/>
    <w:tmpl w:val="B77A568C"/>
    <w:lvl w:ilvl="0">
      <w:start w:val="1"/>
      <w:numFmt w:val="bullet"/>
      <w:pStyle w:val="ListDash4"/>
      <w:lvlText w:val="–"/>
      <w:lvlJc w:val="left"/>
      <w:pPr>
        <w:tabs>
          <w:tab w:val="num" w:pos="1723"/>
        </w:tabs>
        <w:ind w:left="1723" w:hanging="283"/>
      </w:pPr>
      <w:rPr>
        <w:rFonts w:ascii="Times New Roman" w:hAnsi="Times New Roman"/>
      </w:rPr>
    </w:lvl>
  </w:abstractNum>
  <w:abstractNum w:abstractNumId="1">
    <w:nsid w:val="0CFE274F"/>
    <w:multiLevelType w:val="singleLevel"/>
    <w:tmpl w:val="7F461434"/>
    <w:lvl w:ilvl="0">
      <w:start w:val="1"/>
      <w:numFmt w:val="bullet"/>
      <w:pStyle w:val="ListBullet4"/>
      <w:lvlText w:val=""/>
      <w:lvlJc w:val="left"/>
      <w:pPr>
        <w:tabs>
          <w:tab w:val="num" w:pos="1723"/>
        </w:tabs>
        <w:ind w:left="1723" w:hanging="283"/>
      </w:pPr>
      <w:rPr>
        <w:rFonts w:ascii="Symbol" w:hAnsi="Symbol"/>
      </w:rPr>
    </w:lvl>
  </w:abstractNum>
  <w:abstractNum w:abstractNumId="2">
    <w:nsid w:val="18BE6CBF"/>
    <w:multiLevelType w:val="singleLevel"/>
    <w:tmpl w:val="268AE5F4"/>
    <w:lvl w:ilvl="0">
      <w:start w:val="1"/>
      <w:numFmt w:val="bullet"/>
      <w:pStyle w:val="ListBullet8"/>
      <w:lvlText w:val=""/>
      <w:lvlJc w:val="left"/>
      <w:pPr>
        <w:tabs>
          <w:tab w:val="num" w:pos="1723"/>
        </w:tabs>
        <w:ind w:left="1723" w:hanging="283"/>
      </w:pPr>
      <w:rPr>
        <w:rFonts w:ascii="Symbol" w:hAnsi="Symbol"/>
      </w:rPr>
    </w:lvl>
  </w:abstractNum>
  <w:abstractNum w:abstractNumId="3">
    <w:nsid w:val="216C541C"/>
    <w:multiLevelType w:val="singleLevel"/>
    <w:tmpl w:val="5A7CD0FA"/>
    <w:lvl w:ilvl="0">
      <w:start w:val="1"/>
      <w:numFmt w:val="bullet"/>
      <w:pStyle w:val="ListDash"/>
      <w:lvlText w:val="–"/>
      <w:lvlJc w:val="left"/>
      <w:pPr>
        <w:tabs>
          <w:tab w:val="num" w:pos="283"/>
        </w:tabs>
        <w:ind w:left="283" w:hanging="283"/>
      </w:pPr>
      <w:rPr>
        <w:rFonts w:ascii="Times New Roman" w:hAnsi="Times New Roman"/>
      </w:rPr>
    </w:lvl>
  </w:abstractNum>
  <w:abstractNum w:abstractNumId="4">
    <w:nsid w:val="27C72F08"/>
    <w:multiLevelType w:val="multilevel"/>
    <w:tmpl w:val="589CDCA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7E66849"/>
    <w:multiLevelType w:val="singleLevel"/>
    <w:tmpl w:val="0F5A4A9E"/>
    <w:lvl w:ilvl="0">
      <w:start w:val="1"/>
      <w:numFmt w:val="bullet"/>
      <w:pStyle w:val="ListBullet5"/>
      <w:lvlText w:val=""/>
      <w:lvlJc w:val="left"/>
      <w:pPr>
        <w:tabs>
          <w:tab w:val="num" w:pos="1723"/>
        </w:tabs>
        <w:ind w:left="1723" w:hanging="283"/>
      </w:pPr>
      <w:rPr>
        <w:rFonts w:ascii="Symbol" w:hAnsi="Symbol"/>
      </w:rPr>
    </w:lvl>
  </w:abstractNum>
  <w:abstractNum w:abstractNumId="6">
    <w:nsid w:val="2A316646"/>
    <w:multiLevelType w:val="multilevel"/>
    <w:tmpl w:val="E7D2FDB4"/>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F436774"/>
    <w:multiLevelType w:val="singleLevel"/>
    <w:tmpl w:val="CE16C822"/>
    <w:lvl w:ilvl="0">
      <w:start w:val="1"/>
      <w:numFmt w:val="bullet"/>
      <w:pStyle w:val="ListBullet1"/>
      <w:lvlText w:val=""/>
      <w:lvlJc w:val="left"/>
      <w:pPr>
        <w:tabs>
          <w:tab w:val="num" w:pos="1723"/>
        </w:tabs>
        <w:ind w:left="1723" w:hanging="283"/>
      </w:pPr>
      <w:rPr>
        <w:rFonts w:ascii="Symbol" w:hAnsi="Symbol"/>
      </w:rPr>
    </w:lvl>
  </w:abstractNum>
  <w:abstractNum w:abstractNumId="8">
    <w:nsid w:val="30A7464F"/>
    <w:multiLevelType w:val="multilevel"/>
    <w:tmpl w:val="0686B1B6"/>
    <w:lvl w:ilvl="0">
      <w:start w:val="1"/>
      <w:numFmt w:val="decimal"/>
      <w:pStyle w:val="ListNumber8"/>
      <w:lvlText w:val="(%1)"/>
      <w:lvlJc w:val="left"/>
      <w:pPr>
        <w:tabs>
          <w:tab w:val="num" w:pos="2149"/>
        </w:tabs>
        <w:ind w:left="2149" w:hanging="709"/>
      </w:pPr>
    </w:lvl>
    <w:lvl w:ilvl="1">
      <w:start w:val="1"/>
      <w:numFmt w:val="lowerLetter"/>
      <w:pStyle w:val="ListNumber8Level2"/>
      <w:lvlText w:val="(%2)"/>
      <w:lvlJc w:val="left"/>
      <w:pPr>
        <w:tabs>
          <w:tab w:val="num" w:pos="2857"/>
        </w:tabs>
        <w:ind w:left="2857" w:hanging="708"/>
      </w:pPr>
    </w:lvl>
    <w:lvl w:ilvl="2">
      <w:start w:val="1"/>
      <w:numFmt w:val="bullet"/>
      <w:pStyle w:val="ListNumber8Level3"/>
      <w:lvlText w:val="–"/>
      <w:lvlJc w:val="left"/>
      <w:pPr>
        <w:tabs>
          <w:tab w:val="num" w:pos="3566"/>
        </w:tabs>
        <w:ind w:left="3566" w:hanging="709"/>
      </w:pPr>
      <w:rPr>
        <w:rFonts w:ascii="Times New Roman" w:hAnsi="Times New Roman"/>
      </w:rPr>
    </w:lvl>
    <w:lvl w:ilvl="3">
      <w:start w:val="1"/>
      <w:numFmt w:val="bullet"/>
      <w:pStyle w:val="ListNumber8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4670ADC"/>
    <w:multiLevelType w:val="multilevel"/>
    <w:tmpl w:val="CBA63D2A"/>
    <w:lvl w:ilvl="0">
      <w:start w:val="1"/>
      <w:numFmt w:val="decimal"/>
      <w:pStyle w:val="ListNumber6"/>
      <w:lvlText w:val="(%1)"/>
      <w:lvlJc w:val="left"/>
      <w:pPr>
        <w:tabs>
          <w:tab w:val="num" w:pos="2149"/>
        </w:tabs>
        <w:ind w:left="2149" w:hanging="709"/>
      </w:pPr>
    </w:lvl>
    <w:lvl w:ilvl="1">
      <w:start w:val="1"/>
      <w:numFmt w:val="lowerLetter"/>
      <w:pStyle w:val="ListNumber6Level2"/>
      <w:lvlText w:val="(%2)"/>
      <w:lvlJc w:val="left"/>
      <w:pPr>
        <w:tabs>
          <w:tab w:val="num" w:pos="2857"/>
        </w:tabs>
        <w:ind w:left="2857" w:hanging="708"/>
      </w:pPr>
    </w:lvl>
    <w:lvl w:ilvl="2">
      <w:start w:val="1"/>
      <w:numFmt w:val="bullet"/>
      <w:pStyle w:val="ListNumber6Level3"/>
      <w:lvlText w:val="–"/>
      <w:lvlJc w:val="left"/>
      <w:pPr>
        <w:tabs>
          <w:tab w:val="num" w:pos="3566"/>
        </w:tabs>
        <w:ind w:left="3566" w:hanging="709"/>
      </w:pPr>
      <w:rPr>
        <w:rFonts w:ascii="Times New Roman" w:hAnsi="Times New Roman"/>
      </w:rPr>
    </w:lvl>
    <w:lvl w:ilvl="3">
      <w:start w:val="1"/>
      <w:numFmt w:val="bullet"/>
      <w:pStyle w:val="ListNumber6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66C7E5E"/>
    <w:multiLevelType w:val="singleLevel"/>
    <w:tmpl w:val="14185DC6"/>
    <w:lvl w:ilvl="0">
      <w:start w:val="1"/>
      <w:numFmt w:val="bullet"/>
      <w:pStyle w:val="ListBullet2"/>
      <w:lvlText w:val=""/>
      <w:lvlJc w:val="left"/>
      <w:pPr>
        <w:tabs>
          <w:tab w:val="num" w:pos="1723"/>
        </w:tabs>
        <w:ind w:left="1723" w:hanging="283"/>
      </w:pPr>
      <w:rPr>
        <w:rFonts w:ascii="Symbol" w:hAnsi="Symbol"/>
      </w:rPr>
    </w:lvl>
  </w:abstractNum>
  <w:abstractNum w:abstractNumId="11">
    <w:nsid w:val="366E5DB2"/>
    <w:multiLevelType w:val="multilevel"/>
    <w:tmpl w:val="2388A454"/>
    <w:lvl w:ilvl="0">
      <w:start w:val="1"/>
      <w:numFmt w:val="decimal"/>
      <w:pStyle w:val="ListNumber2"/>
      <w:lvlText w:val="(%1)"/>
      <w:lvlJc w:val="left"/>
      <w:pPr>
        <w:tabs>
          <w:tab w:val="num" w:pos="2149"/>
        </w:tabs>
        <w:ind w:left="2149" w:hanging="709"/>
      </w:pPr>
    </w:lvl>
    <w:lvl w:ilvl="1">
      <w:start w:val="1"/>
      <w:numFmt w:val="lowerLetter"/>
      <w:pStyle w:val="ListNumber2Level2"/>
      <w:lvlText w:val="(%2)"/>
      <w:lvlJc w:val="left"/>
      <w:pPr>
        <w:tabs>
          <w:tab w:val="num" w:pos="2857"/>
        </w:tabs>
        <w:ind w:left="2857" w:hanging="708"/>
      </w:pPr>
    </w:lvl>
    <w:lvl w:ilvl="2">
      <w:start w:val="1"/>
      <w:numFmt w:val="bullet"/>
      <w:pStyle w:val="ListNumber2Level3"/>
      <w:lvlText w:val="–"/>
      <w:lvlJc w:val="left"/>
      <w:pPr>
        <w:tabs>
          <w:tab w:val="num" w:pos="3566"/>
        </w:tabs>
        <w:ind w:left="3566" w:hanging="709"/>
      </w:pPr>
      <w:rPr>
        <w:rFonts w:ascii="Times New Roman" w:hAnsi="Times New Roman"/>
      </w:rPr>
    </w:lvl>
    <w:lvl w:ilvl="3">
      <w:start w:val="1"/>
      <w:numFmt w:val="bullet"/>
      <w:pStyle w:val="ListNumber2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36CD10E0"/>
    <w:multiLevelType w:val="singleLevel"/>
    <w:tmpl w:val="87A8B6B4"/>
    <w:lvl w:ilvl="0">
      <w:start w:val="1"/>
      <w:numFmt w:val="bullet"/>
      <w:pStyle w:val="ListDash7"/>
      <w:lvlText w:val="–"/>
      <w:lvlJc w:val="left"/>
      <w:pPr>
        <w:tabs>
          <w:tab w:val="num" w:pos="1723"/>
        </w:tabs>
        <w:ind w:left="1723" w:hanging="283"/>
      </w:pPr>
      <w:rPr>
        <w:rFonts w:ascii="Times New Roman" w:hAnsi="Times New Roman"/>
      </w:rPr>
    </w:lvl>
  </w:abstractNum>
  <w:abstractNum w:abstractNumId="13">
    <w:nsid w:val="397A2CBA"/>
    <w:multiLevelType w:val="hybridMultilevel"/>
    <w:tmpl w:val="BA6AEAE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BD16EF2"/>
    <w:multiLevelType w:val="hybridMultilevel"/>
    <w:tmpl w:val="15E8AC1E"/>
    <w:lvl w:ilvl="0" w:tplc="772428E0">
      <w:start w:val="1"/>
      <w:numFmt w:val="bullet"/>
      <w:pStyle w:val="Bullet1Eclareon"/>
      <w:lvlText w:val=""/>
      <w:lvlJc w:val="left"/>
      <w:pPr>
        <w:ind w:left="1287" w:hanging="360"/>
      </w:pPr>
      <w:rPr>
        <w:rFonts w:ascii="Symbol" w:hAnsi="Symbol" w:hint="default"/>
        <w:color w:val="CB2124"/>
        <w:sz w:val="16"/>
        <w:szCs w:val="16"/>
        <w:lang w:val="en-GB"/>
      </w:rPr>
    </w:lvl>
    <w:lvl w:ilvl="1" w:tplc="CF964556">
      <w:start w:val="1"/>
      <w:numFmt w:val="bullet"/>
      <w:lvlText w:val="-"/>
      <w:lvlJc w:val="left"/>
      <w:pPr>
        <w:ind w:left="2007" w:hanging="360"/>
      </w:pPr>
      <w:rPr>
        <w:rFonts w:ascii="Arial" w:hAnsi="Arial" w:hint="default"/>
        <w:color w:val="CB2124"/>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5">
    <w:nsid w:val="54FB6CA5"/>
    <w:multiLevelType w:val="singleLevel"/>
    <w:tmpl w:val="0EFACC46"/>
    <w:lvl w:ilvl="0">
      <w:start w:val="1"/>
      <w:numFmt w:val="bullet"/>
      <w:pStyle w:val="ListDash8"/>
      <w:lvlText w:val="–"/>
      <w:lvlJc w:val="left"/>
      <w:pPr>
        <w:tabs>
          <w:tab w:val="num" w:pos="1723"/>
        </w:tabs>
        <w:ind w:left="1723" w:hanging="283"/>
      </w:pPr>
      <w:rPr>
        <w:rFonts w:ascii="Times New Roman" w:hAnsi="Times New Roman"/>
      </w:rPr>
    </w:lvl>
  </w:abstractNum>
  <w:abstractNum w:abstractNumId="16">
    <w:nsid w:val="553A64A4"/>
    <w:multiLevelType w:val="multilevel"/>
    <w:tmpl w:val="761EE6B6"/>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17">
    <w:nsid w:val="59780E0A"/>
    <w:multiLevelType w:val="hybridMultilevel"/>
    <w:tmpl w:val="8160B96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59E74131"/>
    <w:multiLevelType w:val="singleLevel"/>
    <w:tmpl w:val="2B20B78E"/>
    <w:lvl w:ilvl="0">
      <w:start w:val="1"/>
      <w:numFmt w:val="bullet"/>
      <w:pStyle w:val="ListBullet7"/>
      <w:lvlText w:val=""/>
      <w:lvlJc w:val="left"/>
      <w:pPr>
        <w:tabs>
          <w:tab w:val="num" w:pos="1723"/>
        </w:tabs>
        <w:ind w:left="1723" w:hanging="283"/>
      </w:pPr>
      <w:rPr>
        <w:rFonts w:ascii="Symbol" w:hAnsi="Symbol"/>
      </w:rPr>
    </w:lvl>
  </w:abstractNum>
  <w:abstractNum w:abstractNumId="19">
    <w:nsid w:val="5A036134"/>
    <w:multiLevelType w:val="multilevel"/>
    <w:tmpl w:val="22EE6080"/>
    <w:lvl w:ilvl="0">
      <w:start w:val="1"/>
      <w:numFmt w:val="decimal"/>
      <w:pStyle w:val="ListNumber5"/>
      <w:lvlText w:val="(%1)"/>
      <w:lvlJc w:val="left"/>
      <w:pPr>
        <w:tabs>
          <w:tab w:val="num" w:pos="2149"/>
        </w:tabs>
        <w:ind w:left="2149" w:hanging="709"/>
      </w:pPr>
    </w:lvl>
    <w:lvl w:ilvl="1">
      <w:start w:val="1"/>
      <w:numFmt w:val="lowerLetter"/>
      <w:pStyle w:val="ListNumber5Level2"/>
      <w:lvlText w:val="(%2)"/>
      <w:lvlJc w:val="left"/>
      <w:pPr>
        <w:tabs>
          <w:tab w:val="num" w:pos="2857"/>
        </w:tabs>
        <w:ind w:left="2857" w:hanging="708"/>
      </w:pPr>
    </w:lvl>
    <w:lvl w:ilvl="2">
      <w:start w:val="1"/>
      <w:numFmt w:val="bullet"/>
      <w:pStyle w:val="ListNumber5Level3"/>
      <w:lvlText w:val="–"/>
      <w:lvlJc w:val="left"/>
      <w:pPr>
        <w:tabs>
          <w:tab w:val="num" w:pos="3566"/>
        </w:tabs>
        <w:ind w:left="3566" w:hanging="709"/>
      </w:pPr>
      <w:rPr>
        <w:rFonts w:ascii="Times New Roman" w:hAnsi="Times New Roman"/>
      </w:rPr>
    </w:lvl>
    <w:lvl w:ilvl="3">
      <w:start w:val="1"/>
      <w:numFmt w:val="bullet"/>
      <w:pStyle w:val="ListNumber5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5A2516BD"/>
    <w:multiLevelType w:val="singleLevel"/>
    <w:tmpl w:val="6B9A636E"/>
    <w:lvl w:ilvl="0">
      <w:start w:val="1"/>
      <w:numFmt w:val="bullet"/>
      <w:pStyle w:val="ListDash1"/>
      <w:lvlText w:val="–"/>
      <w:lvlJc w:val="left"/>
      <w:pPr>
        <w:tabs>
          <w:tab w:val="num" w:pos="1723"/>
        </w:tabs>
        <w:ind w:left="1723" w:hanging="283"/>
      </w:pPr>
      <w:rPr>
        <w:rFonts w:ascii="Times New Roman" w:hAnsi="Times New Roman"/>
      </w:rPr>
    </w:lvl>
  </w:abstractNum>
  <w:abstractNum w:abstractNumId="21">
    <w:nsid w:val="5AED7CC1"/>
    <w:multiLevelType w:val="multilevel"/>
    <w:tmpl w:val="3FE20CA8"/>
    <w:lvl w:ilvl="0">
      <w:start w:val="1"/>
      <w:numFmt w:val="decimal"/>
      <w:pStyle w:val="ListNumber3"/>
      <w:lvlText w:val="(%1)"/>
      <w:lvlJc w:val="left"/>
      <w:pPr>
        <w:tabs>
          <w:tab w:val="num" w:pos="2149"/>
        </w:tabs>
        <w:ind w:left="2149" w:hanging="709"/>
      </w:pPr>
    </w:lvl>
    <w:lvl w:ilvl="1">
      <w:start w:val="1"/>
      <w:numFmt w:val="lowerLetter"/>
      <w:pStyle w:val="ListNumber3Level2"/>
      <w:lvlText w:val="(%2)"/>
      <w:lvlJc w:val="left"/>
      <w:pPr>
        <w:tabs>
          <w:tab w:val="num" w:pos="2857"/>
        </w:tabs>
        <w:ind w:left="2857" w:hanging="708"/>
      </w:pPr>
    </w:lvl>
    <w:lvl w:ilvl="2">
      <w:start w:val="1"/>
      <w:numFmt w:val="bullet"/>
      <w:pStyle w:val="ListNumber3Level3"/>
      <w:lvlText w:val="–"/>
      <w:lvlJc w:val="left"/>
      <w:pPr>
        <w:tabs>
          <w:tab w:val="num" w:pos="3566"/>
        </w:tabs>
        <w:ind w:left="3566" w:hanging="709"/>
      </w:pPr>
      <w:rPr>
        <w:rFonts w:ascii="Times New Roman" w:hAnsi="Times New Roman"/>
      </w:rPr>
    </w:lvl>
    <w:lvl w:ilvl="3">
      <w:start w:val="1"/>
      <w:numFmt w:val="bullet"/>
      <w:pStyle w:val="ListNumber3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BCE2673"/>
    <w:multiLevelType w:val="singleLevel"/>
    <w:tmpl w:val="1AE4F9D4"/>
    <w:lvl w:ilvl="0">
      <w:start w:val="1"/>
      <w:numFmt w:val="bullet"/>
      <w:pStyle w:val="ListDash5"/>
      <w:lvlText w:val="–"/>
      <w:lvlJc w:val="left"/>
      <w:pPr>
        <w:tabs>
          <w:tab w:val="num" w:pos="1723"/>
        </w:tabs>
        <w:ind w:left="1723" w:hanging="283"/>
      </w:pPr>
      <w:rPr>
        <w:rFonts w:ascii="Times New Roman" w:hAnsi="Times New Roman"/>
      </w:rPr>
    </w:lvl>
  </w:abstractNum>
  <w:abstractNum w:abstractNumId="23">
    <w:nsid w:val="621B7AB5"/>
    <w:multiLevelType w:val="singleLevel"/>
    <w:tmpl w:val="36C0E208"/>
    <w:lvl w:ilvl="0">
      <w:start w:val="1"/>
      <w:numFmt w:val="bullet"/>
      <w:pStyle w:val="ListDash3"/>
      <w:lvlText w:val="–"/>
      <w:lvlJc w:val="left"/>
      <w:pPr>
        <w:tabs>
          <w:tab w:val="num" w:pos="1723"/>
        </w:tabs>
        <w:ind w:left="1723" w:hanging="283"/>
      </w:pPr>
      <w:rPr>
        <w:rFonts w:ascii="Times New Roman" w:hAnsi="Times New Roman"/>
      </w:rPr>
    </w:lvl>
  </w:abstractNum>
  <w:abstractNum w:abstractNumId="24">
    <w:nsid w:val="624241D6"/>
    <w:multiLevelType w:val="singleLevel"/>
    <w:tmpl w:val="ED569D6A"/>
    <w:lvl w:ilvl="0">
      <w:start w:val="1"/>
      <w:numFmt w:val="bullet"/>
      <w:pStyle w:val="ListBullet"/>
      <w:lvlText w:val=""/>
      <w:lvlJc w:val="left"/>
      <w:pPr>
        <w:tabs>
          <w:tab w:val="num" w:pos="283"/>
        </w:tabs>
        <w:ind w:left="283" w:hanging="283"/>
      </w:pPr>
      <w:rPr>
        <w:rFonts w:ascii="Symbol" w:hAnsi="Symbol"/>
      </w:rPr>
    </w:lvl>
  </w:abstractNum>
  <w:abstractNum w:abstractNumId="25">
    <w:nsid w:val="63225EEB"/>
    <w:multiLevelType w:val="multilevel"/>
    <w:tmpl w:val="CD7E0C86"/>
    <w:lvl w:ilvl="0">
      <w:start w:val="1"/>
      <w:numFmt w:val="decimal"/>
      <w:pStyle w:val="ListNumber4"/>
      <w:lvlText w:val="(%1)"/>
      <w:lvlJc w:val="left"/>
      <w:pPr>
        <w:tabs>
          <w:tab w:val="num" w:pos="2149"/>
        </w:tabs>
        <w:ind w:left="2149" w:hanging="709"/>
      </w:pPr>
    </w:lvl>
    <w:lvl w:ilvl="1">
      <w:start w:val="1"/>
      <w:numFmt w:val="lowerLetter"/>
      <w:pStyle w:val="ListNumber4Level2"/>
      <w:lvlText w:val="(%2)"/>
      <w:lvlJc w:val="left"/>
      <w:pPr>
        <w:tabs>
          <w:tab w:val="num" w:pos="2857"/>
        </w:tabs>
        <w:ind w:left="2857" w:hanging="708"/>
      </w:pPr>
    </w:lvl>
    <w:lvl w:ilvl="2">
      <w:start w:val="1"/>
      <w:numFmt w:val="bullet"/>
      <w:pStyle w:val="ListNumber4Level3"/>
      <w:lvlText w:val="–"/>
      <w:lvlJc w:val="left"/>
      <w:pPr>
        <w:tabs>
          <w:tab w:val="num" w:pos="3566"/>
        </w:tabs>
        <w:ind w:left="3566" w:hanging="709"/>
      </w:pPr>
      <w:rPr>
        <w:rFonts w:ascii="Times New Roman" w:hAnsi="Times New Roman"/>
      </w:rPr>
    </w:lvl>
    <w:lvl w:ilvl="3">
      <w:start w:val="1"/>
      <w:numFmt w:val="bullet"/>
      <w:pStyle w:val="ListNumber4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6A8F44DF"/>
    <w:multiLevelType w:val="singleLevel"/>
    <w:tmpl w:val="B5D41388"/>
    <w:lvl w:ilvl="0">
      <w:start w:val="1"/>
      <w:numFmt w:val="bullet"/>
      <w:pStyle w:val="ListDash2"/>
      <w:lvlText w:val="–"/>
      <w:lvlJc w:val="left"/>
      <w:pPr>
        <w:tabs>
          <w:tab w:val="num" w:pos="1723"/>
        </w:tabs>
        <w:ind w:left="1723" w:hanging="283"/>
      </w:pPr>
      <w:rPr>
        <w:rFonts w:ascii="Times New Roman" w:hAnsi="Times New Roman"/>
      </w:rPr>
    </w:lvl>
  </w:abstractNum>
  <w:abstractNum w:abstractNumId="27">
    <w:nsid w:val="6D87223D"/>
    <w:multiLevelType w:val="singleLevel"/>
    <w:tmpl w:val="533212EA"/>
    <w:lvl w:ilvl="0">
      <w:start w:val="1"/>
      <w:numFmt w:val="bullet"/>
      <w:pStyle w:val="ListBullet3"/>
      <w:lvlText w:val=""/>
      <w:lvlJc w:val="left"/>
      <w:pPr>
        <w:tabs>
          <w:tab w:val="num" w:pos="1723"/>
        </w:tabs>
        <w:ind w:left="1723" w:hanging="283"/>
      </w:pPr>
      <w:rPr>
        <w:rFonts w:ascii="Symbol" w:hAnsi="Symbol"/>
      </w:rPr>
    </w:lvl>
  </w:abstractNum>
  <w:abstractNum w:abstractNumId="28">
    <w:nsid w:val="6F62497F"/>
    <w:multiLevelType w:val="singleLevel"/>
    <w:tmpl w:val="54E2F4D6"/>
    <w:lvl w:ilvl="0">
      <w:start w:val="1"/>
      <w:numFmt w:val="bullet"/>
      <w:pStyle w:val="ListDash6"/>
      <w:lvlText w:val="–"/>
      <w:lvlJc w:val="left"/>
      <w:pPr>
        <w:tabs>
          <w:tab w:val="num" w:pos="1723"/>
        </w:tabs>
        <w:ind w:left="1723" w:hanging="283"/>
      </w:pPr>
      <w:rPr>
        <w:rFonts w:ascii="Times New Roman" w:hAnsi="Times New Roman"/>
      </w:rPr>
    </w:lvl>
  </w:abstractNum>
  <w:abstractNum w:abstractNumId="29">
    <w:nsid w:val="716A3761"/>
    <w:multiLevelType w:val="hybridMultilevel"/>
    <w:tmpl w:val="274C0A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1941C00"/>
    <w:multiLevelType w:val="singleLevel"/>
    <w:tmpl w:val="740C8B34"/>
    <w:lvl w:ilvl="0">
      <w:start w:val="1"/>
      <w:numFmt w:val="bullet"/>
      <w:pStyle w:val="ListBullet6"/>
      <w:lvlText w:val=""/>
      <w:lvlJc w:val="left"/>
      <w:pPr>
        <w:tabs>
          <w:tab w:val="num" w:pos="1723"/>
        </w:tabs>
        <w:ind w:left="1723" w:hanging="283"/>
      </w:pPr>
      <w:rPr>
        <w:rFonts w:ascii="Symbol" w:hAnsi="Symbol"/>
      </w:rPr>
    </w:lvl>
  </w:abstractNum>
  <w:abstractNum w:abstractNumId="31">
    <w:nsid w:val="7F4F4A65"/>
    <w:multiLevelType w:val="multilevel"/>
    <w:tmpl w:val="6A20B96E"/>
    <w:lvl w:ilvl="0">
      <w:start w:val="1"/>
      <w:numFmt w:val="decimal"/>
      <w:pStyle w:val="ListNumber7"/>
      <w:lvlText w:val="(%1)"/>
      <w:lvlJc w:val="left"/>
      <w:pPr>
        <w:tabs>
          <w:tab w:val="num" w:pos="2149"/>
        </w:tabs>
        <w:ind w:left="2149" w:hanging="709"/>
      </w:pPr>
    </w:lvl>
    <w:lvl w:ilvl="1">
      <w:start w:val="1"/>
      <w:numFmt w:val="lowerLetter"/>
      <w:pStyle w:val="ListNumber7Level2"/>
      <w:lvlText w:val="(%2)"/>
      <w:lvlJc w:val="left"/>
      <w:pPr>
        <w:tabs>
          <w:tab w:val="num" w:pos="2857"/>
        </w:tabs>
        <w:ind w:left="2857" w:hanging="708"/>
      </w:pPr>
    </w:lvl>
    <w:lvl w:ilvl="2">
      <w:start w:val="1"/>
      <w:numFmt w:val="bullet"/>
      <w:pStyle w:val="ListNumber7Level3"/>
      <w:lvlText w:val="–"/>
      <w:lvlJc w:val="left"/>
      <w:pPr>
        <w:tabs>
          <w:tab w:val="num" w:pos="3566"/>
        </w:tabs>
        <w:ind w:left="3566" w:hanging="709"/>
      </w:pPr>
      <w:rPr>
        <w:rFonts w:ascii="Times New Roman" w:hAnsi="Times New Roman"/>
      </w:rPr>
    </w:lvl>
    <w:lvl w:ilvl="3">
      <w:start w:val="1"/>
      <w:numFmt w:val="bullet"/>
      <w:pStyle w:val="ListNumber7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3"/>
  </w:num>
  <w:num w:numId="3">
    <w:abstractNumId w:val="29"/>
  </w:num>
  <w:num w:numId="4">
    <w:abstractNumId w:val="14"/>
  </w:num>
  <w:num w:numId="5">
    <w:abstractNumId w:val="17"/>
  </w:num>
  <w:num w:numId="6">
    <w:abstractNumId w:val="24"/>
  </w:num>
  <w:num w:numId="7">
    <w:abstractNumId w:val="7"/>
  </w:num>
  <w:num w:numId="8">
    <w:abstractNumId w:val="10"/>
  </w:num>
  <w:num w:numId="9">
    <w:abstractNumId w:val="27"/>
  </w:num>
  <w:num w:numId="10">
    <w:abstractNumId w:val="1"/>
  </w:num>
  <w:num w:numId="11">
    <w:abstractNumId w:val="5"/>
  </w:num>
  <w:num w:numId="12">
    <w:abstractNumId w:val="30"/>
  </w:num>
  <w:num w:numId="13">
    <w:abstractNumId w:val="18"/>
  </w:num>
  <w:num w:numId="14">
    <w:abstractNumId w:val="2"/>
  </w:num>
  <w:num w:numId="15">
    <w:abstractNumId w:val="3"/>
  </w:num>
  <w:num w:numId="16">
    <w:abstractNumId w:val="20"/>
  </w:num>
  <w:num w:numId="17">
    <w:abstractNumId w:val="26"/>
  </w:num>
  <w:num w:numId="18">
    <w:abstractNumId w:val="23"/>
  </w:num>
  <w:num w:numId="19">
    <w:abstractNumId w:val="0"/>
  </w:num>
  <w:num w:numId="20">
    <w:abstractNumId w:val="22"/>
  </w:num>
  <w:num w:numId="21">
    <w:abstractNumId w:val="28"/>
  </w:num>
  <w:num w:numId="22">
    <w:abstractNumId w:val="12"/>
  </w:num>
  <w:num w:numId="23">
    <w:abstractNumId w:val="15"/>
  </w:num>
  <w:num w:numId="24">
    <w:abstractNumId w:val="4"/>
  </w:num>
  <w:num w:numId="25">
    <w:abstractNumId w:val="6"/>
  </w:num>
  <w:num w:numId="26">
    <w:abstractNumId w:val="11"/>
  </w:num>
  <w:num w:numId="27">
    <w:abstractNumId w:val="21"/>
  </w:num>
  <w:num w:numId="28">
    <w:abstractNumId w:val="25"/>
  </w:num>
  <w:num w:numId="29">
    <w:abstractNumId w:val="19"/>
  </w:num>
  <w:num w:numId="30">
    <w:abstractNumId w:val="9"/>
  </w:num>
  <w:num w:numId="31">
    <w:abstractNumId w:val="31"/>
  </w:num>
  <w:num w:numId="32">
    <w:abstractNumId w:val="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removePersonalInformation/>
  <w:removeDateAndTime/>
  <w:hideSpellingErrors/>
  <w:hideGrammaticalErrors/>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4CE292AB74734CCEACE5AC5127C5781A"/>
    <w:docVar w:name="LW_CROSSREFERENCE" w:val="{COM(2015) 339 final}"/>
    <w:docVar w:name="LW_DocType" w:val="NORMAL"/>
    <w:docVar w:name="LW_EMISSION" w:val="15.7.2015"/>
    <w:docVar w:name="LW_EMISSION_ISODATE" w:val="2015-07-15"/>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Delivering a New Deal for Energy Consumers"/>
    <w:docVar w:name="LW_PART_NBR" w:val="1"/>
    <w:docVar w:name="LW_PART_NBR_TOTAL" w:val="1"/>
    <w:docVar w:name="LW_REF.INST.NEW" w:val="SWD"/>
    <w:docVar w:name="LW_REF.INST.NEW_ADOPTED" w:val="final"/>
    <w:docVar w:name="LW_REF.INST.NEW_TEXT" w:val="(2015) 141"/>
    <w:docVar w:name="LW_REF.INTERNE" w:val="&lt;UNUSED&gt;"/>
    <w:docVar w:name="LW_SUPERTITRE" w:val="&lt;UNUSED&gt;"/>
    <w:docVar w:name="LW_TITRE.OBJ.CP" w:val="Best practices on Renewable Energy Self-consumption"/>
    <w:docVar w:name="LW_TYPE.DOC.CP" w:val="COMMISSION STAFF WORKING DOCUMENT"/>
    <w:docVar w:name="LW_TYPEACTEPRINCIPAL.CP" w:val="Communication from the Commission to the European Parliament, the Council, the European Economic and Social Committee and the Committee of the Regions"/>
  </w:docVars>
  <w:rsids>
    <w:rsidRoot w:val="007F60C7"/>
    <w:rsid w:val="00704701"/>
    <w:rsid w:val="007F6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Calibri" w:eastAsia="Calibri" w:hAnsi="Calibri" w:cs="Times New Roman"/>
    </w:rPr>
  </w:style>
  <w:style w:type="paragraph" w:styleId="Heading1">
    <w:name w:val="heading 1"/>
    <w:aliases w:val="Heading 1 Eclareon"/>
    <w:basedOn w:val="Normal"/>
    <w:next w:val="Text1"/>
    <w:link w:val="Heading1Char"/>
    <w:uiPriority w:val="9"/>
    <w:qFormat/>
    <w:pPr>
      <w:keepNext/>
      <w:numPr>
        <w:numId w:val="1"/>
      </w:numPr>
      <w:spacing w:before="240" w:after="240" w:line="240" w:lineRule="auto"/>
      <w:jc w:val="both"/>
      <w:outlineLvl w:val="0"/>
    </w:pPr>
    <w:rPr>
      <w:rFonts w:ascii="Times New Roman" w:eastAsia="Times New Roman" w:hAnsi="Times New Roman"/>
      <w:b/>
      <w:smallCaps/>
      <w:sz w:val="24"/>
      <w:szCs w:val="20"/>
    </w:rPr>
  </w:style>
  <w:style w:type="paragraph" w:styleId="Heading2">
    <w:name w:val="heading 2"/>
    <w:aliases w:val="Heading 2 Eclareon"/>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b/>
      <w:sz w:val="24"/>
      <w:szCs w:val="20"/>
    </w:rPr>
  </w:style>
  <w:style w:type="paragraph" w:styleId="Heading3">
    <w:name w:val="heading 3"/>
    <w:aliases w:val="Heading 3 Eclareon"/>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Normal"/>
    <w:link w:val="Heading4Char"/>
    <w:uiPriority w:val="99"/>
    <w:qFormat/>
    <w:pPr>
      <w:keepNext/>
      <w:numPr>
        <w:ilvl w:val="3"/>
        <w:numId w:val="1"/>
      </w:numPr>
      <w:spacing w:after="240" w:line="240" w:lineRule="auto"/>
      <w:jc w:val="both"/>
      <w:outlineLvl w:val="3"/>
    </w:pPr>
    <w:rPr>
      <w:rFonts w:ascii="Times New Roman" w:eastAsia="Times New Roman" w:hAnsi="Times New Roman"/>
      <w:sz w:val="24"/>
      <w:szCs w:val="20"/>
    </w:rPr>
  </w:style>
  <w:style w:type="paragraph" w:styleId="Heading5">
    <w:name w:val="heading 5"/>
    <w:aliases w:val="Heading 5 Eclareon"/>
    <w:basedOn w:val="Normal"/>
    <w:next w:val="Normal"/>
    <w:link w:val="Heading5Char"/>
    <w:qFormat/>
    <w:pPr>
      <w:keepNext/>
      <w:tabs>
        <w:tab w:val="num" w:pos="1008"/>
      </w:tabs>
      <w:spacing w:before="240" w:after="240" w:line="360" w:lineRule="auto"/>
      <w:ind w:left="1008" w:hanging="1008"/>
      <w:jc w:val="both"/>
      <w:outlineLvl w:val="4"/>
    </w:pPr>
    <w:rPr>
      <w:rFonts w:asciiTheme="majorHAnsi" w:eastAsia="Times New Roman" w:hAnsiTheme="majorHAnsi" w:cstheme="majorHAnsi"/>
      <w:sz w:val="20"/>
      <w:szCs w:val="20"/>
      <w:lang w:val="es-ES_tradnl" w:eastAsia="es-ES"/>
    </w:rPr>
  </w:style>
  <w:style w:type="paragraph" w:styleId="Heading6">
    <w:name w:val="heading 6"/>
    <w:basedOn w:val="Normal"/>
    <w:next w:val="Normal"/>
    <w:link w:val="Heading6Char"/>
    <w:pPr>
      <w:keepNext/>
      <w:tabs>
        <w:tab w:val="num" w:pos="1152"/>
      </w:tabs>
      <w:spacing w:before="180" w:after="240" w:line="360" w:lineRule="auto"/>
      <w:ind w:left="1152" w:hanging="1152"/>
      <w:jc w:val="both"/>
      <w:outlineLvl w:val="5"/>
    </w:pPr>
    <w:rPr>
      <w:rFonts w:ascii="TrueOptima" w:eastAsia="Times New Roman" w:hAnsi="TrueOptima"/>
      <w:sz w:val="20"/>
      <w:szCs w:val="20"/>
      <w:lang w:val="es-ES_tradnl" w:eastAsia="es-ES"/>
    </w:rPr>
  </w:style>
  <w:style w:type="paragraph" w:styleId="Heading7">
    <w:name w:val="heading 7"/>
    <w:basedOn w:val="Normal"/>
    <w:next w:val="Normal"/>
    <w:link w:val="Heading7Char"/>
    <w:qFormat/>
    <w:pPr>
      <w:numPr>
        <w:ilvl w:val="6"/>
        <w:numId w:val="1"/>
      </w:numPr>
      <w:spacing w:before="240" w:after="60" w:line="300" w:lineRule="atLeast"/>
      <w:jc w:val="both"/>
      <w:outlineLvl w:val="6"/>
    </w:pPr>
    <w:rPr>
      <w:rFonts w:ascii="Arial" w:eastAsia="Times New Roman" w:hAnsi="Arial"/>
      <w:szCs w:val="20"/>
      <w:lang w:eastAsia="de-DE"/>
    </w:rPr>
  </w:style>
  <w:style w:type="paragraph" w:styleId="Heading8">
    <w:name w:val="heading 8"/>
    <w:basedOn w:val="Normal"/>
    <w:next w:val="Normal"/>
    <w:link w:val="Heading8Char"/>
    <w:qFormat/>
    <w:pPr>
      <w:numPr>
        <w:ilvl w:val="7"/>
        <w:numId w:val="1"/>
      </w:numPr>
      <w:spacing w:before="240" w:after="60" w:line="300" w:lineRule="atLeast"/>
      <w:jc w:val="both"/>
      <w:outlineLvl w:val="7"/>
    </w:pPr>
    <w:rPr>
      <w:rFonts w:ascii="Arial" w:eastAsia="Times New Roman" w:hAnsi="Arial"/>
      <w:i/>
      <w:szCs w:val="20"/>
      <w:lang w:eastAsia="de-DE"/>
    </w:rPr>
  </w:style>
  <w:style w:type="paragraph" w:styleId="Heading9">
    <w:name w:val="heading 9"/>
    <w:basedOn w:val="Normal"/>
    <w:next w:val="Normal"/>
    <w:link w:val="Heading9Char"/>
    <w:uiPriority w:val="99"/>
    <w:qFormat/>
    <w:pPr>
      <w:numPr>
        <w:ilvl w:val="8"/>
        <w:numId w:val="1"/>
      </w:numPr>
      <w:spacing w:before="240" w:after="60" w:line="300" w:lineRule="atLeast"/>
      <w:jc w:val="both"/>
      <w:outlineLvl w:val="8"/>
    </w:pPr>
    <w:rPr>
      <w:rFonts w:ascii="Arial" w:eastAsia="Times New Roman" w:hAnsi="Arial"/>
      <w:b/>
      <w:i/>
      <w:sz w:val="1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Eclareon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aliases w:val="Heading 2 Eclareon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aliases w:val="Heading 3 Eclareon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rPr>
  </w:style>
  <w:style w:type="character" w:customStyle="1" w:styleId="Heading7Char">
    <w:name w:val="Heading 7 Char"/>
    <w:basedOn w:val="DefaultParagraphFont"/>
    <w:link w:val="Heading7"/>
    <w:rPr>
      <w:rFonts w:ascii="Arial" w:eastAsia="Times New Roman" w:hAnsi="Arial" w:cs="Times New Roman"/>
      <w:szCs w:val="20"/>
      <w:lang w:eastAsia="de-DE"/>
    </w:rPr>
  </w:style>
  <w:style w:type="character" w:customStyle="1" w:styleId="Heading8Char">
    <w:name w:val="Heading 8 Char"/>
    <w:basedOn w:val="DefaultParagraphFont"/>
    <w:link w:val="Heading8"/>
    <w:rPr>
      <w:rFonts w:ascii="Arial" w:eastAsia="Times New Roman" w:hAnsi="Arial" w:cs="Times New Roman"/>
      <w:i/>
      <w:szCs w:val="20"/>
      <w:lang w:eastAsia="de-DE"/>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eastAsia="de-DE"/>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sz w:val="24"/>
      <w:szCs w:val="20"/>
    </w:rPr>
  </w:style>
  <w:style w:type="paragraph" w:styleId="Footer">
    <w:name w:val="footer"/>
    <w:basedOn w:val="Normal"/>
    <w:link w:val="FooterChar"/>
    <w:uiPriority w:val="99"/>
    <w:pPr>
      <w:spacing w:after="0" w:line="240" w:lineRule="auto"/>
      <w:ind w:right="-567"/>
    </w:pPr>
    <w:rPr>
      <w:rFonts w:ascii="Arial" w:eastAsia="Times New Roman" w:hAnsi="Arial"/>
      <w:sz w:val="16"/>
      <w:szCs w:val="20"/>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E Fußnotentext,Fußnotentext Ursprung,footnote text"/>
    <w:basedOn w:val="Normal"/>
    <w:link w:val="FootnoteTextChar"/>
    <w:uiPriority w:val="99"/>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aliases w:val="-E Fußnotentext Char,Fußnotentext Ursprung Char,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customStyle="1" w:styleId="ListDash1">
    <w:name w:val="List Dash 1"/>
    <w:basedOn w:val="Text1"/>
    <w:pPr>
      <w:numPr>
        <w:numId w:val="16"/>
      </w:numPr>
    </w:pPr>
  </w:style>
  <w:style w:type="paragraph" w:customStyle="1" w:styleId="ListNumber1">
    <w:name w:val="List Number 1"/>
    <w:basedOn w:val="Text1"/>
    <w:pPr>
      <w:numPr>
        <w:numId w:val="25"/>
      </w:numPr>
    </w:pPr>
  </w:style>
  <w:style w:type="paragraph" w:customStyle="1" w:styleId="ListNumber1Level2">
    <w:name w:val="List Number 1 (Level 2)"/>
    <w:basedOn w:val="Text1"/>
    <w:pPr>
      <w:numPr>
        <w:ilvl w:val="1"/>
        <w:numId w:val="25"/>
      </w:numPr>
    </w:pPr>
  </w:style>
  <w:style w:type="paragraph" w:customStyle="1" w:styleId="ListNumber1Level3">
    <w:name w:val="List Number 1 (Level 3)"/>
    <w:basedOn w:val="Text1"/>
    <w:pPr>
      <w:numPr>
        <w:ilvl w:val="2"/>
        <w:numId w:val="25"/>
      </w:numPr>
    </w:pPr>
  </w:style>
  <w:style w:type="paragraph" w:customStyle="1" w:styleId="ListNumber1Level4">
    <w:name w:val="List Number 1 (Level 4)"/>
    <w:basedOn w:val="Text1"/>
    <w:pPr>
      <w:numPr>
        <w:ilvl w:val="3"/>
        <w:numId w:val="25"/>
      </w:numPr>
    </w:p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FootnoteReference">
    <w:name w:val="footnote reference"/>
    <w:aliases w:val="Nota,Footnote symbol,Footnote number, Char1,Char1,Ref,de nota al pie,SUPERS, Char,fr,o,(NECG) Footnote Reference,-E Fußnotenzeichen,(Diplomarbeit FZ),(Diplomarbeit FZ)1,(Diplomarbeit FZ)2,(Diplomarbeit FZ)3,(Diplomarbeit FZ)4,Char,FR"/>
    <w:uiPriority w:val="99"/>
    <w:unhideWhenUsed/>
    <w:qFormat/>
    <w:rPr>
      <w:vertAlign w:val="superscript"/>
    </w:rPr>
  </w:style>
  <w:style w:type="paragraph" w:styleId="ListParagraph">
    <w:name w:val="List Paragraph"/>
    <w:basedOn w:val="Normal"/>
    <w:uiPriority w:val="34"/>
    <w:qFormat/>
    <w:pPr>
      <w:spacing w:after="120" w:line="300" w:lineRule="atLeast"/>
      <w:ind w:left="720"/>
      <w:contextualSpacing/>
      <w:jc w:val="both"/>
    </w:pPr>
    <w:rPr>
      <w:rFonts w:ascii="Arial" w:eastAsia="Times New Roman" w:hAnsi="Arial"/>
      <w:szCs w:val="20"/>
      <w:lang w:eastAsia="de-DE"/>
    </w:rPr>
  </w:style>
  <w:style w:type="paragraph" w:customStyle="1" w:styleId="Quelle">
    <w:name w:val="Quelle"/>
    <w:basedOn w:val="Normal"/>
    <w:next w:val="Normal"/>
    <w:pPr>
      <w:tabs>
        <w:tab w:val="left" w:pos="1134"/>
      </w:tabs>
      <w:spacing w:before="60" w:after="240" w:line="300" w:lineRule="atLeast"/>
      <w:ind w:left="1134" w:hanging="1134"/>
      <w:jc w:val="both"/>
    </w:pPr>
    <w:rPr>
      <w:rFonts w:ascii="Arial" w:eastAsia="Times New Roman" w:hAnsi="Arial"/>
      <w:i/>
      <w:iCs/>
      <w:sz w:val="20"/>
      <w:szCs w:val="20"/>
      <w:lang w:eastAsia="de-DE"/>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customStyle="1" w:styleId="hps">
    <w:name w:val="hps"/>
    <w:basedOn w:val="DefaultParagraphFont"/>
  </w:style>
  <w:style w:type="paragraph" w:customStyle="1" w:styleId="MTMRBodyText">
    <w:name w:val="MTMR_Body Text"/>
    <w:qFormat/>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b/>
      <w:i/>
      <w:szCs w:val="20"/>
    </w:rPr>
  </w:style>
  <w:style w:type="paragraph" w:customStyle="1" w:styleId="MTMRFigureTitle">
    <w:name w:val="MTMR_Figure Title"/>
    <w:basedOn w:val="Normal"/>
    <w:link w:val="MTMRFigureTitleChar"/>
    <w:uiPriority w:val="2"/>
    <w:qFormat/>
    <w:pPr>
      <w:tabs>
        <w:tab w:val="left" w:pos="720"/>
      </w:tabs>
      <w:spacing w:before="240" w:after="120" w:line="240" w:lineRule="auto"/>
      <w:jc w:val="center"/>
    </w:pPr>
    <w:rPr>
      <w:rFonts w:eastAsia="Times New Roman"/>
      <w:b/>
      <w:color w:val="006666"/>
      <w:szCs w:val="20"/>
    </w:rPr>
  </w:style>
  <w:style w:type="character" w:customStyle="1" w:styleId="MTMRFigureTitleChar">
    <w:name w:val="MTMR_Figure Title Char"/>
    <w:basedOn w:val="DefaultParagraphFont"/>
    <w:link w:val="MTMRFigureTitle"/>
    <w:uiPriority w:val="2"/>
    <w:rPr>
      <w:rFonts w:ascii="Calibri" w:eastAsia="Times New Roman" w:hAnsi="Calibri" w:cs="Times New Roman"/>
      <w:b/>
      <w:color w:val="006666"/>
      <w:szCs w:val="20"/>
    </w:rPr>
  </w:style>
  <w:style w:type="paragraph" w:customStyle="1" w:styleId="MTMRHeadingLevel4">
    <w:name w:val="MTMR_Heading Level 4"/>
    <w:qFormat/>
    <w:pPr>
      <w:tabs>
        <w:tab w:val="left" w:pos="3686"/>
      </w:tabs>
      <w:spacing w:after="100" w:line="240" w:lineRule="auto"/>
      <w:outlineLvl w:val="3"/>
    </w:pPr>
    <w:rPr>
      <w:rFonts w:ascii="Helvetica" w:eastAsia="Times New Roman" w:hAnsi="Helvetica" w:cs="Times New Roman"/>
      <w:b/>
      <w:color w:val="006666"/>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after="0" w:line="240" w:lineRule="auto"/>
    </w:pPr>
    <w:rPr>
      <w:rFonts w:ascii="Times New Roman" w:eastAsiaTheme="minorHAnsi" w:hAnsi="Times New Roman"/>
      <w:sz w:val="24"/>
      <w:szCs w:val="24"/>
      <w:lang w:eastAsia="en-GB"/>
    </w:rPr>
  </w:style>
  <w:style w:type="character" w:customStyle="1" w:styleId="A0">
    <w:name w:val="A0"/>
    <w:uiPriority w:val="99"/>
    <w:rPr>
      <w:rFonts w:cs="Helvetica 45 Light"/>
      <w:color w:val="000000"/>
      <w:sz w:val="20"/>
      <w:szCs w:val="20"/>
    </w:rPr>
  </w:style>
  <w:style w:type="paragraph" w:customStyle="1" w:styleId="Pa15">
    <w:name w:val="Pa15"/>
    <w:basedOn w:val="Normal"/>
    <w:next w:val="Normal"/>
    <w:uiPriority w:val="99"/>
    <w:pPr>
      <w:autoSpaceDE w:val="0"/>
      <w:autoSpaceDN w:val="0"/>
      <w:adjustRightInd w:val="0"/>
      <w:spacing w:after="0" w:line="181" w:lineRule="atLeast"/>
    </w:pPr>
    <w:rPr>
      <w:rFonts w:ascii="Stone Sans ITC TT" w:hAnsi="Stone Sans ITC TT"/>
      <w:sz w:val="24"/>
      <w:szCs w:val="24"/>
      <w:lang w:eastAsia="en-GB"/>
    </w:rPr>
  </w:style>
  <w:style w:type="paragraph" w:styleId="NoSpacing">
    <w:name w:val="No Spacing"/>
    <w:uiPriority w:val="1"/>
    <w:qFormat/>
    <w:pPr>
      <w:spacing w:after="0" w:line="240" w:lineRule="auto"/>
    </w:pPr>
    <w:rPr>
      <w:lang w:val="de-DE"/>
    </w:rPr>
  </w:style>
  <w:style w:type="paragraph" w:styleId="BodyTextIndent2">
    <w:name w:val="Body Text Indent 2"/>
    <w:basedOn w:val="Normal"/>
    <w:link w:val="BodyTextIndent2Char"/>
    <w:uiPriority w:val="99"/>
    <w:unhideWhenUsed/>
    <w:pPr>
      <w:spacing w:line="240" w:lineRule="auto"/>
      <w:ind w:left="426"/>
      <w:jc w:val="both"/>
    </w:pPr>
    <w:rPr>
      <w:lang w:val="x-none"/>
    </w:rPr>
  </w:style>
  <w:style w:type="character" w:customStyle="1" w:styleId="BodyTextIndent2Char">
    <w:name w:val="Body Text Indent 2 Char"/>
    <w:basedOn w:val="DefaultParagraphFont"/>
    <w:link w:val="BodyTextIndent2"/>
    <w:uiPriority w:val="99"/>
    <w:rPr>
      <w:rFonts w:ascii="Calibri" w:eastAsia="Calibri" w:hAnsi="Calibri" w:cs="Times New Roman"/>
      <w:lang w:val="x-none"/>
    </w:rPr>
  </w:style>
  <w:style w:type="paragraph" w:styleId="BalloonText">
    <w:name w:val="Balloon Text"/>
    <w:basedOn w:val="Normal"/>
    <w:link w:val="BalloonTextChar"/>
    <w:uiPriority w:val="99"/>
    <w:semiHidden/>
    <w:unhideWhenUsed/>
    <w:pPr>
      <w:spacing w:after="0" w:line="240" w:lineRule="auto"/>
      <w:ind w:left="714" w:hanging="357"/>
      <w:jc w:val="both"/>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MTMRNoteSource">
    <w:name w:val="MTMR_Note Source"/>
    <w:basedOn w:val="Normal"/>
    <w:link w:val="MTMRNoteSourceChar"/>
    <w:uiPriority w:val="2"/>
    <w:qFormat/>
    <w:pPr>
      <w:spacing w:before="120" w:after="0" w:line="240" w:lineRule="auto"/>
      <w:jc w:val="both"/>
    </w:pPr>
    <w:rPr>
      <w:rFonts w:eastAsia="Times New Roman"/>
      <w:sz w:val="16"/>
      <w:szCs w:val="20"/>
    </w:rPr>
  </w:style>
  <w:style w:type="character" w:customStyle="1" w:styleId="MTMRNoteSourceChar">
    <w:name w:val="MTMR_Note Source Char"/>
    <w:basedOn w:val="DefaultParagraphFont"/>
    <w:link w:val="MTMRNoteSource"/>
    <w:uiPriority w:val="2"/>
    <w:rPr>
      <w:rFonts w:ascii="Calibri" w:eastAsia="Times New Roman" w:hAnsi="Calibri" w:cs="Times New Roman"/>
      <w:sz w:val="16"/>
      <w:szCs w:val="20"/>
    </w:rPr>
  </w:style>
  <w:style w:type="character" w:styleId="Strong">
    <w:name w:val="Strong"/>
    <w:aliases w:val="Key message"/>
    <w:uiPriority w:val="22"/>
    <w:qFormat/>
    <w:rPr>
      <w:b/>
      <w:bCs/>
    </w:rPr>
  </w:style>
  <w:style w:type="paragraph" w:customStyle="1" w:styleId="Bullet1Eclareon">
    <w:name w:val="Bullet 1 Eclareon"/>
    <w:basedOn w:val="ListParagraph"/>
    <w:qFormat/>
    <w:pPr>
      <w:numPr>
        <w:numId w:val="4"/>
      </w:numPr>
      <w:spacing w:beforeLines="60" w:before="144" w:afterLines="60" w:after="144" w:line="360" w:lineRule="auto"/>
      <w:contextualSpacing w:val="0"/>
    </w:pPr>
    <w:rPr>
      <w:sz w:val="20"/>
      <w:szCs w:val="24"/>
      <w:lang w:val="es-ES" w:eastAsia="es-ES"/>
    </w:rPr>
  </w:style>
  <w:style w:type="character" w:customStyle="1" w:styleId="Heading5Char">
    <w:name w:val="Heading 5 Char"/>
    <w:aliases w:val="Heading 5 Eclareon Char"/>
    <w:basedOn w:val="DefaultParagraphFont"/>
    <w:link w:val="Heading5"/>
    <w:rPr>
      <w:rFonts w:asciiTheme="majorHAnsi" w:eastAsia="Times New Roman" w:hAnsiTheme="majorHAnsi" w:cstheme="majorHAnsi"/>
      <w:sz w:val="20"/>
      <w:szCs w:val="20"/>
      <w:lang w:val="es-ES_tradnl" w:eastAsia="es-ES"/>
    </w:rPr>
  </w:style>
  <w:style w:type="character" w:customStyle="1" w:styleId="Heading6Char">
    <w:name w:val="Heading 6 Char"/>
    <w:basedOn w:val="DefaultParagraphFont"/>
    <w:link w:val="Heading6"/>
    <w:rPr>
      <w:rFonts w:ascii="TrueOptima" w:eastAsia="Times New Roman" w:hAnsi="TrueOptima" w:cs="Times New Roman"/>
      <w:sz w:val="20"/>
      <w:szCs w:val="20"/>
      <w:lang w:val="es-ES_tradnl" w:eastAsia="es-ES"/>
    </w:rPr>
  </w:style>
  <w:style w:type="paragraph" w:customStyle="1" w:styleId="Heading4Eclareon">
    <w:name w:val="Heading 4 Eclareon"/>
    <w:basedOn w:val="Heading3"/>
    <w:qFormat/>
    <w:pPr>
      <w:numPr>
        <w:ilvl w:val="0"/>
        <w:numId w:val="0"/>
      </w:numPr>
      <w:tabs>
        <w:tab w:val="num" w:pos="864"/>
      </w:tabs>
      <w:spacing w:before="240" w:line="360" w:lineRule="auto"/>
      <w:ind w:left="864" w:hanging="864"/>
    </w:pPr>
    <w:rPr>
      <w:rFonts w:ascii="Arial" w:hAnsi="Arial"/>
      <w:sz w:val="20"/>
      <w:lang w:val="es-ES" w:eastAsia="es-ES"/>
    </w:rPr>
  </w:style>
  <w:style w:type="paragraph" w:customStyle="1" w:styleId="MTMRFootnoteText">
    <w:name w:val="MTMR_Footnote Text"/>
    <w:basedOn w:val="Normal"/>
    <w:uiPriority w:val="2"/>
    <w:qFormat/>
    <w:pPr>
      <w:spacing w:after="0" w:line="240" w:lineRule="auto"/>
      <w:jc w:val="both"/>
    </w:pPr>
    <w:rPr>
      <w:rFonts w:ascii="Helvetica" w:eastAsia="Times New Roman" w:hAnsi="Helvetica"/>
      <w:sz w:val="14"/>
      <w:szCs w:val="1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6"/>
      </w:numPr>
      <w:spacing w:after="240" w:line="240" w:lineRule="auto"/>
      <w:jc w:val="both"/>
    </w:pPr>
    <w:rPr>
      <w:rFonts w:ascii="Times New Roman" w:eastAsia="Times New Roman" w:hAnsi="Times New Roman"/>
      <w:sz w:val="24"/>
      <w:szCs w:val="20"/>
    </w:rPr>
  </w:style>
  <w:style w:type="paragraph" w:customStyle="1" w:styleId="ListBullet1">
    <w:name w:val="List Bullet 1"/>
    <w:basedOn w:val="Text1"/>
    <w:pPr>
      <w:numPr>
        <w:numId w:val="7"/>
      </w:numPr>
    </w:pPr>
  </w:style>
  <w:style w:type="paragraph" w:styleId="ListBullet2">
    <w:name w:val="List Bullet 2"/>
    <w:basedOn w:val="Normal"/>
    <w:pPr>
      <w:numPr>
        <w:numId w:val="8"/>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9"/>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0"/>
      </w:numPr>
      <w:spacing w:after="240" w:line="240" w:lineRule="auto"/>
      <w:jc w:val="both"/>
    </w:pPr>
    <w:rPr>
      <w:rFonts w:ascii="Times New Roman" w:eastAsia="Times New Roman" w:hAnsi="Times New Roman"/>
      <w:sz w:val="24"/>
      <w:szCs w:val="20"/>
    </w:rPr>
  </w:style>
  <w:style w:type="paragraph" w:styleId="ListBullet5">
    <w:name w:val="List Bullet 5"/>
    <w:basedOn w:val="Normal"/>
    <w:pPr>
      <w:numPr>
        <w:numId w:val="11"/>
      </w:numPr>
      <w:spacing w:after="240" w:line="240" w:lineRule="auto"/>
      <w:jc w:val="both"/>
    </w:pPr>
    <w:rPr>
      <w:rFonts w:ascii="Times New Roman" w:eastAsia="Times New Roman" w:hAnsi="Times New Roman"/>
      <w:sz w:val="24"/>
      <w:szCs w:val="20"/>
    </w:rPr>
  </w:style>
  <w:style w:type="paragraph" w:customStyle="1" w:styleId="ListBullet6">
    <w:name w:val="List Bullet 6"/>
    <w:basedOn w:val="Normal"/>
    <w:pPr>
      <w:numPr>
        <w:numId w:val="12"/>
      </w:numPr>
      <w:spacing w:after="240" w:line="240" w:lineRule="auto"/>
      <w:jc w:val="both"/>
    </w:pPr>
    <w:rPr>
      <w:rFonts w:ascii="Times New Roman" w:eastAsia="Times New Roman" w:hAnsi="Times New Roman"/>
      <w:sz w:val="24"/>
      <w:szCs w:val="20"/>
    </w:rPr>
  </w:style>
  <w:style w:type="paragraph" w:customStyle="1" w:styleId="ListBullet7">
    <w:name w:val="List Bullet 7"/>
    <w:basedOn w:val="Normal"/>
    <w:pPr>
      <w:numPr>
        <w:numId w:val="13"/>
      </w:numPr>
      <w:spacing w:after="240" w:line="240" w:lineRule="auto"/>
      <w:jc w:val="both"/>
    </w:pPr>
    <w:rPr>
      <w:rFonts w:ascii="Times New Roman" w:eastAsia="Times New Roman" w:hAnsi="Times New Roman"/>
      <w:sz w:val="24"/>
      <w:szCs w:val="20"/>
    </w:rPr>
  </w:style>
  <w:style w:type="paragraph" w:customStyle="1" w:styleId="ListBullet8">
    <w:name w:val="List Bullet 8"/>
    <w:basedOn w:val="Normal"/>
    <w:pPr>
      <w:numPr>
        <w:numId w:val="14"/>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5"/>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7"/>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9"/>
      </w:numPr>
      <w:spacing w:after="240" w:line="240" w:lineRule="auto"/>
      <w:jc w:val="both"/>
    </w:pPr>
    <w:rPr>
      <w:rFonts w:ascii="Times New Roman" w:eastAsia="Times New Roman" w:hAnsi="Times New Roman"/>
      <w:sz w:val="24"/>
      <w:szCs w:val="20"/>
    </w:rPr>
  </w:style>
  <w:style w:type="paragraph" w:customStyle="1" w:styleId="ListDash5">
    <w:name w:val="List Dash 5"/>
    <w:basedOn w:val="Normal"/>
    <w:pPr>
      <w:numPr>
        <w:numId w:val="20"/>
      </w:numPr>
      <w:spacing w:after="240" w:line="240" w:lineRule="auto"/>
      <w:jc w:val="both"/>
    </w:pPr>
    <w:rPr>
      <w:rFonts w:ascii="Times New Roman" w:eastAsia="Times New Roman" w:hAnsi="Times New Roman"/>
      <w:sz w:val="24"/>
      <w:szCs w:val="20"/>
    </w:rPr>
  </w:style>
  <w:style w:type="paragraph" w:customStyle="1" w:styleId="ListDash6">
    <w:name w:val="List Dash 6"/>
    <w:basedOn w:val="Normal"/>
    <w:pPr>
      <w:numPr>
        <w:numId w:val="21"/>
      </w:numPr>
      <w:spacing w:after="240" w:line="240" w:lineRule="auto"/>
      <w:jc w:val="both"/>
    </w:pPr>
    <w:rPr>
      <w:rFonts w:ascii="Times New Roman" w:eastAsia="Times New Roman" w:hAnsi="Times New Roman"/>
      <w:sz w:val="24"/>
      <w:szCs w:val="20"/>
    </w:rPr>
  </w:style>
  <w:style w:type="paragraph" w:customStyle="1" w:styleId="ListDash7">
    <w:name w:val="List Dash 7"/>
    <w:basedOn w:val="Normal"/>
    <w:pPr>
      <w:numPr>
        <w:numId w:val="22"/>
      </w:numPr>
      <w:spacing w:after="240" w:line="240" w:lineRule="auto"/>
      <w:jc w:val="both"/>
    </w:pPr>
    <w:rPr>
      <w:rFonts w:ascii="Times New Roman" w:eastAsia="Times New Roman" w:hAnsi="Times New Roman"/>
      <w:sz w:val="24"/>
      <w:szCs w:val="20"/>
    </w:rPr>
  </w:style>
  <w:style w:type="paragraph" w:customStyle="1" w:styleId="ListDash8">
    <w:name w:val="List Dash 8"/>
    <w:basedOn w:val="Normal"/>
    <w:pPr>
      <w:numPr>
        <w:numId w:val="23"/>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24"/>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6"/>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7"/>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8"/>
      </w:numPr>
      <w:spacing w:after="240" w:line="240" w:lineRule="auto"/>
      <w:jc w:val="both"/>
    </w:pPr>
    <w:rPr>
      <w:rFonts w:ascii="Times New Roman" w:eastAsia="Times New Roman" w:hAnsi="Times New Roman"/>
      <w:sz w:val="24"/>
      <w:szCs w:val="20"/>
    </w:rPr>
  </w:style>
  <w:style w:type="paragraph" w:styleId="ListNumber5">
    <w:name w:val="List Number 5"/>
    <w:basedOn w:val="Normal"/>
    <w:pPr>
      <w:numPr>
        <w:numId w:val="29"/>
      </w:numPr>
      <w:spacing w:after="240" w:line="240" w:lineRule="auto"/>
      <w:jc w:val="both"/>
    </w:pPr>
    <w:rPr>
      <w:rFonts w:ascii="Times New Roman" w:eastAsia="Times New Roman" w:hAnsi="Times New Roman"/>
      <w:sz w:val="24"/>
      <w:szCs w:val="20"/>
    </w:rPr>
  </w:style>
  <w:style w:type="paragraph" w:customStyle="1" w:styleId="ListNumber6">
    <w:name w:val="List Number 6"/>
    <w:basedOn w:val="Normal"/>
    <w:pPr>
      <w:numPr>
        <w:numId w:val="30"/>
      </w:numPr>
      <w:spacing w:after="240" w:line="240" w:lineRule="auto"/>
      <w:jc w:val="both"/>
    </w:pPr>
    <w:rPr>
      <w:rFonts w:ascii="Times New Roman" w:eastAsia="Times New Roman" w:hAnsi="Times New Roman"/>
      <w:sz w:val="24"/>
      <w:szCs w:val="20"/>
    </w:rPr>
  </w:style>
  <w:style w:type="paragraph" w:customStyle="1" w:styleId="ListNumber7">
    <w:name w:val="List Number 7"/>
    <w:basedOn w:val="Normal"/>
    <w:pPr>
      <w:numPr>
        <w:numId w:val="31"/>
      </w:numPr>
      <w:spacing w:after="240" w:line="240" w:lineRule="auto"/>
      <w:jc w:val="both"/>
    </w:pPr>
    <w:rPr>
      <w:rFonts w:ascii="Times New Roman" w:eastAsia="Times New Roman" w:hAnsi="Times New Roman"/>
      <w:sz w:val="24"/>
      <w:szCs w:val="20"/>
    </w:rPr>
  </w:style>
  <w:style w:type="paragraph" w:customStyle="1" w:styleId="ListNumber8">
    <w:name w:val="List Number 8"/>
    <w:basedOn w:val="Normal"/>
    <w:pPr>
      <w:numPr>
        <w:numId w:val="3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2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6"/>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7"/>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8"/>
      </w:numPr>
      <w:spacing w:after="240" w:line="240" w:lineRule="auto"/>
      <w:jc w:val="both"/>
    </w:pPr>
    <w:rPr>
      <w:rFonts w:ascii="Times New Roman" w:eastAsia="Times New Roman" w:hAnsi="Times New Roman"/>
      <w:sz w:val="24"/>
      <w:szCs w:val="20"/>
    </w:rPr>
  </w:style>
  <w:style w:type="paragraph" w:customStyle="1" w:styleId="ListNumber5Level2">
    <w:name w:val="List Number 5 (Level 2)"/>
    <w:basedOn w:val="Normal"/>
    <w:pPr>
      <w:numPr>
        <w:ilvl w:val="1"/>
        <w:numId w:val="29"/>
      </w:numPr>
      <w:spacing w:after="240" w:line="240" w:lineRule="auto"/>
      <w:jc w:val="both"/>
    </w:pPr>
    <w:rPr>
      <w:rFonts w:ascii="Times New Roman" w:eastAsia="Times New Roman" w:hAnsi="Times New Roman"/>
      <w:sz w:val="24"/>
      <w:szCs w:val="20"/>
    </w:rPr>
  </w:style>
  <w:style w:type="paragraph" w:customStyle="1" w:styleId="ListNumber6Level2">
    <w:name w:val="List Number 6 (Level 2)"/>
    <w:basedOn w:val="Normal"/>
    <w:pPr>
      <w:numPr>
        <w:ilvl w:val="1"/>
        <w:numId w:val="30"/>
      </w:numPr>
      <w:spacing w:after="240" w:line="240" w:lineRule="auto"/>
      <w:jc w:val="both"/>
    </w:pPr>
    <w:rPr>
      <w:rFonts w:ascii="Times New Roman" w:eastAsia="Times New Roman" w:hAnsi="Times New Roman"/>
      <w:sz w:val="24"/>
      <w:szCs w:val="20"/>
    </w:rPr>
  </w:style>
  <w:style w:type="paragraph" w:customStyle="1" w:styleId="ListNumber7Level2">
    <w:name w:val="List Number 7 (Level 2)"/>
    <w:basedOn w:val="Normal"/>
    <w:pPr>
      <w:numPr>
        <w:ilvl w:val="1"/>
        <w:numId w:val="31"/>
      </w:numPr>
      <w:spacing w:after="240" w:line="240" w:lineRule="auto"/>
      <w:jc w:val="both"/>
    </w:pPr>
    <w:rPr>
      <w:rFonts w:ascii="Times New Roman" w:eastAsia="Times New Roman" w:hAnsi="Times New Roman"/>
      <w:sz w:val="24"/>
      <w:szCs w:val="20"/>
    </w:rPr>
  </w:style>
  <w:style w:type="paragraph" w:customStyle="1" w:styleId="ListNumber8Level2">
    <w:name w:val="List Number 8 (Level 2)"/>
    <w:basedOn w:val="Normal"/>
    <w:pPr>
      <w:numPr>
        <w:ilvl w:val="1"/>
        <w:numId w:val="3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2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6"/>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7"/>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8"/>
      </w:numPr>
      <w:spacing w:after="240" w:line="240" w:lineRule="auto"/>
      <w:jc w:val="both"/>
    </w:pPr>
    <w:rPr>
      <w:rFonts w:ascii="Times New Roman" w:eastAsia="Times New Roman" w:hAnsi="Times New Roman"/>
      <w:sz w:val="24"/>
      <w:szCs w:val="20"/>
    </w:rPr>
  </w:style>
  <w:style w:type="paragraph" w:customStyle="1" w:styleId="ListNumber5Level3">
    <w:name w:val="List Number 5 (Level 3)"/>
    <w:basedOn w:val="Normal"/>
    <w:pPr>
      <w:numPr>
        <w:ilvl w:val="2"/>
        <w:numId w:val="29"/>
      </w:numPr>
      <w:spacing w:after="240" w:line="240" w:lineRule="auto"/>
      <w:jc w:val="both"/>
    </w:pPr>
    <w:rPr>
      <w:rFonts w:ascii="Times New Roman" w:eastAsia="Times New Roman" w:hAnsi="Times New Roman"/>
      <w:sz w:val="24"/>
      <w:szCs w:val="20"/>
    </w:rPr>
  </w:style>
  <w:style w:type="paragraph" w:customStyle="1" w:styleId="ListNumber6Level3">
    <w:name w:val="List Number 6 (Level 3)"/>
    <w:basedOn w:val="Normal"/>
    <w:pPr>
      <w:numPr>
        <w:ilvl w:val="2"/>
        <w:numId w:val="30"/>
      </w:numPr>
      <w:spacing w:after="240" w:line="240" w:lineRule="auto"/>
      <w:jc w:val="both"/>
    </w:pPr>
    <w:rPr>
      <w:rFonts w:ascii="Times New Roman" w:eastAsia="Times New Roman" w:hAnsi="Times New Roman"/>
      <w:sz w:val="24"/>
      <w:szCs w:val="20"/>
    </w:rPr>
  </w:style>
  <w:style w:type="paragraph" w:customStyle="1" w:styleId="ListNumber7Level3">
    <w:name w:val="List Number 7 (Level 3)"/>
    <w:basedOn w:val="Normal"/>
    <w:pPr>
      <w:numPr>
        <w:ilvl w:val="2"/>
        <w:numId w:val="31"/>
      </w:numPr>
      <w:spacing w:after="240" w:line="240" w:lineRule="auto"/>
      <w:jc w:val="both"/>
    </w:pPr>
    <w:rPr>
      <w:rFonts w:ascii="Times New Roman" w:eastAsia="Times New Roman" w:hAnsi="Times New Roman"/>
      <w:sz w:val="24"/>
      <w:szCs w:val="20"/>
    </w:rPr>
  </w:style>
  <w:style w:type="paragraph" w:customStyle="1" w:styleId="ListNumber8Level3">
    <w:name w:val="List Number 8 (Level 3)"/>
    <w:basedOn w:val="Normal"/>
    <w:pPr>
      <w:numPr>
        <w:ilvl w:val="2"/>
        <w:numId w:val="3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2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6"/>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7"/>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8"/>
      </w:numPr>
      <w:spacing w:after="240" w:line="240" w:lineRule="auto"/>
      <w:jc w:val="both"/>
    </w:pPr>
    <w:rPr>
      <w:rFonts w:ascii="Times New Roman" w:eastAsia="Times New Roman" w:hAnsi="Times New Roman"/>
      <w:sz w:val="24"/>
      <w:szCs w:val="20"/>
    </w:rPr>
  </w:style>
  <w:style w:type="paragraph" w:customStyle="1" w:styleId="ListNumber5Level4">
    <w:name w:val="List Number 5 (Level 4)"/>
    <w:basedOn w:val="Normal"/>
    <w:pPr>
      <w:numPr>
        <w:ilvl w:val="3"/>
        <w:numId w:val="29"/>
      </w:numPr>
      <w:spacing w:after="240" w:line="240" w:lineRule="auto"/>
      <w:jc w:val="both"/>
    </w:pPr>
    <w:rPr>
      <w:rFonts w:ascii="Times New Roman" w:eastAsia="Times New Roman" w:hAnsi="Times New Roman"/>
      <w:sz w:val="24"/>
      <w:szCs w:val="20"/>
    </w:rPr>
  </w:style>
  <w:style w:type="paragraph" w:customStyle="1" w:styleId="ListNumber6Level4">
    <w:name w:val="List Number 6 (Level 4)"/>
    <w:basedOn w:val="Normal"/>
    <w:pPr>
      <w:numPr>
        <w:ilvl w:val="3"/>
        <w:numId w:val="30"/>
      </w:numPr>
      <w:spacing w:after="240" w:line="240" w:lineRule="auto"/>
      <w:jc w:val="both"/>
    </w:pPr>
    <w:rPr>
      <w:rFonts w:ascii="Times New Roman" w:eastAsia="Times New Roman" w:hAnsi="Times New Roman"/>
      <w:sz w:val="24"/>
      <w:szCs w:val="20"/>
    </w:rPr>
  </w:style>
  <w:style w:type="paragraph" w:customStyle="1" w:styleId="ListNumber7Level4">
    <w:name w:val="List Number 7 (Level 4)"/>
    <w:basedOn w:val="Normal"/>
    <w:pPr>
      <w:numPr>
        <w:ilvl w:val="3"/>
        <w:numId w:val="31"/>
      </w:numPr>
      <w:spacing w:after="240" w:line="240" w:lineRule="auto"/>
      <w:jc w:val="both"/>
    </w:pPr>
    <w:rPr>
      <w:rFonts w:ascii="Times New Roman" w:eastAsia="Times New Roman" w:hAnsi="Times New Roman"/>
      <w:sz w:val="24"/>
      <w:szCs w:val="20"/>
    </w:rPr>
  </w:style>
  <w:style w:type="paragraph" w:customStyle="1" w:styleId="ListNumber8Level4">
    <w:name w:val="List Number 8 (Level 4)"/>
    <w:basedOn w:val="Normal"/>
    <w:pPr>
      <w:numPr>
        <w:ilvl w:val="3"/>
        <w:numId w:val="3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semiHidden/>
    <w:pPr>
      <w:tabs>
        <w:tab w:val="right" w:leader="dot" w:pos="8640"/>
      </w:tabs>
      <w:spacing w:before="120" w:after="120" w:line="240" w:lineRule="auto"/>
      <w:ind w:left="1440" w:right="720" w:hanging="1440"/>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440" w:right="720" w:hanging="1440"/>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440" w:right="720" w:hanging="1440"/>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1440" w:right="720" w:hanging="1440"/>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Pr>
      <w:rFonts w:ascii="Calibri" w:eastAsia="Calibri" w:hAnsi="Calibri" w:cs="Times New Roman"/>
    </w:rPr>
  </w:style>
  <w:style w:type="paragraph" w:styleId="Heading1">
    <w:name w:val="heading 1"/>
    <w:aliases w:val="Heading 1 Eclareon"/>
    <w:basedOn w:val="Normal"/>
    <w:next w:val="Text1"/>
    <w:link w:val="Heading1Char"/>
    <w:uiPriority w:val="9"/>
    <w:qFormat/>
    <w:pPr>
      <w:keepNext/>
      <w:numPr>
        <w:numId w:val="1"/>
      </w:numPr>
      <w:spacing w:before="240" w:after="240" w:line="240" w:lineRule="auto"/>
      <w:jc w:val="both"/>
      <w:outlineLvl w:val="0"/>
    </w:pPr>
    <w:rPr>
      <w:rFonts w:ascii="Times New Roman" w:eastAsia="Times New Roman" w:hAnsi="Times New Roman"/>
      <w:b/>
      <w:smallCaps/>
      <w:sz w:val="24"/>
      <w:szCs w:val="20"/>
    </w:rPr>
  </w:style>
  <w:style w:type="paragraph" w:styleId="Heading2">
    <w:name w:val="heading 2"/>
    <w:aliases w:val="Heading 2 Eclareon"/>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b/>
      <w:sz w:val="24"/>
      <w:szCs w:val="20"/>
    </w:rPr>
  </w:style>
  <w:style w:type="paragraph" w:styleId="Heading3">
    <w:name w:val="heading 3"/>
    <w:aliases w:val="Heading 3 Eclareon"/>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i/>
      <w:sz w:val="24"/>
      <w:szCs w:val="20"/>
    </w:rPr>
  </w:style>
  <w:style w:type="paragraph" w:styleId="Heading4">
    <w:name w:val="heading 4"/>
    <w:basedOn w:val="Normal"/>
    <w:next w:val="Normal"/>
    <w:link w:val="Heading4Char"/>
    <w:uiPriority w:val="99"/>
    <w:qFormat/>
    <w:pPr>
      <w:keepNext/>
      <w:numPr>
        <w:ilvl w:val="3"/>
        <w:numId w:val="1"/>
      </w:numPr>
      <w:spacing w:after="240" w:line="240" w:lineRule="auto"/>
      <w:jc w:val="both"/>
      <w:outlineLvl w:val="3"/>
    </w:pPr>
    <w:rPr>
      <w:rFonts w:ascii="Times New Roman" w:eastAsia="Times New Roman" w:hAnsi="Times New Roman"/>
      <w:sz w:val="24"/>
      <w:szCs w:val="20"/>
    </w:rPr>
  </w:style>
  <w:style w:type="paragraph" w:styleId="Heading5">
    <w:name w:val="heading 5"/>
    <w:aliases w:val="Heading 5 Eclareon"/>
    <w:basedOn w:val="Normal"/>
    <w:next w:val="Normal"/>
    <w:link w:val="Heading5Char"/>
    <w:qFormat/>
    <w:pPr>
      <w:keepNext/>
      <w:tabs>
        <w:tab w:val="num" w:pos="1008"/>
      </w:tabs>
      <w:spacing w:before="240" w:after="240" w:line="360" w:lineRule="auto"/>
      <w:ind w:left="1008" w:hanging="1008"/>
      <w:jc w:val="both"/>
      <w:outlineLvl w:val="4"/>
    </w:pPr>
    <w:rPr>
      <w:rFonts w:asciiTheme="majorHAnsi" w:eastAsia="Times New Roman" w:hAnsiTheme="majorHAnsi" w:cstheme="majorHAnsi"/>
      <w:sz w:val="20"/>
      <w:szCs w:val="20"/>
      <w:lang w:val="es-ES_tradnl" w:eastAsia="es-ES"/>
    </w:rPr>
  </w:style>
  <w:style w:type="paragraph" w:styleId="Heading6">
    <w:name w:val="heading 6"/>
    <w:basedOn w:val="Normal"/>
    <w:next w:val="Normal"/>
    <w:link w:val="Heading6Char"/>
    <w:pPr>
      <w:keepNext/>
      <w:tabs>
        <w:tab w:val="num" w:pos="1152"/>
      </w:tabs>
      <w:spacing w:before="180" w:after="240" w:line="360" w:lineRule="auto"/>
      <w:ind w:left="1152" w:hanging="1152"/>
      <w:jc w:val="both"/>
      <w:outlineLvl w:val="5"/>
    </w:pPr>
    <w:rPr>
      <w:rFonts w:ascii="TrueOptima" w:eastAsia="Times New Roman" w:hAnsi="TrueOptima"/>
      <w:sz w:val="20"/>
      <w:szCs w:val="20"/>
      <w:lang w:val="es-ES_tradnl" w:eastAsia="es-ES"/>
    </w:rPr>
  </w:style>
  <w:style w:type="paragraph" w:styleId="Heading7">
    <w:name w:val="heading 7"/>
    <w:basedOn w:val="Normal"/>
    <w:next w:val="Normal"/>
    <w:link w:val="Heading7Char"/>
    <w:qFormat/>
    <w:pPr>
      <w:numPr>
        <w:ilvl w:val="6"/>
        <w:numId w:val="1"/>
      </w:numPr>
      <w:spacing w:before="240" w:after="60" w:line="300" w:lineRule="atLeast"/>
      <w:jc w:val="both"/>
      <w:outlineLvl w:val="6"/>
    </w:pPr>
    <w:rPr>
      <w:rFonts w:ascii="Arial" w:eastAsia="Times New Roman" w:hAnsi="Arial"/>
      <w:szCs w:val="20"/>
      <w:lang w:eastAsia="de-DE"/>
    </w:rPr>
  </w:style>
  <w:style w:type="paragraph" w:styleId="Heading8">
    <w:name w:val="heading 8"/>
    <w:basedOn w:val="Normal"/>
    <w:next w:val="Normal"/>
    <w:link w:val="Heading8Char"/>
    <w:qFormat/>
    <w:pPr>
      <w:numPr>
        <w:ilvl w:val="7"/>
        <w:numId w:val="1"/>
      </w:numPr>
      <w:spacing w:before="240" w:after="60" w:line="300" w:lineRule="atLeast"/>
      <w:jc w:val="both"/>
      <w:outlineLvl w:val="7"/>
    </w:pPr>
    <w:rPr>
      <w:rFonts w:ascii="Arial" w:eastAsia="Times New Roman" w:hAnsi="Arial"/>
      <w:i/>
      <w:szCs w:val="20"/>
      <w:lang w:eastAsia="de-DE"/>
    </w:rPr>
  </w:style>
  <w:style w:type="paragraph" w:styleId="Heading9">
    <w:name w:val="heading 9"/>
    <w:basedOn w:val="Normal"/>
    <w:next w:val="Normal"/>
    <w:link w:val="Heading9Char"/>
    <w:uiPriority w:val="99"/>
    <w:qFormat/>
    <w:pPr>
      <w:numPr>
        <w:ilvl w:val="8"/>
        <w:numId w:val="1"/>
      </w:numPr>
      <w:spacing w:before="240" w:after="60" w:line="300" w:lineRule="atLeast"/>
      <w:jc w:val="both"/>
      <w:outlineLvl w:val="8"/>
    </w:pPr>
    <w:rPr>
      <w:rFonts w:ascii="Arial" w:eastAsia="Times New Roman" w:hAnsi="Arial"/>
      <w:b/>
      <w:i/>
      <w:sz w:val="18"/>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Eclareon Char"/>
    <w:basedOn w:val="DefaultParagraphFont"/>
    <w:link w:val="Heading1"/>
    <w:uiPriority w:val="9"/>
    <w:rPr>
      <w:rFonts w:ascii="Times New Roman" w:eastAsia="Times New Roman" w:hAnsi="Times New Roman" w:cs="Times New Roman"/>
      <w:b/>
      <w:smallCaps/>
      <w:sz w:val="24"/>
      <w:szCs w:val="20"/>
    </w:rPr>
  </w:style>
  <w:style w:type="character" w:customStyle="1" w:styleId="Heading2Char">
    <w:name w:val="Heading 2 Char"/>
    <w:aliases w:val="Heading 2 Eclareon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aliases w:val="Heading 3 Eclareon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uiPriority w:val="99"/>
    <w:rPr>
      <w:rFonts w:ascii="Times New Roman" w:eastAsia="Times New Roman" w:hAnsi="Times New Roman" w:cs="Times New Roman"/>
      <w:sz w:val="24"/>
      <w:szCs w:val="20"/>
    </w:rPr>
  </w:style>
  <w:style w:type="character" w:customStyle="1" w:styleId="Heading7Char">
    <w:name w:val="Heading 7 Char"/>
    <w:basedOn w:val="DefaultParagraphFont"/>
    <w:link w:val="Heading7"/>
    <w:rPr>
      <w:rFonts w:ascii="Arial" w:eastAsia="Times New Roman" w:hAnsi="Arial" w:cs="Times New Roman"/>
      <w:szCs w:val="20"/>
      <w:lang w:eastAsia="de-DE"/>
    </w:rPr>
  </w:style>
  <w:style w:type="character" w:customStyle="1" w:styleId="Heading8Char">
    <w:name w:val="Heading 8 Char"/>
    <w:basedOn w:val="DefaultParagraphFont"/>
    <w:link w:val="Heading8"/>
    <w:rPr>
      <w:rFonts w:ascii="Arial" w:eastAsia="Times New Roman" w:hAnsi="Arial" w:cs="Times New Roman"/>
      <w:i/>
      <w:szCs w:val="20"/>
      <w:lang w:eastAsia="de-DE"/>
    </w:rPr>
  </w:style>
  <w:style w:type="character" w:customStyle="1" w:styleId="Heading9Char">
    <w:name w:val="Heading 9 Char"/>
    <w:basedOn w:val="DefaultParagraphFont"/>
    <w:link w:val="Heading9"/>
    <w:uiPriority w:val="99"/>
    <w:rPr>
      <w:rFonts w:ascii="Arial" w:eastAsia="Times New Roman" w:hAnsi="Arial" w:cs="Times New Roman"/>
      <w:b/>
      <w:i/>
      <w:sz w:val="18"/>
      <w:szCs w:val="20"/>
      <w:lang w:eastAsia="de-DE"/>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styleId="Caption">
    <w:name w:val="caption"/>
    <w:basedOn w:val="Normal"/>
    <w:next w:val="Normal"/>
    <w:uiPriority w:val="35"/>
    <w:qFormat/>
    <w:pPr>
      <w:spacing w:before="120" w:after="120" w:line="240" w:lineRule="auto"/>
      <w:jc w:val="both"/>
    </w:pPr>
    <w:rPr>
      <w:rFonts w:ascii="Times New Roman" w:eastAsia="Times New Roman" w:hAnsi="Times New Roman"/>
      <w:b/>
      <w:sz w:val="24"/>
      <w:szCs w:val="20"/>
    </w:rPr>
  </w:style>
  <w:style w:type="paragraph" w:styleId="Footer">
    <w:name w:val="footer"/>
    <w:basedOn w:val="Normal"/>
    <w:link w:val="FooterChar"/>
    <w:uiPriority w:val="99"/>
    <w:pPr>
      <w:spacing w:after="0" w:line="240" w:lineRule="auto"/>
      <w:ind w:right="-567"/>
    </w:pPr>
    <w:rPr>
      <w:rFonts w:ascii="Arial" w:eastAsia="Times New Roman" w:hAnsi="Arial"/>
      <w:sz w:val="16"/>
      <w:szCs w:val="20"/>
    </w:rPr>
  </w:style>
  <w:style w:type="character" w:customStyle="1" w:styleId="FooterChar">
    <w:name w:val="Footer Char"/>
    <w:basedOn w:val="DefaultParagraphFont"/>
    <w:link w:val="Footer"/>
    <w:uiPriority w:val="99"/>
    <w:rPr>
      <w:rFonts w:ascii="Arial" w:eastAsia="Times New Roman" w:hAnsi="Arial" w:cs="Times New Roman"/>
      <w:sz w:val="16"/>
      <w:szCs w:val="20"/>
    </w:rPr>
  </w:style>
  <w:style w:type="paragraph" w:styleId="FootnoteText">
    <w:name w:val="footnote text"/>
    <w:aliases w:val="-E Fußnotentext,Fußnotentext Ursprung,footnote text"/>
    <w:basedOn w:val="Normal"/>
    <w:link w:val="FootnoteTextChar"/>
    <w:uiPriority w:val="99"/>
    <w:pPr>
      <w:spacing w:after="240" w:line="240" w:lineRule="auto"/>
      <w:ind w:left="357" w:hanging="357"/>
      <w:jc w:val="both"/>
    </w:pPr>
    <w:rPr>
      <w:rFonts w:ascii="Times New Roman" w:eastAsia="Times New Roman" w:hAnsi="Times New Roman"/>
      <w:sz w:val="20"/>
      <w:szCs w:val="20"/>
    </w:rPr>
  </w:style>
  <w:style w:type="character" w:customStyle="1" w:styleId="FootnoteTextChar">
    <w:name w:val="Footnote Text Char"/>
    <w:aliases w:val="-E Fußnotentext Char,Fußnotentext Ursprung Char,footnote text Char"/>
    <w:basedOn w:val="DefaultParagraphFont"/>
    <w:link w:val="FootnoteText"/>
    <w:uiPriority w:val="99"/>
    <w:rPr>
      <w:rFonts w:ascii="Times New Roman" w:eastAsia="Times New Roman" w:hAnsi="Times New Roman" w:cs="Times New Roman"/>
      <w:sz w:val="20"/>
      <w:szCs w:val="20"/>
    </w:rPr>
  </w:style>
  <w:style w:type="paragraph" w:styleId="Header">
    <w:name w:val="header"/>
    <w:basedOn w:val="Normal"/>
    <w:link w:val="HeaderChar"/>
    <w:uiPriority w:val="99"/>
    <w:pPr>
      <w:tabs>
        <w:tab w:val="center" w:pos="4153"/>
        <w:tab w:val="right" w:pos="8306"/>
      </w:tabs>
      <w:spacing w:after="240" w:line="240" w:lineRule="auto"/>
      <w:jc w:val="both"/>
    </w:pPr>
    <w:rPr>
      <w:rFonts w:ascii="Times New Roman" w:eastAsia="Times New Roman" w:hAnsi="Times New Roman"/>
      <w:sz w:val="24"/>
      <w:szCs w:val="20"/>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customStyle="1" w:styleId="ListDash1">
    <w:name w:val="List Dash 1"/>
    <w:basedOn w:val="Text1"/>
    <w:pPr>
      <w:numPr>
        <w:numId w:val="16"/>
      </w:numPr>
    </w:pPr>
  </w:style>
  <w:style w:type="paragraph" w:customStyle="1" w:styleId="ListNumber1">
    <w:name w:val="List Number 1"/>
    <w:basedOn w:val="Text1"/>
    <w:pPr>
      <w:numPr>
        <w:numId w:val="25"/>
      </w:numPr>
    </w:pPr>
  </w:style>
  <w:style w:type="paragraph" w:customStyle="1" w:styleId="ListNumber1Level2">
    <w:name w:val="List Number 1 (Level 2)"/>
    <w:basedOn w:val="Text1"/>
    <w:pPr>
      <w:numPr>
        <w:ilvl w:val="1"/>
        <w:numId w:val="25"/>
      </w:numPr>
    </w:pPr>
  </w:style>
  <w:style w:type="paragraph" w:customStyle="1" w:styleId="ListNumber1Level3">
    <w:name w:val="List Number 1 (Level 3)"/>
    <w:basedOn w:val="Text1"/>
    <w:pPr>
      <w:numPr>
        <w:ilvl w:val="2"/>
        <w:numId w:val="25"/>
      </w:numPr>
    </w:pPr>
  </w:style>
  <w:style w:type="paragraph" w:customStyle="1" w:styleId="ListNumber1Level4">
    <w:name w:val="List Number 1 (Level 4)"/>
    <w:basedOn w:val="Text1"/>
    <w:pPr>
      <w:numPr>
        <w:ilvl w:val="3"/>
        <w:numId w:val="25"/>
      </w:numPr>
    </w:pPr>
  </w:style>
  <w:style w:type="paragraph" w:customStyle="1" w:styleId="ZDGName">
    <w:name w:val="Z_DGName"/>
    <w:basedOn w:val="Normal"/>
    <w:uiPriority w:val="99"/>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FootnoteReference">
    <w:name w:val="footnote reference"/>
    <w:aliases w:val="Nota,Footnote symbol,Footnote number, Char1,Char1,Ref,de nota al pie,SUPERS, Char,fr,o,(NECG) Footnote Reference,-E Fußnotenzeichen,(Diplomarbeit FZ),(Diplomarbeit FZ)1,(Diplomarbeit FZ)2,(Diplomarbeit FZ)3,(Diplomarbeit FZ)4,Char,FR"/>
    <w:uiPriority w:val="99"/>
    <w:unhideWhenUsed/>
    <w:qFormat/>
    <w:rPr>
      <w:vertAlign w:val="superscript"/>
    </w:rPr>
  </w:style>
  <w:style w:type="paragraph" w:styleId="ListParagraph">
    <w:name w:val="List Paragraph"/>
    <w:basedOn w:val="Normal"/>
    <w:uiPriority w:val="34"/>
    <w:qFormat/>
    <w:pPr>
      <w:spacing w:after="120" w:line="300" w:lineRule="atLeast"/>
      <w:ind w:left="720"/>
      <w:contextualSpacing/>
      <w:jc w:val="both"/>
    </w:pPr>
    <w:rPr>
      <w:rFonts w:ascii="Arial" w:eastAsia="Times New Roman" w:hAnsi="Arial"/>
      <w:szCs w:val="20"/>
      <w:lang w:eastAsia="de-DE"/>
    </w:rPr>
  </w:style>
  <w:style w:type="paragraph" w:customStyle="1" w:styleId="Quelle">
    <w:name w:val="Quelle"/>
    <w:basedOn w:val="Normal"/>
    <w:next w:val="Normal"/>
    <w:pPr>
      <w:tabs>
        <w:tab w:val="left" w:pos="1134"/>
      </w:tabs>
      <w:spacing w:before="60" w:after="240" w:line="300" w:lineRule="atLeast"/>
      <w:ind w:left="1134" w:hanging="1134"/>
      <w:jc w:val="both"/>
    </w:pPr>
    <w:rPr>
      <w:rFonts w:ascii="Arial" w:eastAsia="Times New Roman" w:hAnsi="Arial"/>
      <w:i/>
      <w:iCs/>
      <w:sz w:val="20"/>
      <w:szCs w:val="20"/>
      <w:lang w:eastAsia="de-DE"/>
    </w:rPr>
  </w:style>
  <w:style w:type="paragraph" w:styleId="PlainText">
    <w:name w:val="Plain Text"/>
    <w:basedOn w:val="Normal"/>
    <w:link w:val="PlainTextChar"/>
    <w:uiPriority w:val="99"/>
    <w:unhideWhenUsed/>
    <w:pPr>
      <w:spacing w:after="0" w:line="240" w:lineRule="auto"/>
    </w:pPr>
    <w:rPr>
      <w:szCs w:val="21"/>
    </w:rPr>
  </w:style>
  <w:style w:type="character" w:customStyle="1" w:styleId="PlainTextChar">
    <w:name w:val="Plain Text Char"/>
    <w:basedOn w:val="DefaultParagraphFont"/>
    <w:link w:val="PlainText"/>
    <w:uiPriority w:val="99"/>
    <w:rPr>
      <w:rFonts w:ascii="Calibri" w:eastAsia="Calibri" w:hAnsi="Calibri" w:cs="Times New Roman"/>
      <w:szCs w:val="21"/>
    </w:rPr>
  </w:style>
  <w:style w:type="character" w:customStyle="1" w:styleId="hps">
    <w:name w:val="hps"/>
    <w:basedOn w:val="DefaultParagraphFont"/>
  </w:style>
  <w:style w:type="paragraph" w:customStyle="1" w:styleId="MTMRBodyText">
    <w:name w:val="MTMR_Body Text"/>
    <w:qFormat/>
    <w:pPr>
      <w:widowControl w:val="0"/>
      <w:pBdr>
        <w:top w:val="single" w:sz="4" w:space="1" w:color="auto"/>
        <w:left w:val="single" w:sz="4" w:space="4" w:color="auto"/>
        <w:bottom w:val="single" w:sz="4" w:space="1" w:color="auto"/>
        <w:right w:val="single" w:sz="4" w:space="4" w:color="auto"/>
      </w:pBdr>
      <w:spacing w:after="0" w:line="240" w:lineRule="auto"/>
      <w:jc w:val="both"/>
    </w:pPr>
    <w:rPr>
      <w:rFonts w:ascii="Times New Roman" w:eastAsia="Times New Roman" w:hAnsi="Times New Roman" w:cs="Times New Roman"/>
      <w:b/>
      <w:i/>
      <w:szCs w:val="20"/>
    </w:rPr>
  </w:style>
  <w:style w:type="paragraph" w:customStyle="1" w:styleId="MTMRFigureTitle">
    <w:name w:val="MTMR_Figure Title"/>
    <w:basedOn w:val="Normal"/>
    <w:link w:val="MTMRFigureTitleChar"/>
    <w:uiPriority w:val="2"/>
    <w:qFormat/>
    <w:pPr>
      <w:tabs>
        <w:tab w:val="left" w:pos="720"/>
      </w:tabs>
      <w:spacing w:before="240" w:after="120" w:line="240" w:lineRule="auto"/>
      <w:jc w:val="center"/>
    </w:pPr>
    <w:rPr>
      <w:rFonts w:eastAsia="Times New Roman"/>
      <w:b/>
      <w:color w:val="006666"/>
      <w:szCs w:val="20"/>
    </w:rPr>
  </w:style>
  <w:style w:type="character" w:customStyle="1" w:styleId="MTMRFigureTitleChar">
    <w:name w:val="MTMR_Figure Title Char"/>
    <w:basedOn w:val="DefaultParagraphFont"/>
    <w:link w:val="MTMRFigureTitle"/>
    <w:uiPriority w:val="2"/>
    <w:rPr>
      <w:rFonts w:ascii="Calibri" w:eastAsia="Times New Roman" w:hAnsi="Calibri" w:cs="Times New Roman"/>
      <w:b/>
      <w:color w:val="006666"/>
      <w:szCs w:val="20"/>
    </w:rPr>
  </w:style>
  <w:style w:type="paragraph" w:customStyle="1" w:styleId="MTMRHeadingLevel4">
    <w:name w:val="MTMR_Heading Level 4"/>
    <w:qFormat/>
    <w:pPr>
      <w:tabs>
        <w:tab w:val="left" w:pos="3686"/>
      </w:tabs>
      <w:spacing w:after="100" w:line="240" w:lineRule="auto"/>
      <w:outlineLvl w:val="3"/>
    </w:pPr>
    <w:rPr>
      <w:rFonts w:ascii="Helvetica" w:eastAsia="Times New Roman" w:hAnsi="Helvetica" w:cs="Times New Roman"/>
      <w:b/>
      <w:color w:val="006666"/>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pPr>
      <w:spacing w:after="0" w:line="240" w:lineRule="auto"/>
    </w:pPr>
    <w:rPr>
      <w:rFonts w:ascii="Times New Roman" w:eastAsiaTheme="minorHAnsi" w:hAnsi="Times New Roman"/>
      <w:sz w:val="24"/>
      <w:szCs w:val="24"/>
      <w:lang w:eastAsia="en-GB"/>
    </w:rPr>
  </w:style>
  <w:style w:type="character" w:customStyle="1" w:styleId="A0">
    <w:name w:val="A0"/>
    <w:uiPriority w:val="99"/>
    <w:rPr>
      <w:rFonts w:cs="Helvetica 45 Light"/>
      <w:color w:val="000000"/>
      <w:sz w:val="20"/>
      <w:szCs w:val="20"/>
    </w:rPr>
  </w:style>
  <w:style w:type="paragraph" w:customStyle="1" w:styleId="Pa15">
    <w:name w:val="Pa15"/>
    <w:basedOn w:val="Normal"/>
    <w:next w:val="Normal"/>
    <w:uiPriority w:val="99"/>
    <w:pPr>
      <w:autoSpaceDE w:val="0"/>
      <w:autoSpaceDN w:val="0"/>
      <w:adjustRightInd w:val="0"/>
      <w:spacing w:after="0" w:line="181" w:lineRule="atLeast"/>
    </w:pPr>
    <w:rPr>
      <w:rFonts w:ascii="Stone Sans ITC TT" w:hAnsi="Stone Sans ITC TT"/>
      <w:sz w:val="24"/>
      <w:szCs w:val="24"/>
      <w:lang w:eastAsia="en-GB"/>
    </w:rPr>
  </w:style>
  <w:style w:type="paragraph" w:styleId="NoSpacing">
    <w:name w:val="No Spacing"/>
    <w:uiPriority w:val="1"/>
    <w:qFormat/>
    <w:pPr>
      <w:spacing w:after="0" w:line="240" w:lineRule="auto"/>
    </w:pPr>
    <w:rPr>
      <w:lang w:val="de-DE"/>
    </w:rPr>
  </w:style>
  <w:style w:type="paragraph" w:styleId="BodyTextIndent2">
    <w:name w:val="Body Text Indent 2"/>
    <w:basedOn w:val="Normal"/>
    <w:link w:val="BodyTextIndent2Char"/>
    <w:uiPriority w:val="99"/>
    <w:unhideWhenUsed/>
    <w:pPr>
      <w:spacing w:line="240" w:lineRule="auto"/>
      <w:ind w:left="426"/>
      <w:jc w:val="both"/>
    </w:pPr>
    <w:rPr>
      <w:lang w:val="x-none"/>
    </w:rPr>
  </w:style>
  <w:style w:type="character" w:customStyle="1" w:styleId="BodyTextIndent2Char">
    <w:name w:val="Body Text Indent 2 Char"/>
    <w:basedOn w:val="DefaultParagraphFont"/>
    <w:link w:val="BodyTextIndent2"/>
    <w:uiPriority w:val="99"/>
    <w:rPr>
      <w:rFonts w:ascii="Calibri" w:eastAsia="Calibri" w:hAnsi="Calibri" w:cs="Times New Roman"/>
      <w:lang w:val="x-none"/>
    </w:rPr>
  </w:style>
  <w:style w:type="paragraph" w:styleId="BalloonText">
    <w:name w:val="Balloon Text"/>
    <w:basedOn w:val="Normal"/>
    <w:link w:val="BalloonTextChar"/>
    <w:uiPriority w:val="99"/>
    <w:semiHidden/>
    <w:unhideWhenUsed/>
    <w:pPr>
      <w:spacing w:after="0" w:line="240" w:lineRule="auto"/>
      <w:ind w:left="714" w:hanging="357"/>
      <w:jc w:val="both"/>
    </w:pPr>
    <w:rPr>
      <w:rFonts w:ascii="Tahoma" w:hAnsi="Tahoma"/>
      <w:sz w:val="16"/>
      <w:szCs w:val="16"/>
    </w:rPr>
  </w:style>
  <w:style w:type="character" w:customStyle="1" w:styleId="BalloonTextChar">
    <w:name w:val="Balloon Text Char"/>
    <w:basedOn w:val="DefaultParagraphFont"/>
    <w:link w:val="BalloonText"/>
    <w:uiPriority w:val="99"/>
    <w:semiHidden/>
    <w:rPr>
      <w:rFonts w:ascii="Tahoma" w:eastAsia="Calibri" w:hAnsi="Tahoma" w:cs="Times New Roman"/>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customStyle="1" w:styleId="MTMRNoteSource">
    <w:name w:val="MTMR_Note Source"/>
    <w:basedOn w:val="Normal"/>
    <w:link w:val="MTMRNoteSourceChar"/>
    <w:uiPriority w:val="2"/>
    <w:qFormat/>
    <w:pPr>
      <w:spacing w:before="120" w:after="0" w:line="240" w:lineRule="auto"/>
      <w:jc w:val="both"/>
    </w:pPr>
    <w:rPr>
      <w:rFonts w:eastAsia="Times New Roman"/>
      <w:sz w:val="16"/>
      <w:szCs w:val="20"/>
    </w:rPr>
  </w:style>
  <w:style w:type="character" w:customStyle="1" w:styleId="MTMRNoteSourceChar">
    <w:name w:val="MTMR_Note Source Char"/>
    <w:basedOn w:val="DefaultParagraphFont"/>
    <w:link w:val="MTMRNoteSource"/>
    <w:uiPriority w:val="2"/>
    <w:rPr>
      <w:rFonts w:ascii="Calibri" w:eastAsia="Times New Roman" w:hAnsi="Calibri" w:cs="Times New Roman"/>
      <w:sz w:val="16"/>
      <w:szCs w:val="20"/>
    </w:rPr>
  </w:style>
  <w:style w:type="character" w:styleId="Strong">
    <w:name w:val="Strong"/>
    <w:aliases w:val="Key message"/>
    <w:uiPriority w:val="22"/>
    <w:qFormat/>
    <w:rPr>
      <w:b/>
      <w:bCs/>
    </w:rPr>
  </w:style>
  <w:style w:type="paragraph" w:customStyle="1" w:styleId="Bullet1Eclareon">
    <w:name w:val="Bullet 1 Eclareon"/>
    <w:basedOn w:val="ListParagraph"/>
    <w:qFormat/>
    <w:pPr>
      <w:numPr>
        <w:numId w:val="4"/>
      </w:numPr>
      <w:spacing w:beforeLines="60" w:before="144" w:afterLines="60" w:after="144" w:line="360" w:lineRule="auto"/>
      <w:contextualSpacing w:val="0"/>
    </w:pPr>
    <w:rPr>
      <w:sz w:val="20"/>
      <w:szCs w:val="24"/>
      <w:lang w:val="es-ES" w:eastAsia="es-ES"/>
    </w:rPr>
  </w:style>
  <w:style w:type="character" w:customStyle="1" w:styleId="Heading5Char">
    <w:name w:val="Heading 5 Char"/>
    <w:aliases w:val="Heading 5 Eclareon Char"/>
    <w:basedOn w:val="DefaultParagraphFont"/>
    <w:link w:val="Heading5"/>
    <w:rPr>
      <w:rFonts w:asciiTheme="majorHAnsi" w:eastAsia="Times New Roman" w:hAnsiTheme="majorHAnsi" w:cstheme="majorHAnsi"/>
      <w:sz w:val="20"/>
      <w:szCs w:val="20"/>
      <w:lang w:val="es-ES_tradnl" w:eastAsia="es-ES"/>
    </w:rPr>
  </w:style>
  <w:style w:type="character" w:customStyle="1" w:styleId="Heading6Char">
    <w:name w:val="Heading 6 Char"/>
    <w:basedOn w:val="DefaultParagraphFont"/>
    <w:link w:val="Heading6"/>
    <w:rPr>
      <w:rFonts w:ascii="TrueOptima" w:eastAsia="Times New Roman" w:hAnsi="TrueOptima" w:cs="Times New Roman"/>
      <w:sz w:val="20"/>
      <w:szCs w:val="20"/>
      <w:lang w:val="es-ES_tradnl" w:eastAsia="es-ES"/>
    </w:rPr>
  </w:style>
  <w:style w:type="paragraph" w:customStyle="1" w:styleId="Heading4Eclareon">
    <w:name w:val="Heading 4 Eclareon"/>
    <w:basedOn w:val="Heading3"/>
    <w:qFormat/>
    <w:pPr>
      <w:numPr>
        <w:ilvl w:val="0"/>
        <w:numId w:val="0"/>
      </w:numPr>
      <w:tabs>
        <w:tab w:val="num" w:pos="864"/>
      </w:tabs>
      <w:spacing w:before="240" w:line="360" w:lineRule="auto"/>
      <w:ind w:left="864" w:hanging="864"/>
    </w:pPr>
    <w:rPr>
      <w:rFonts w:ascii="Arial" w:hAnsi="Arial"/>
      <w:sz w:val="20"/>
      <w:lang w:val="es-ES" w:eastAsia="es-ES"/>
    </w:rPr>
  </w:style>
  <w:style w:type="paragraph" w:customStyle="1" w:styleId="MTMRFootnoteText">
    <w:name w:val="MTMR_Footnote Text"/>
    <w:basedOn w:val="Normal"/>
    <w:uiPriority w:val="2"/>
    <w:qFormat/>
    <w:pPr>
      <w:spacing w:after="0" w:line="240" w:lineRule="auto"/>
      <w:jc w:val="both"/>
    </w:pPr>
    <w:rPr>
      <w:rFonts w:ascii="Helvetica" w:eastAsia="Times New Roman" w:hAnsi="Helvetica"/>
      <w:sz w:val="14"/>
      <w:szCs w:val="14"/>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i/>
      <w:i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sz w:val="24"/>
    </w:rPr>
  </w:style>
  <w:style w:type="paragraph" w:customStyle="1" w:styleId="Typedudocument">
    <w:name w:val="Type du document"/>
    <w:basedOn w:val="Normal"/>
    <w:next w:val="Normal"/>
    <w:link w:val="TypedudocumentChar"/>
    <w:pPr>
      <w:spacing w:before="360" w:after="0" w:line="240" w:lineRule="auto"/>
      <w:jc w:val="center"/>
    </w:pPr>
    <w:rPr>
      <w:rFonts w:ascii="Times New Roman" w:eastAsiaTheme="minorHAnsi" w:hAnsi="Times New Roman"/>
      <w:b/>
      <w:sz w:val="24"/>
    </w:rPr>
  </w:style>
  <w:style w:type="paragraph" w:customStyle="1" w:styleId="Titreobjet">
    <w:name w:val="Titre objet"/>
    <w:basedOn w:val="Normal"/>
    <w:next w:val="Normal"/>
    <w:pPr>
      <w:spacing w:before="360" w:after="360" w:line="240" w:lineRule="auto"/>
      <w:jc w:val="center"/>
    </w:pPr>
    <w:rPr>
      <w:rFonts w:ascii="Times New Roman" w:eastAsiaTheme="minorHAnsi" w:hAnsi="Times New Roman"/>
      <w:b/>
      <w:sz w:val="24"/>
    </w:rPr>
  </w:style>
  <w:style w:type="paragraph" w:customStyle="1" w:styleId="Accompagnant">
    <w:name w:val="Accompagnant"/>
    <w:basedOn w:val="Normal"/>
    <w:next w:val="Normal"/>
    <w:pPr>
      <w:spacing w:after="240" w:line="240" w:lineRule="auto"/>
      <w:jc w:val="center"/>
    </w:pPr>
    <w:rPr>
      <w:rFonts w:ascii="Times New Roman" w:eastAsiaTheme="minorHAnsi" w:hAnsi="Times New Roman"/>
      <w:b/>
      <w:i/>
      <w:sz w:val="24"/>
    </w:rPr>
  </w:style>
  <w:style w:type="paragraph" w:customStyle="1" w:styleId="Typeacteprincipal">
    <w:name w:val="Type acte principal"/>
    <w:basedOn w:val="Normal"/>
    <w:next w:val="Normal"/>
    <w:pPr>
      <w:spacing w:after="240" w:line="240" w:lineRule="auto"/>
      <w:jc w:val="center"/>
    </w:pPr>
    <w:rPr>
      <w:rFonts w:ascii="Times New Roman" w:eastAsiaTheme="minorHAnsi" w:hAnsi="Times New Roman"/>
      <w:b/>
      <w:sz w:val="24"/>
    </w:rPr>
  </w:style>
  <w:style w:type="paragraph" w:customStyle="1" w:styleId="Objetacteprincipal">
    <w:name w:val="Objet acte principal"/>
    <w:basedOn w:val="Normal"/>
    <w:next w:val="Normal"/>
    <w:pPr>
      <w:spacing w:after="360" w:line="240" w:lineRule="auto"/>
      <w:jc w:val="center"/>
    </w:pPr>
    <w:rPr>
      <w:rFonts w:ascii="Times New Roman" w:eastAsiaTheme="minorHAnsi" w:hAnsi="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eastAsia="Calibri" w:hAnsi="Times New Roman" w:cs="Times New Roman"/>
      <w:b w:val="0"/>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basedOn w:val="TypedudocumentChar"/>
    <w:link w:val="HeaderCoverPage"/>
    <w:rPr>
      <w:rFonts w:ascii="Times New Roman" w:eastAsia="Calibri" w:hAnsi="Times New Roman" w:cs="Times New Roman"/>
      <w:b w:val="0"/>
      <w:sz w:val="24"/>
    </w:rPr>
  </w:style>
  <w:style w:type="paragraph" w:customStyle="1" w:styleId="Contact">
    <w:name w:val="Contact"/>
    <w:basedOn w:val="Normal"/>
    <w:next w:val="Normal"/>
    <w:pPr>
      <w:spacing w:after="480" w:line="240" w:lineRule="auto"/>
      <w:ind w:left="567" w:hanging="567"/>
    </w:pPr>
    <w:rPr>
      <w:rFonts w:ascii="Times New Roman" w:eastAsia="Times New Roman" w:hAnsi="Times New Roman"/>
      <w:sz w:val="24"/>
      <w:szCs w:val="20"/>
    </w:rPr>
  </w:style>
  <w:style w:type="paragraph" w:styleId="ListBullet">
    <w:name w:val="List Bullet"/>
    <w:basedOn w:val="Normal"/>
    <w:pPr>
      <w:numPr>
        <w:numId w:val="6"/>
      </w:numPr>
      <w:spacing w:after="240" w:line="240" w:lineRule="auto"/>
      <w:jc w:val="both"/>
    </w:pPr>
    <w:rPr>
      <w:rFonts w:ascii="Times New Roman" w:eastAsia="Times New Roman" w:hAnsi="Times New Roman"/>
      <w:sz w:val="24"/>
      <w:szCs w:val="20"/>
    </w:rPr>
  </w:style>
  <w:style w:type="paragraph" w:customStyle="1" w:styleId="ListBullet1">
    <w:name w:val="List Bullet 1"/>
    <w:basedOn w:val="Text1"/>
    <w:pPr>
      <w:numPr>
        <w:numId w:val="7"/>
      </w:numPr>
    </w:pPr>
  </w:style>
  <w:style w:type="paragraph" w:styleId="ListBullet2">
    <w:name w:val="List Bullet 2"/>
    <w:basedOn w:val="Normal"/>
    <w:pPr>
      <w:numPr>
        <w:numId w:val="8"/>
      </w:numPr>
      <w:spacing w:after="240" w:line="240" w:lineRule="auto"/>
      <w:jc w:val="both"/>
    </w:pPr>
    <w:rPr>
      <w:rFonts w:ascii="Times New Roman" w:eastAsia="Times New Roman" w:hAnsi="Times New Roman"/>
      <w:sz w:val="24"/>
      <w:szCs w:val="20"/>
    </w:rPr>
  </w:style>
  <w:style w:type="paragraph" w:styleId="ListBullet3">
    <w:name w:val="List Bullet 3"/>
    <w:basedOn w:val="Normal"/>
    <w:pPr>
      <w:numPr>
        <w:numId w:val="9"/>
      </w:numPr>
      <w:spacing w:after="240" w:line="240" w:lineRule="auto"/>
      <w:jc w:val="both"/>
    </w:pPr>
    <w:rPr>
      <w:rFonts w:ascii="Times New Roman" w:eastAsia="Times New Roman" w:hAnsi="Times New Roman"/>
      <w:sz w:val="24"/>
      <w:szCs w:val="20"/>
    </w:rPr>
  </w:style>
  <w:style w:type="paragraph" w:styleId="ListBullet4">
    <w:name w:val="List Bullet 4"/>
    <w:basedOn w:val="Normal"/>
    <w:pPr>
      <w:numPr>
        <w:numId w:val="10"/>
      </w:numPr>
      <w:spacing w:after="240" w:line="240" w:lineRule="auto"/>
      <w:jc w:val="both"/>
    </w:pPr>
    <w:rPr>
      <w:rFonts w:ascii="Times New Roman" w:eastAsia="Times New Roman" w:hAnsi="Times New Roman"/>
      <w:sz w:val="24"/>
      <w:szCs w:val="20"/>
    </w:rPr>
  </w:style>
  <w:style w:type="paragraph" w:styleId="ListBullet5">
    <w:name w:val="List Bullet 5"/>
    <w:basedOn w:val="Normal"/>
    <w:pPr>
      <w:numPr>
        <w:numId w:val="11"/>
      </w:numPr>
      <w:spacing w:after="240" w:line="240" w:lineRule="auto"/>
      <w:jc w:val="both"/>
    </w:pPr>
    <w:rPr>
      <w:rFonts w:ascii="Times New Roman" w:eastAsia="Times New Roman" w:hAnsi="Times New Roman"/>
      <w:sz w:val="24"/>
      <w:szCs w:val="20"/>
    </w:rPr>
  </w:style>
  <w:style w:type="paragraph" w:customStyle="1" w:styleId="ListBullet6">
    <w:name w:val="List Bullet 6"/>
    <w:basedOn w:val="Normal"/>
    <w:pPr>
      <w:numPr>
        <w:numId w:val="12"/>
      </w:numPr>
      <w:spacing w:after="240" w:line="240" w:lineRule="auto"/>
      <w:jc w:val="both"/>
    </w:pPr>
    <w:rPr>
      <w:rFonts w:ascii="Times New Roman" w:eastAsia="Times New Roman" w:hAnsi="Times New Roman"/>
      <w:sz w:val="24"/>
      <w:szCs w:val="20"/>
    </w:rPr>
  </w:style>
  <w:style w:type="paragraph" w:customStyle="1" w:styleId="ListBullet7">
    <w:name w:val="List Bullet 7"/>
    <w:basedOn w:val="Normal"/>
    <w:pPr>
      <w:numPr>
        <w:numId w:val="13"/>
      </w:numPr>
      <w:spacing w:after="240" w:line="240" w:lineRule="auto"/>
      <w:jc w:val="both"/>
    </w:pPr>
    <w:rPr>
      <w:rFonts w:ascii="Times New Roman" w:eastAsia="Times New Roman" w:hAnsi="Times New Roman"/>
      <w:sz w:val="24"/>
      <w:szCs w:val="20"/>
    </w:rPr>
  </w:style>
  <w:style w:type="paragraph" w:customStyle="1" w:styleId="ListBullet8">
    <w:name w:val="List Bullet 8"/>
    <w:basedOn w:val="Normal"/>
    <w:pPr>
      <w:numPr>
        <w:numId w:val="14"/>
      </w:numPr>
      <w:spacing w:after="240" w:line="240" w:lineRule="auto"/>
      <w:jc w:val="both"/>
    </w:pPr>
    <w:rPr>
      <w:rFonts w:ascii="Times New Roman" w:eastAsia="Times New Roman" w:hAnsi="Times New Roman"/>
      <w:sz w:val="24"/>
      <w:szCs w:val="20"/>
    </w:rPr>
  </w:style>
  <w:style w:type="paragraph" w:customStyle="1" w:styleId="ListDash">
    <w:name w:val="List Dash"/>
    <w:basedOn w:val="Normal"/>
    <w:pPr>
      <w:numPr>
        <w:numId w:val="15"/>
      </w:numPr>
      <w:spacing w:after="240" w:line="240" w:lineRule="auto"/>
      <w:jc w:val="both"/>
    </w:pPr>
    <w:rPr>
      <w:rFonts w:ascii="Times New Roman" w:eastAsia="Times New Roman" w:hAnsi="Times New Roman"/>
      <w:sz w:val="24"/>
      <w:szCs w:val="20"/>
    </w:rPr>
  </w:style>
  <w:style w:type="paragraph" w:customStyle="1" w:styleId="ListDash2">
    <w:name w:val="List Dash 2"/>
    <w:basedOn w:val="Normal"/>
    <w:pPr>
      <w:numPr>
        <w:numId w:val="17"/>
      </w:numPr>
      <w:spacing w:after="240" w:line="240" w:lineRule="auto"/>
      <w:jc w:val="both"/>
    </w:pPr>
    <w:rPr>
      <w:rFonts w:ascii="Times New Roman" w:eastAsia="Times New Roman" w:hAnsi="Times New Roman"/>
      <w:sz w:val="24"/>
      <w:szCs w:val="20"/>
    </w:rPr>
  </w:style>
  <w:style w:type="paragraph" w:customStyle="1" w:styleId="ListDash3">
    <w:name w:val="List Dash 3"/>
    <w:basedOn w:val="Normal"/>
    <w:pPr>
      <w:numPr>
        <w:numId w:val="18"/>
      </w:numPr>
      <w:spacing w:after="240" w:line="240" w:lineRule="auto"/>
      <w:jc w:val="both"/>
    </w:pPr>
    <w:rPr>
      <w:rFonts w:ascii="Times New Roman" w:eastAsia="Times New Roman" w:hAnsi="Times New Roman"/>
      <w:sz w:val="24"/>
      <w:szCs w:val="20"/>
    </w:rPr>
  </w:style>
  <w:style w:type="paragraph" w:customStyle="1" w:styleId="ListDash4">
    <w:name w:val="List Dash 4"/>
    <w:basedOn w:val="Normal"/>
    <w:pPr>
      <w:numPr>
        <w:numId w:val="19"/>
      </w:numPr>
      <w:spacing w:after="240" w:line="240" w:lineRule="auto"/>
      <w:jc w:val="both"/>
    </w:pPr>
    <w:rPr>
      <w:rFonts w:ascii="Times New Roman" w:eastAsia="Times New Roman" w:hAnsi="Times New Roman"/>
      <w:sz w:val="24"/>
      <w:szCs w:val="20"/>
    </w:rPr>
  </w:style>
  <w:style w:type="paragraph" w:customStyle="1" w:styleId="ListDash5">
    <w:name w:val="List Dash 5"/>
    <w:basedOn w:val="Normal"/>
    <w:pPr>
      <w:numPr>
        <w:numId w:val="20"/>
      </w:numPr>
      <w:spacing w:after="240" w:line="240" w:lineRule="auto"/>
      <w:jc w:val="both"/>
    </w:pPr>
    <w:rPr>
      <w:rFonts w:ascii="Times New Roman" w:eastAsia="Times New Roman" w:hAnsi="Times New Roman"/>
      <w:sz w:val="24"/>
      <w:szCs w:val="20"/>
    </w:rPr>
  </w:style>
  <w:style w:type="paragraph" w:customStyle="1" w:styleId="ListDash6">
    <w:name w:val="List Dash 6"/>
    <w:basedOn w:val="Normal"/>
    <w:pPr>
      <w:numPr>
        <w:numId w:val="21"/>
      </w:numPr>
      <w:spacing w:after="240" w:line="240" w:lineRule="auto"/>
      <w:jc w:val="both"/>
    </w:pPr>
    <w:rPr>
      <w:rFonts w:ascii="Times New Roman" w:eastAsia="Times New Roman" w:hAnsi="Times New Roman"/>
      <w:sz w:val="24"/>
      <w:szCs w:val="20"/>
    </w:rPr>
  </w:style>
  <w:style w:type="paragraph" w:customStyle="1" w:styleId="ListDash7">
    <w:name w:val="List Dash 7"/>
    <w:basedOn w:val="Normal"/>
    <w:pPr>
      <w:numPr>
        <w:numId w:val="22"/>
      </w:numPr>
      <w:spacing w:after="240" w:line="240" w:lineRule="auto"/>
      <w:jc w:val="both"/>
    </w:pPr>
    <w:rPr>
      <w:rFonts w:ascii="Times New Roman" w:eastAsia="Times New Roman" w:hAnsi="Times New Roman"/>
      <w:sz w:val="24"/>
      <w:szCs w:val="20"/>
    </w:rPr>
  </w:style>
  <w:style w:type="paragraph" w:customStyle="1" w:styleId="ListDash8">
    <w:name w:val="List Dash 8"/>
    <w:basedOn w:val="Normal"/>
    <w:pPr>
      <w:numPr>
        <w:numId w:val="23"/>
      </w:numPr>
      <w:spacing w:after="240" w:line="240" w:lineRule="auto"/>
      <w:jc w:val="both"/>
    </w:pPr>
    <w:rPr>
      <w:rFonts w:ascii="Times New Roman" w:eastAsia="Times New Roman" w:hAnsi="Times New Roman"/>
      <w:sz w:val="24"/>
      <w:szCs w:val="20"/>
    </w:rPr>
  </w:style>
  <w:style w:type="paragraph" w:styleId="ListNumber">
    <w:name w:val="List Number"/>
    <w:basedOn w:val="Normal"/>
    <w:pPr>
      <w:numPr>
        <w:numId w:val="24"/>
      </w:numPr>
      <w:spacing w:after="240" w:line="240" w:lineRule="auto"/>
      <w:jc w:val="both"/>
    </w:pPr>
    <w:rPr>
      <w:rFonts w:ascii="Times New Roman" w:eastAsia="Times New Roman" w:hAnsi="Times New Roman"/>
      <w:sz w:val="24"/>
      <w:szCs w:val="20"/>
    </w:rPr>
  </w:style>
  <w:style w:type="paragraph" w:styleId="ListNumber2">
    <w:name w:val="List Number 2"/>
    <w:basedOn w:val="Normal"/>
    <w:pPr>
      <w:numPr>
        <w:numId w:val="26"/>
      </w:numPr>
      <w:spacing w:after="240" w:line="240" w:lineRule="auto"/>
      <w:jc w:val="both"/>
    </w:pPr>
    <w:rPr>
      <w:rFonts w:ascii="Times New Roman" w:eastAsia="Times New Roman" w:hAnsi="Times New Roman"/>
      <w:sz w:val="24"/>
      <w:szCs w:val="20"/>
    </w:rPr>
  </w:style>
  <w:style w:type="paragraph" w:styleId="ListNumber3">
    <w:name w:val="List Number 3"/>
    <w:basedOn w:val="Normal"/>
    <w:pPr>
      <w:numPr>
        <w:numId w:val="27"/>
      </w:numPr>
      <w:spacing w:after="240" w:line="240" w:lineRule="auto"/>
      <w:jc w:val="both"/>
    </w:pPr>
    <w:rPr>
      <w:rFonts w:ascii="Times New Roman" w:eastAsia="Times New Roman" w:hAnsi="Times New Roman"/>
      <w:sz w:val="24"/>
      <w:szCs w:val="20"/>
    </w:rPr>
  </w:style>
  <w:style w:type="paragraph" w:styleId="ListNumber4">
    <w:name w:val="List Number 4"/>
    <w:basedOn w:val="Normal"/>
    <w:pPr>
      <w:numPr>
        <w:numId w:val="28"/>
      </w:numPr>
      <w:spacing w:after="240" w:line="240" w:lineRule="auto"/>
      <w:jc w:val="both"/>
    </w:pPr>
    <w:rPr>
      <w:rFonts w:ascii="Times New Roman" w:eastAsia="Times New Roman" w:hAnsi="Times New Roman"/>
      <w:sz w:val="24"/>
      <w:szCs w:val="20"/>
    </w:rPr>
  </w:style>
  <w:style w:type="paragraph" w:styleId="ListNumber5">
    <w:name w:val="List Number 5"/>
    <w:basedOn w:val="Normal"/>
    <w:pPr>
      <w:numPr>
        <w:numId w:val="29"/>
      </w:numPr>
      <w:spacing w:after="240" w:line="240" w:lineRule="auto"/>
      <w:jc w:val="both"/>
    </w:pPr>
    <w:rPr>
      <w:rFonts w:ascii="Times New Roman" w:eastAsia="Times New Roman" w:hAnsi="Times New Roman"/>
      <w:sz w:val="24"/>
      <w:szCs w:val="20"/>
    </w:rPr>
  </w:style>
  <w:style w:type="paragraph" w:customStyle="1" w:styleId="ListNumber6">
    <w:name w:val="List Number 6"/>
    <w:basedOn w:val="Normal"/>
    <w:pPr>
      <w:numPr>
        <w:numId w:val="30"/>
      </w:numPr>
      <w:spacing w:after="240" w:line="240" w:lineRule="auto"/>
      <w:jc w:val="both"/>
    </w:pPr>
    <w:rPr>
      <w:rFonts w:ascii="Times New Roman" w:eastAsia="Times New Roman" w:hAnsi="Times New Roman"/>
      <w:sz w:val="24"/>
      <w:szCs w:val="20"/>
    </w:rPr>
  </w:style>
  <w:style w:type="paragraph" w:customStyle="1" w:styleId="ListNumber7">
    <w:name w:val="List Number 7"/>
    <w:basedOn w:val="Normal"/>
    <w:pPr>
      <w:numPr>
        <w:numId w:val="31"/>
      </w:numPr>
      <w:spacing w:after="240" w:line="240" w:lineRule="auto"/>
      <w:jc w:val="both"/>
    </w:pPr>
    <w:rPr>
      <w:rFonts w:ascii="Times New Roman" w:eastAsia="Times New Roman" w:hAnsi="Times New Roman"/>
      <w:sz w:val="24"/>
      <w:szCs w:val="20"/>
    </w:rPr>
  </w:style>
  <w:style w:type="paragraph" w:customStyle="1" w:styleId="ListNumber8">
    <w:name w:val="List Number 8"/>
    <w:basedOn w:val="Normal"/>
    <w:pPr>
      <w:numPr>
        <w:numId w:val="32"/>
      </w:numPr>
      <w:spacing w:after="240" w:line="240" w:lineRule="auto"/>
      <w:jc w:val="both"/>
    </w:pPr>
    <w:rPr>
      <w:rFonts w:ascii="Times New Roman" w:eastAsia="Times New Roman" w:hAnsi="Times New Roman"/>
      <w:sz w:val="24"/>
      <w:szCs w:val="20"/>
    </w:rPr>
  </w:style>
  <w:style w:type="paragraph" w:customStyle="1" w:styleId="ListNumberLevel2">
    <w:name w:val="List Number (Level 2)"/>
    <w:basedOn w:val="Normal"/>
    <w:pPr>
      <w:numPr>
        <w:ilvl w:val="1"/>
        <w:numId w:val="24"/>
      </w:numPr>
      <w:spacing w:after="240" w:line="240" w:lineRule="auto"/>
      <w:jc w:val="both"/>
    </w:pPr>
    <w:rPr>
      <w:rFonts w:ascii="Times New Roman" w:eastAsia="Times New Roman" w:hAnsi="Times New Roman"/>
      <w:sz w:val="24"/>
      <w:szCs w:val="20"/>
    </w:rPr>
  </w:style>
  <w:style w:type="paragraph" w:customStyle="1" w:styleId="ListNumber2Level2">
    <w:name w:val="List Number 2 (Level 2)"/>
    <w:basedOn w:val="Normal"/>
    <w:pPr>
      <w:numPr>
        <w:ilvl w:val="1"/>
        <w:numId w:val="26"/>
      </w:numPr>
      <w:spacing w:after="240" w:line="240" w:lineRule="auto"/>
      <w:jc w:val="both"/>
    </w:pPr>
    <w:rPr>
      <w:rFonts w:ascii="Times New Roman" w:eastAsia="Times New Roman" w:hAnsi="Times New Roman"/>
      <w:sz w:val="24"/>
      <w:szCs w:val="20"/>
    </w:rPr>
  </w:style>
  <w:style w:type="paragraph" w:customStyle="1" w:styleId="ListNumber3Level2">
    <w:name w:val="List Number 3 (Level 2)"/>
    <w:basedOn w:val="Normal"/>
    <w:pPr>
      <w:numPr>
        <w:ilvl w:val="1"/>
        <w:numId w:val="27"/>
      </w:numPr>
      <w:spacing w:after="240" w:line="240" w:lineRule="auto"/>
      <w:jc w:val="both"/>
    </w:pPr>
    <w:rPr>
      <w:rFonts w:ascii="Times New Roman" w:eastAsia="Times New Roman" w:hAnsi="Times New Roman"/>
      <w:sz w:val="24"/>
      <w:szCs w:val="20"/>
    </w:rPr>
  </w:style>
  <w:style w:type="paragraph" w:customStyle="1" w:styleId="ListNumber4Level2">
    <w:name w:val="List Number 4 (Level 2)"/>
    <w:basedOn w:val="Normal"/>
    <w:pPr>
      <w:numPr>
        <w:ilvl w:val="1"/>
        <w:numId w:val="28"/>
      </w:numPr>
      <w:spacing w:after="240" w:line="240" w:lineRule="auto"/>
      <w:jc w:val="both"/>
    </w:pPr>
    <w:rPr>
      <w:rFonts w:ascii="Times New Roman" w:eastAsia="Times New Roman" w:hAnsi="Times New Roman"/>
      <w:sz w:val="24"/>
      <w:szCs w:val="20"/>
    </w:rPr>
  </w:style>
  <w:style w:type="paragraph" w:customStyle="1" w:styleId="ListNumber5Level2">
    <w:name w:val="List Number 5 (Level 2)"/>
    <w:basedOn w:val="Normal"/>
    <w:pPr>
      <w:numPr>
        <w:ilvl w:val="1"/>
        <w:numId w:val="29"/>
      </w:numPr>
      <w:spacing w:after="240" w:line="240" w:lineRule="auto"/>
      <w:jc w:val="both"/>
    </w:pPr>
    <w:rPr>
      <w:rFonts w:ascii="Times New Roman" w:eastAsia="Times New Roman" w:hAnsi="Times New Roman"/>
      <w:sz w:val="24"/>
      <w:szCs w:val="20"/>
    </w:rPr>
  </w:style>
  <w:style w:type="paragraph" w:customStyle="1" w:styleId="ListNumber6Level2">
    <w:name w:val="List Number 6 (Level 2)"/>
    <w:basedOn w:val="Normal"/>
    <w:pPr>
      <w:numPr>
        <w:ilvl w:val="1"/>
        <w:numId w:val="30"/>
      </w:numPr>
      <w:spacing w:after="240" w:line="240" w:lineRule="auto"/>
      <w:jc w:val="both"/>
    </w:pPr>
    <w:rPr>
      <w:rFonts w:ascii="Times New Roman" w:eastAsia="Times New Roman" w:hAnsi="Times New Roman"/>
      <w:sz w:val="24"/>
      <w:szCs w:val="20"/>
    </w:rPr>
  </w:style>
  <w:style w:type="paragraph" w:customStyle="1" w:styleId="ListNumber7Level2">
    <w:name w:val="List Number 7 (Level 2)"/>
    <w:basedOn w:val="Normal"/>
    <w:pPr>
      <w:numPr>
        <w:ilvl w:val="1"/>
        <w:numId w:val="31"/>
      </w:numPr>
      <w:spacing w:after="240" w:line="240" w:lineRule="auto"/>
      <w:jc w:val="both"/>
    </w:pPr>
    <w:rPr>
      <w:rFonts w:ascii="Times New Roman" w:eastAsia="Times New Roman" w:hAnsi="Times New Roman"/>
      <w:sz w:val="24"/>
      <w:szCs w:val="20"/>
    </w:rPr>
  </w:style>
  <w:style w:type="paragraph" w:customStyle="1" w:styleId="ListNumber8Level2">
    <w:name w:val="List Number 8 (Level 2)"/>
    <w:basedOn w:val="Normal"/>
    <w:pPr>
      <w:numPr>
        <w:ilvl w:val="1"/>
        <w:numId w:val="32"/>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24"/>
      </w:numPr>
      <w:spacing w:after="240" w:line="240" w:lineRule="auto"/>
      <w:jc w:val="both"/>
    </w:pPr>
    <w:rPr>
      <w:rFonts w:ascii="Times New Roman" w:eastAsia="Times New Roman" w:hAnsi="Times New Roman"/>
      <w:sz w:val="24"/>
      <w:szCs w:val="20"/>
    </w:rPr>
  </w:style>
  <w:style w:type="paragraph" w:customStyle="1" w:styleId="ListNumber2Level3">
    <w:name w:val="List Number 2 (Level 3)"/>
    <w:basedOn w:val="Normal"/>
    <w:pPr>
      <w:numPr>
        <w:ilvl w:val="2"/>
        <w:numId w:val="26"/>
      </w:numPr>
      <w:spacing w:after="240" w:line="240" w:lineRule="auto"/>
      <w:jc w:val="both"/>
    </w:pPr>
    <w:rPr>
      <w:rFonts w:ascii="Times New Roman" w:eastAsia="Times New Roman" w:hAnsi="Times New Roman"/>
      <w:sz w:val="24"/>
      <w:szCs w:val="20"/>
    </w:rPr>
  </w:style>
  <w:style w:type="paragraph" w:customStyle="1" w:styleId="ListNumber3Level3">
    <w:name w:val="List Number 3 (Level 3)"/>
    <w:basedOn w:val="Normal"/>
    <w:pPr>
      <w:numPr>
        <w:ilvl w:val="2"/>
        <w:numId w:val="27"/>
      </w:numPr>
      <w:spacing w:after="240" w:line="240" w:lineRule="auto"/>
      <w:jc w:val="both"/>
    </w:pPr>
    <w:rPr>
      <w:rFonts w:ascii="Times New Roman" w:eastAsia="Times New Roman" w:hAnsi="Times New Roman"/>
      <w:sz w:val="24"/>
      <w:szCs w:val="20"/>
    </w:rPr>
  </w:style>
  <w:style w:type="paragraph" w:customStyle="1" w:styleId="ListNumber4Level3">
    <w:name w:val="List Number 4 (Level 3)"/>
    <w:basedOn w:val="Normal"/>
    <w:pPr>
      <w:numPr>
        <w:ilvl w:val="2"/>
        <w:numId w:val="28"/>
      </w:numPr>
      <w:spacing w:after="240" w:line="240" w:lineRule="auto"/>
      <w:jc w:val="both"/>
    </w:pPr>
    <w:rPr>
      <w:rFonts w:ascii="Times New Roman" w:eastAsia="Times New Roman" w:hAnsi="Times New Roman"/>
      <w:sz w:val="24"/>
      <w:szCs w:val="20"/>
    </w:rPr>
  </w:style>
  <w:style w:type="paragraph" w:customStyle="1" w:styleId="ListNumber5Level3">
    <w:name w:val="List Number 5 (Level 3)"/>
    <w:basedOn w:val="Normal"/>
    <w:pPr>
      <w:numPr>
        <w:ilvl w:val="2"/>
        <w:numId w:val="29"/>
      </w:numPr>
      <w:spacing w:after="240" w:line="240" w:lineRule="auto"/>
      <w:jc w:val="both"/>
    </w:pPr>
    <w:rPr>
      <w:rFonts w:ascii="Times New Roman" w:eastAsia="Times New Roman" w:hAnsi="Times New Roman"/>
      <w:sz w:val="24"/>
      <w:szCs w:val="20"/>
    </w:rPr>
  </w:style>
  <w:style w:type="paragraph" w:customStyle="1" w:styleId="ListNumber6Level3">
    <w:name w:val="List Number 6 (Level 3)"/>
    <w:basedOn w:val="Normal"/>
    <w:pPr>
      <w:numPr>
        <w:ilvl w:val="2"/>
        <w:numId w:val="30"/>
      </w:numPr>
      <w:spacing w:after="240" w:line="240" w:lineRule="auto"/>
      <w:jc w:val="both"/>
    </w:pPr>
    <w:rPr>
      <w:rFonts w:ascii="Times New Roman" w:eastAsia="Times New Roman" w:hAnsi="Times New Roman"/>
      <w:sz w:val="24"/>
      <w:szCs w:val="20"/>
    </w:rPr>
  </w:style>
  <w:style w:type="paragraph" w:customStyle="1" w:styleId="ListNumber7Level3">
    <w:name w:val="List Number 7 (Level 3)"/>
    <w:basedOn w:val="Normal"/>
    <w:pPr>
      <w:numPr>
        <w:ilvl w:val="2"/>
        <w:numId w:val="31"/>
      </w:numPr>
      <w:spacing w:after="240" w:line="240" w:lineRule="auto"/>
      <w:jc w:val="both"/>
    </w:pPr>
    <w:rPr>
      <w:rFonts w:ascii="Times New Roman" w:eastAsia="Times New Roman" w:hAnsi="Times New Roman"/>
      <w:sz w:val="24"/>
      <w:szCs w:val="20"/>
    </w:rPr>
  </w:style>
  <w:style w:type="paragraph" w:customStyle="1" w:styleId="ListNumber8Level3">
    <w:name w:val="List Number 8 (Level 3)"/>
    <w:basedOn w:val="Normal"/>
    <w:pPr>
      <w:numPr>
        <w:ilvl w:val="2"/>
        <w:numId w:val="32"/>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24"/>
      </w:numPr>
      <w:spacing w:after="240" w:line="240" w:lineRule="auto"/>
      <w:jc w:val="both"/>
    </w:pPr>
    <w:rPr>
      <w:rFonts w:ascii="Times New Roman" w:eastAsia="Times New Roman" w:hAnsi="Times New Roman"/>
      <w:sz w:val="24"/>
      <w:szCs w:val="20"/>
    </w:rPr>
  </w:style>
  <w:style w:type="paragraph" w:customStyle="1" w:styleId="ListNumber2Level4">
    <w:name w:val="List Number 2 (Level 4)"/>
    <w:basedOn w:val="Normal"/>
    <w:pPr>
      <w:numPr>
        <w:ilvl w:val="3"/>
        <w:numId w:val="26"/>
      </w:numPr>
      <w:spacing w:after="240" w:line="240" w:lineRule="auto"/>
      <w:jc w:val="both"/>
    </w:pPr>
    <w:rPr>
      <w:rFonts w:ascii="Times New Roman" w:eastAsia="Times New Roman" w:hAnsi="Times New Roman"/>
      <w:sz w:val="24"/>
      <w:szCs w:val="20"/>
    </w:rPr>
  </w:style>
  <w:style w:type="paragraph" w:customStyle="1" w:styleId="ListNumber3Level4">
    <w:name w:val="List Number 3 (Level 4)"/>
    <w:basedOn w:val="Normal"/>
    <w:pPr>
      <w:numPr>
        <w:ilvl w:val="3"/>
        <w:numId w:val="27"/>
      </w:numPr>
      <w:spacing w:after="240" w:line="240" w:lineRule="auto"/>
      <w:jc w:val="both"/>
    </w:pPr>
    <w:rPr>
      <w:rFonts w:ascii="Times New Roman" w:eastAsia="Times New Roman" w:hAnsi="Times New Roman"/>
      <w:sz w:val="24"/>
      <w:szCs w:val="20"/>
    </w:rPr>
  </w:style>
  <w:style w:type="paragraph" w:customStyle="1" w:styleId="ListNumber4Level4">
    <w:name w:val="List Number 4 (Level 4)"/>
    <w:basedOn w:val="Normal"/>
    <w:pPr>
      <w:numPr>
        <w:ilvl w:val="3"/>
        <w:numId w:val="28"/>
      </w:numPr>
      <w:spacing w:after="240" w:line="240" w:lineRule="auto"/>
      <w:jc w:val="both"/>
    </w:pPr>
    <w:rPr>
      <w:rFonts w:ascii="Times New Roman" w:eastAsia="Times New Roman" w:hAnsi="Times New Roman"/>
      <w:sz w:val="24"/>
      <w:szCs w:val="20"/>
    </w:rPr>
  </w:style>
  <w:style w:type="paragraph" w:customStyle="1" w:styleId="ListNumber5Level4">
    <w:name w:val="List Number 5 (Level 4)"/>
    <w:basedOn w:val="Normal"/>
    <w:pPr>
      <w:numPr>
        <w:ilvl w:val="3"/>
        <w:numId w:val="29"/>
      </w:numPr>
      <w:spacing w:after="240" w:line="240" w:lineRule="auto"/>
      <w:jc w:val="both"/>
    </w:pPr>
    <w:rPr>
      <w:rFonts w:ascii="Times New Roman" w:eastAsia="Times New Roman" w:hAnsi="Times New Roman"/>
      <w:sz w:val="24"/>
      <w:szCs w:val="20"/>
    </w:rPr>
  </w:style>
  <w:style w:type="paragraph" w:customStyle="1" w:styleId="ListNumber6Level4">
    <w:name w:val="List Number 6 (Level 4)"/>
    <w:basedOn w:val="Normal"/>
    <w:pPr>
      <w:numPr>
        <w:ilvl w:val="3"/>
        <w:numId w:val="30"/>
      </w:numPr>
      <w:spacing w:after="240" w:line="240" w:lineRule="auto"/>
      <w:jc w:val="both"/>
    </w:pPr>
    <w:rPr>
      <w:rFonts w:ascii="Times New Roman" w:eastAsia="Times New Roman" w:hAnsi="Times New Roman"/>
      <w:sz w:val="24"/>
      <w:szCs w:val="20"/>
    </w:rPr>
  </w:style>
  <w:style w:type="paragraph" w:customStyle="1" w:styleId="ListNumber7Level4">
    <w:name w:val="List Number 7 (Level 4)"/>
    <w:basedOn w:val="Normal"/>
    <w:pPr>
      <w:numPr>
        <w:ilvl w:val="3"/>
        <w:numId w:val="31"/>
      </w:numPr>
      <w:spacing w:after="240" w:line="240" w:lineRule="auto"/>
      <w:jc w:val="both"/>
    </w:pPr>
    <w:rPr>
      <w:rFonts w:ascii="Times New Roman" w:eastAsia="Times New Roman" w:hAnsi="Times New Roman"/>
      <w:sz w:val="24"/>
      <w:szCs w:val="20"/>
    </w:rPr>
  </w:style>
  <w:style w:type="paragraph" w:customStyle="1" w:styleId="ListNumber8Level4">
    <w:name w:val="List Number 8 (Level 4)"/>
    <w:basedOn w:val="Normal"/>
    <w:pPr>
      <w:numPr>
        <w:ilvl w:val="3"/>
        <w:numId w:val="32"/>
      </w:numPr>
      <w:spacing w:after="240" w:line="240" w:lineRule="auto"/>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b/>
      <w:sz w:val="24"/>
      <w:szCs w:val="20"/>
    </w:rPr>
  </w:style>
  <w:style w:type="paragraph" w:styleId="TOC1">
    <w:name w:val="toc 1"/>
    <w:basedOn w:val="Normal"/>
    <w:next w:val="Normal"/>
    <w:semiHidden/>
    <w:pPr>
      <w:tabs>
        <w:tab w:val="right" w:leader="dot" w:pos="8640"/>
      </w:tabs>
      <w:spacing w:before="120" w:after="120" w:line="240" w:lineRule="auto"/>
      <w:ind w:left="1440" w:right="720" w:hanging="1440"/>
      <w:jc w:val="both"/>
    </w:pPr>
    <w:rPr>
      <w:rFonts w:ascii="Times New Roman" w:eastAsia="Times New Roman" w:hAnsi="Times New Roman"/>
      <w:caps/>
      <w:sz w:val="24"/>
      <w:szCs w:val="20"/>
    </w:rPr>
  </w:style>
  <w:style w:type="paragraph" w:styleId="TOC2">
    <w:name w:val="toc 2"/>
    <w:basedOn w:val="Normal"/>
    <w:next w:val="Normal"/>
    <w:semiHidden/>
    <w:pPr>
      <w:tabs>
        <w:tab w:val="right" w:leader="dot" w:pos="8640"/>
      </w:tabs>
      <w:spacing w:before="60" w:after="60" w:line="240" w:lineRule="auto"/>
      <w:ind w:left="1440" w:right="720" w:hanging="1440"/>
      <w:jc w:val="both"/>
    </w:pPr>
    <w:rPr>
      <w:rFonts w:ascii="Times New Roman" w:eastAsia="Times New Roman" w:hAnsi="Times New Roman"/>
      <w:sz w:val="24"/>
      <w:szCs w:val="20"/>
    </w:rPr>
  </w:style>
  <w:style w:type="paragraph" w:styleId="TOC3">
    <w:name w:val="toc 3"/>
    <w:basedOn w:val="Normal"/>
    <w:next w:val="Normal"/>
    <w:semiHidden/>
    <w:pPr>
      <w:tabs>
        <w:tab w:val="right" w:leader="dot" w:pos="8640"/>
      </w:tabs>
      <w:spacing w:before="60" w:after="60" w:line="240" w:lineRule="auto"/>
      <w:ind w:left="1440" w:right="720" w:hanging="1440"/>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1440" w:right="720" w:hanging="1440"/>
      <w:jc w:val="both"/>
    </w:pPr>
    <w:rPr>
      <w:rFonts w:ascii="Times New Roman" w:eastAsia="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394">
      <w:bodyDiv w:val="1"/>
      <w:marLeft w:val="0"/>
      <w:marRight w:val="0"/>
      <w:marTop w:val="0"/>
      <w:marBottom w:val="0"/>
      <w:divBdr>
        <w:top w:val="none" w:sz="0" w:space="0" w:color="auto"/>
        <w:left w:val="none" w:sz="0" w:space="0" w:color="auto"/>
        <w:bottom w:val="none" w:sz="0" w:space="0" w:color="auto"/>
        <w:right w:val="none" w:sz="0" w:space="0" w:color="auto"/>
      </w:divBdr>
    </w:div>
    <w:div w:id="43065794">
      <w:bodyDiv w:val="1"/>
      <w:marLeft w:val="0"/>
      <w:marRight w:val="0"/>
      <w:marTop w:val="0"/>
      <w:marBottom w:val="0"/>
      <w:divBdr>
        <w:top w:val="none" w:sz="0" w:space="0" w:color="auto"/>
        <w:left w:val="none" w:sz="0" w:space="0" w:color="auto"/>
        <w:bottom w:val="none" w:sz="0" w:space="0" w:color="auto"/>
        <w:right w:val="none" w:sz="0" w:space="0" w:color="auto"/>
      </w:divBdr>
    </w:div>
    <w:div w:id="247234274">
      <w:bodyDiv w:val="1"/>
      <w:marLeft w:val="0"/>
      <w:marRight w:val="0"/>
      <w:marTop w:val="0"/>
      <w:marBottom w:val="0"/>
      <w:divBdr>
        <w:top w:val="none" w:sz="0" w:space="0" w:color="auto"/>
        <w:left w:val="none" w:sz="0" w:space="0" w:color="auto"/>
        <w:bottom w:val="none" w:sz="0" w:space="0" w:color="auto"/>
        <w:right w:val="none" w:sz="0" w:space="0" w:color="auto"/>
      </w:divBdr>
    </w:div>
    <w:div w:id="325128915">
      <w:bodyDiv w:val="1"/>
      <w:marLeft w:val="0"/>
      <w:marRight w:val="0"/>
      <w:marTop w:val="0"/>
      <w:marBottom w:val="0"/>
      <w:divBdr>
        <w:top w:val="none" w:sz="0" w:space="0" w:color="auto"/>
        <w:left w:val="none" w:sz="0" w:space="0" w:color="auto"/>
        <w:bottom w:val="none" w:sz="0" w:space="0" w:color="auto"/>
        <w:right w:val="none" w:sz="0" w:space="0" w:color="auto"/>
      </w:divBdr>
    </w:div>
    <w:div w:id="360590412">
      <w:bodyDiv w:val="1"/>
      <w:marLeft w:val="0"/>
      <w:marRight w:val="0"/>
      <w:marTop w:val="0"/>
      <w:marBottom w:val="0"/>
      <w:divBdr>
        <w:top w:val="none" w:sz="0" w:space="0" w:color="auto"/>
        <w:left w:val="none" w:sz="0" w:space="0" w:color="auto"/>
        <w:bottom w:val="none" w:sz="0" w:space="0" w:color="auto"/>
        <w:right w:val="none" w:sz="0" w:space="0" w:color="auto"/>
      </w:divBdr>
    </w:div>
    <w:div w:id="509490847">
      <w:bodyDiv w:val="1"/>
      <w:marLeft w:val="0"/>
      <w:marRight w:val="0"/>
      <w:marTop w:val="0"/>
      <w:marBottom w:val="0"/>
      <w:divBdr>
        <w:top w:val="none" w:sz="0" w:space="0" w:color="auto"/>
        <w:left w:val="none" w:sz="0" w:space="0" w:color="auto"/>
        <w:bottom w:val="none" w:sz="0" w:space="0" w:color="auto"/>
        <w:right w:val="none" w:sz="0" w:space="0" w:color="auto"/>
      </w:divBdr>
    </w:div>
    <w:div w:id="514198430">
      <w:bodyDiv w:val="1"/>
      <w:marLeft w:val="0"/>
      <w:marRight w:val="0"/>
      <w:marTop w:val="0"/>
      <w:marBottom w:val="0"/>
      <w:divBdr>
        <w:top w:val="none" w:sz="0" w:space="0" w:color="auto"/>
        <w:left w:val="none" w:sz="0" w:space="0" w:color="auto"/>
        <w:bottom w:val="none" w:sz="0" w:space="0" w:color="auto"/>
        <w:right w:val="none" w:sz="0" w:space="0" w:color="auto"/>
      </w:divBdr>
    </w:div>
    <w:div w:id="620188098">
      <w:bodyDiv w:val="1"/>
      <w:marLeft w:val="0"/>
      <w:marRight w:val="0"/>
      <w:marTop w:val="0"/>
      <w:marBottom w:val="0"/>
      <w:divBdr>
        <w:top w:val="none" w:sz="0" w:space="0" w:color="auto"/>
        <w:left w:val="none" w:sz="0" w:space="0" w:color="auto"/>
        <w:bottom w:val="none" w:sz="0" w:space="0" w:color="auto"/>
        <w:right w:val="none" w:sz="0" w:space="0" w:color="auto"/>
      </w:divBdr>
    </w:div>
    <w:div w:id="621351712">
      <w:bodyDiv w:val="1"/>
      <w:marLeft w:val="0"/>
      <w:marRight w:val="0"/>
      <w:marTop w:val="0"/>
      <w:marBottom w:val="0"/>
      <w:divBdr>
        <w:top w:val="none" w:sz="0" w:space="0" w:color="auto"/>
        <w:left w:val="none" w:sz="0" w:space="0" w:color="auto"/>
        <w:bottom w:val="none" w:sz="0" w:space="0" w:color="auto"/>
        <w:right w:val="none" w:sz="0" w:space="0" w:color="auto"/>
      </w:divBdr>
    </w:div>
    <w:div w:id="659699535">
      <w:bodyDiv w:val="1"/>
      <w:marLeft w:val="0"/>
      <w:marRight w:val="0"/>
      <w:marTop w:val="0"/>
      <w:marBottom w:val="0"/>
      <w:divBdr>
        <w:top w:val="none" w:sz="0" w:space="0" w:color="auto"/>
        <w:left w:val="none" w:sz="0" w:space="0" w:color="auto"/>
        <w:bottom w:val="none" w:sz="0" w:space="0" w:color="auto"/>
        <w:right w:val="none" w:sz="0" w:space="0" w:color="auto"/>
      </w:divBdr>
      <w:divsChild>
        <w:div w:id="112293804">
          <w:marLeft w:val="0"/>
          <w:marRight w:val="0"/>
          <w:marTop w:val="240"/>
          <w:marBottom w:val="420"/>
          <w:divBdr>
            <w:top w:val="none" w:sz="0" w:space="0" w:color="auto"/>
            <w:left w:val="none" w:sz="0" w:space="0" w:color="auto"/>
            <w:bottom w:val="none" w:sz="0" w:space="0" w:color="auto"/>
            <w:right w:val="none" w:sz="0" w:space="0" w:color="auto"/>
          </w:divBdr>
          <w:divsChild>
            <w:div w:id="1205211591">
              <w:marLeft w:val="0"/>
              <w:marRight w:val="300"/>
              <w:marTop w:val="0"/>
              <w:marBottom w:val="0"/>
              <w:divBdr>
                <w:top w:val="none" w:sz="0" w:space="0" w:color="auto"/>
                <w:left w:val="none" w:sz="0" w:space="0" w:color="auto"/>
                <w:bottom w:val="none" w:sz="0" w:space="0" w:color="auto"/>
                <w:right w:val="none" w:sz="0" w:space="0" w:color="auto"/>
              </w:divBdr>
              <w:divsChild>
                <w:div w:id="198908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901770">
      <w:bodyDiv w:val="1"/>
      <w:marLeft w:val="0"/>
      <w:marRight w:val="0"/>
      <w:marTop w:val="0"/>
      <w:marBottom w:val="0"/>
      <w:divBdr>
        <w:top w:val="none" w:sz="0" w:space="0" w:color="auto"/>
        <w:left w:val="none" w:sz="0" w:space="0" w:color="auto"/>
        <w:bottom w:val="none" w:sz="0" w:space="0" w:color="auto"/>
        <w:right w:val="none" w:sz="0" w:space="0" w:color="auto"/>
      </w:divBdr>
    </w:div>
    <w:div w:id="696198289">
      <w:bodyDiv w:val="1"/>
      <w:marLeft w:val="0"/>
      <w:marRight w:val="0"/>
      <w:marTop w:val="0"/>
      <w:marBottom w:val="0"/>
      <w:divBdr>
        <w:top w:val="none" w:sz="0" w:space="0" w:color="auto"/>
        <w:left w:val="none" w:sz="0" w:space="0" w:color="auto"/>
        <w:bottom w:val="none" w:sz="0" w:space="0" w:color="auto"/>
        <w:right w:val="none" w:sz="0" w:space="0" w:color="auto"/>
      </w:divBdr>
    </w:div>
    <w:div w:id="731077025">
      <w:bodyDiv w:val="1"/>
      <w:marLeft w:val="0"/>
      <w:marRight w:val="0"/>
      <w:marTop w:val="0"/>
      <w:marBottom w:val="0"/>
      <w:divBdr>
        <w:top w:val="none" w:sz="0" w:space="0" w:color="auto"/>
        <w:left w:val="none" w:sz="0" w:space="0" w:color="auto"/>
        <w:bottom w:val="none" w:sz="0" w:space="0" w:color="auto"/>
        <w:right w:val="none" w:sz="0" w:space="0" w:color="auto"/>
      </w:divBdr>
    </w:div>
    <w:div w:id="835340192">
      <w:bodyDiv w:val="1"/>
      <w:marLeft w:val="0"/>
      <w:marRight w:val="0"/>
      <w:marTop w:val="0"/>
      <w:marBottom w:val="0"/>
      <w:divBdr>
        <w:top w:val="none" w:sz="0" w:space="0" w:color="auto"/>
        <w:left w:val="none" w:sz="0" w:space="0" w:color="auto"/>
        <w:bottom w:val="none" w:sz="0" w:space="0" w:color="auto"/>
        <w:right w:val="none" w:sz="0" w:space="0" w:color="auto"/>
      </w:divBdr>
    </w:div>
    <w:div w:id="864051831">
      <w:bodyDiv w:val="1"/>
      <w:marLeft w:val="0"/>
      <w:marRight w:val="0"/>
      <w:marTop w:val="0"/>
      <w:marBottom w:val="0"/>
      <w:divBdr>
        <w:top w:val="none" w:sz="0" w:space="0" w:color="auto"/>
        <w:left w:val="none" w:sz="0" w:space="0" w:color="auto"/>
        <w:bottom w:val="none" w:sz="0" w:space="0" w:color="auto"/>
        <w:right w:val="none" w:sz="0" w:space="0" w:color="auto"/>
      </w:divBdr>
    </w:div>
    <w:div w:id="1191718478">
      <w:bodyDiv w:val="1"/>
      <w:marLeft w:val="0"/>
      <w:marRight w:val="0"/>
      <w:marTop w:val="0"/>
      <w:marBottom w:val="0"/>
      <w:divBdr>
        <w:top w:val="none" w:sz="0" w:space="0" w:color="auto"/>
        <w:left w:val="none" w:sz="0" w:space="0" w:color="auto"/>
        <w:bottom w:val="none" w:sz="0" w:space="0" w:color="auto"/>
        <w:right w:val="none" w:sz="0" w:space="0" w:color="auto"/>
      </w:divBdr>
    </w:div>
    <w:div w:id="1290865629">
      <w:bodyDiv w:val="1"/>
      <w:marLeft w:val="0"/>
      <w:marRight w:val="0"/>
      <w:marTop w:val="0"/>
      <w:marBottom w:val="0"/>
      <w:divBdr>
        <w:top w:val="none" w:sz="0" w:space="0" w:color="auto"/>
        <w:left w:val="none" w:sz="0" w:space="0" w:color="auto"/>
        <w:bottom w:val="none" w:sz="0" w:space="0" w:color="auto"/>
        <w:right w:val="none" w:sz="0" w:space="0" w:color="auto"/>
      </w:divBdr>
    </w:div>
    <w:div w:id="1345084749">
      <w:bodyDiv w:val="1"/>
      <w:marLeft w:val="0"/>
      <w:marRight w:val="0"/>
      <w:marTop w:val="0"/>
      <w:marBottom w:val="0"/>
      <w:divBdr>
        <w:top w:val="none" w:sz="0" w:space="0" w:color="auto"/>
        <w:left w:val="none" w:sz="0" w:space="0" w:color="auto"/>
        <w:bottom w:val="none" w:sz="0" w:space="0" w:color="auto"/>
        <w:right w:val="none" w:sz="0" w:space="0" w:color="auto"/>
      </w:divBdr>
    </w:div>
    <w:div w:id="1353413121">
      <w:bodyDiv w:val="1"/>
      <w:marLeft w:val="0"/>
      <w:marRight w:val="0"/>
      <w:marTop w:val="0"/>
      <w:marBottom w:val="0"/>
      <w:divBdr>
        <w:top w:val="none" w:sz="0" w:space="0" w:color="auto"/>
        <w:left w:val="none" w:sz="0" w:space="0" w:color="auto"/>
        <w:bottom w:val="none" w:sz="0" w:space="0" w:color="auto"/>
        <w:right w:val="none" w:sz="0" w:space="0" w:color="auto"/>
      </w:divBdr>
    </w:div>
    <w:div w:id="1371764174">
      <w:bodyDiv w:val="1"/>
      <w:marLeft w:val="0"/>
      <w:marRight w:val="0"/>
      <w:marTop w:val="0"/>
      <w:marBottom w:val="0"/>
      <w:divBdr>
        <w:top w:val="none" w:sz="0" w:space="0" w:color="auto"/>
        <w:left w:val="none" w:sz="0" w:space="0" w:color="auto"/>
        <w:bottom w:val="none" w:sz="0" w:space="0" w:color="auto"/>
        <w:right w:val="none" w:sz="0" w:space="0" w:color="auto"/>
      </w:divBdr>
    </w:div>
    <w:div w:id="1395621179">
      <w:bodyDiv w:val="1"/>
      <w:marLeft w:val="0"/>
      <w:marRight w:val="0"/>
      <w:marTop w:val="0"/>
      <w:marBottom w:val="0"/>
      <w:divBdr>
        <w:top w:val="none" w:sz="0" w:space="0" w:color="auto"/>
        <w:left w:val="none" w:sz="0" w:space="0" w:color="auto"/>
        <w:bottom w:val="none" w:sz="0" w:space="0" w:color="auto"/>
        <w:right w:val="none" w:sz="0" w:space="0" w:color="auto"/>
      </w:divBdr>
    </w:div>
    <w:div w:id="1439987873">
      <w:bodyDiv w:val="1"/>
      <w:marLeft w:val="0"/>
      <w:marRight w:val="0"/>
      <w:marTop w:val="0"/>
      <w:marBottom w:val="0"/>
      <w:divBdr>
        <w:top w:val="none" w:sz="0" w:space="0" w:color="auto"/>
        <w:left w:val="none" w:sz="0" w:space="0" w:color="auto"/>
        <w:bottom w:val="none" w:sz="0" w:space="0" w:color="auto"/>
        <w:right w:val="none" w:sz="0" w:space="0" w:color="auto"/>
      </w:divBdr>
    </w:div>
    <w:div w:id="1491485578">
      <w:bodyDiv w:val="1"/>
      <w:marLeft w:val="0"/>
      <w:marRight w:val="0"/>
      <w:marTop w:val="0"/>
      <w:marBottom w:val="0"/>
      <w:divBdr>
        <w:top w:val="none" w:sz="0" w:space="0" w:color="auto"/>
        <w:left w:val="none" w:sz="0" w:space="0" w:color="auto"/>
        <w:bottom w:val="none" w:sz="0" w:space="0" w:color="auto"/>
        <w:right w:val="none" w:sz="0" w:space="0" w:color="auto"/>
      </w:divBdr>
    </w:div>
    <w:div w:id="1501197110">
      <w:bodyDiv w:val="1"/>
      <w:marLeft w:val="0"/>
      <w:marRight w:val="0"/>
      <w:marTop w:val="0"/>
      <w:marBottom w:val="0"/>
      <w:divBdr>
        <w:top w:val="none" w:sz="0" w:space="0" w:color="auto"/>
        <w:left w:val="none" w:sz="0" w:space="0" w:color="auto"/>
        <w:bottom w:val="none" w:sz="0" w:space="0" w:color="auto"/>
        <w:right w:val="none" w:sz="0" w:space="0" w:color="auto"/>
      </w:divBdr>
    </w:div>
    <w:div w:id="1613593429">
      <w:bodyDiv w:val="1"/>
      <w:marLeft w:val="0"/>
      <w:marRight w:val="0"/>
      <w:marTop w:val="0"/>
      <w:marBottom w:val="0"/>
      <w:divBdr>
        <w:top w:val="none" w:sz="0" w:space="0" w:color="auto"/>
        <w:left w:val="none" w:sz="0" w:space="0" w:color="auto"/>
        <w:bottom w:val="none" w:sz="0" w:space="0" w:color="auto"/>
        <w:right w:val="none" w:sz="0" w:space="0" w:color="auto"/>
      </w:divBdr>
    </w:div>
    <w:div w:id="1615554976">
      <w:bodyDiv w:val="1"/>
      <w:marLeft w:val="0"/>
      <w:marRight w:val="0"/>
      <w:marTop w:val="0"/>
      <w:marBottom w:val="0"/>
      <w:divBdr>
        <w:top w:val="none" w:sz="0" w:space="0" w:color="auto"/>
        <w:left w:val="none" w:sz="0" w:space="0" w:color="auto"/>
        <w:bottom w:val="none" w:sz="0" w:space="0" w:color="auto"/>
        <w:right w:val="none" w:sz="0" w:space="0" w:color="auto"/>
      </w:divBdr>
    </w:div>
    <w:div w:id="1686711865">
      <w:bodyDiv w:val="1"/>
      <w:marLeft w:val="0"/>
      <w:marRight w:val="0"/>
      <w:marTop w:val="0"/>
      <w:marBottom w:val="0"/>
      <w:divBdr>
        <w:top w:val="none" w:sz="0" w:space="0" w:color="auto"/>
        <w:left w:val="none" w:sz="0" w:space="0" w:color="auto"/>
        <w:bottom w:val="none" w:sz="0" w:space="0" w:color="auto"/>
        <w:right w:val="none" w:sz="0" w:space="0" w:color="auto"/>
      </w:divBdr>
    </w:div>
    <w:div w:id="1689794300">
      <w:bodyDiv w:val="1"/>
      <w:marLeft w:val="0"/>
      <w:marRight w:val="0"/>
      <w:marTop w:val="0"/>
      <w:marBottom w:val="0"/>
      <w:divBdr>
        <w:top w:val="none" w:sz="0" w:space="0" w:color="auto"/>
        <w:left w:val="none" w:sz="0" w:space="0" w:color="auto"/>
        <w:bottom w:val="none" w:sz="0" w:space="0" w:color="auto"/>
        <w:right w:val="none" w:sz="0" w:space="0" w:color="auto"/>
      </w:divBdr>
    </w:div>
    <w:div w:id="1839423956">
      <w:bodyDiv w:val="1"/>
      <w:marLeft w:val="0"/>
      <w:marRight w:val="0"/>
      <w:marTop w:val="0"/>
      <w:marBottom w:val="0"/>
      <w:divBdr>
        <w:top w:val="none" w:sz="0" w:space="0" w:color="auto"/>
        <w:left w:val="none" w:sz="0" w:space="0" w:color="auto"/>
        <w:bottom w:val="none" w:sz="0" w:space="0" w:color="auto"/>
        <w:right w:val="none" w:sz="0" w:space="0" w:color="auto"/>
      </w:divBdr>
      <w:divsChild>
        <w:div w:id="1061757840">
          <w:marLeft w:val="0"/>
          <w:marRight w:val="0"/>
          <w:marTop w:val="240"/>
          <w:marBottom w:val="420"/>
          <w:divBdr>
            <w:top w:val="none" w:sz="0" w:space="0" w:color="auto"/>
            <w:left w:val="none" w:sz="0" w:space="0" w:color="auto"/>
            <w:bottom w:val="none" w:sz="0" w:space="0" w:color="auto"/>
            <w:right w:val="none" w:sz="0" w:space="0" w:color="auto"/>
          </w:divBdr>
          <w:divsChild>
            <w:div w:id="1286815683">
              <w:marLeft w:val="0"/>
              <w:marRight w:val="300"/>
              <w:marTop w:val="0"/>
              <w:marBottom w:val="0"/>
              <w:divBdr>
                <w:top w:val="none" w:sz="0" w:space="0" w:color="auto"/>
                <w:left w:val="none" w:sz="0" w:space="0" w:color="auto"/>
                <w:bottom w:val="none" w:sz="0" w:space="0" w:color="auto"/>
                <w:right w:val="none" w:sz="0" w:space="0" w:color="auto"/>
              </w:divBdr>
              <w:divsChild>
                <w:div w:id="86509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509431">
      <w:bodyDiv w:val="1"/>
      <w:marLeft w:val="0"/>
      <w:marRight w:val="0"/>
      <w:marTop w:val="0"/>
      <w:marBottom w:val="0"/>
      <w:divBdr>
        <w:top w:val="none" w:sz="0" w:space="0" w:color="auto"/>
        <w:left w:val="none" w:sz="0" w:space="0" w:color="auto"/>
        <w:bottom w:val="none" w:sz="0" w:space="0" w:color="auto"/>
        <w:right w:val="none" w:sz="0" w:space="0" w:color="auto"/>
      </w:divBdr>
      <w:divsChild>
        <w:div w:id="2079588742">
          <w:marLeft w:val="0"/>
          <w:marRight w:val="0"/>
          <w:marTop w:val="0"/>
          <w:marBottom w:val="0"/>
          <w:divBdr>
            <w:top w:val="none" w:sz="0" w:space="0" w:color="auto"/>
            <w:left w:val="none" w:sz="0" w:space="0" w:color="auto"/>
            <w:bottom w:val="none" w:sz="0" w:space="0" w:color="auto"/>
            <w:right w:val="none" w:sz="0" w:space="0" w:color="auto"/>
          </w:divBdr>
          <w:divsChild>
            <w:div w:id="2054035604">
              <w:marLeft w:val="0"/>
              <w:marRight w:val="0"/>
              <w:marTop w:val="0"/>
              <w:marBottom w:val="0"/>
              <w:divBdr>
                <w:top w:val="none" w:sz="0" w:space="0" w:color="auto"/>
                <w:left w:val="none" w:sz="0" w:space="0" w:color="auto"/>
                <w:bottom w:val="none" w:sz="0" w:space="0" w:color="auto"/>
                <w:right w:val="none" w:sz="0" w:space="0" w:color="auto"/>
              </w:divBdr>
              <w:divsChild>
                <w:div w:id="171264912">
                  <w:marLeft w:val="0"/>
                  <w:marRight w:val="0"/>
                  <w:marTop w:val="0"/>
                  <w:marBottom w:val="0"/>
                  <w:divBdr>
                    <w:top w:val="none" w:sz="0" w:space="0" w:color="auto"/>
                    <w:left w:val="none" w:sz="0" w:space="0" w:color="auto"/>
                    <w:bottom w:val="none" w:sz="0" w:space="0" w:color="auto"/>
                    <w:right w:val="none" w:sz="0" w:space="0" w:color="auto"/>
                  </w:divBdr>
                  <w:divsChild>
                    <w:div w:id="1793090127">
                      <w:marLeft w:val="0"/>
                      <w:marRight w:val="0"/>
                      <w:marTop w:val="0"/>
                      <w:marBottom w:val="0"/>
                      <w:divBdr>
                        <w:top w:val="none" w:sz="0" w:space="0" w:color="auto"/>
                        <w:left w:val="none" w:sz="0" w:space="0" w:color="auto"/>
                        <w:bottom w:val="none" w:sz="0" w:space="0" w:color="auto"/>
                        <w:right w:val="none" w:sz="0" w:space="0" w:color="auto"/>
                      </w:divBdr>
                      <w:divsChild>
                        <w:div w:id="141500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9756910">
      <w:bodyDiv w:val="1"/>
      <w:marLeft w:val="0"/>
      <w:marRight w:val="0"/>
      <w:marTop w:val="0"/>
      <w:marBottom w:val="0"/>
      <w:divBdr>
        <w:top w:val="none" w:sz="0" w:space="0" w:color="auto"/>
        <w:left w:val="none" w:sz="0" w:space="0" w:color="auto"/>
        <w:bottom w:val="none" w:sz="0" w:space="0" w:color="auto"/>
        <w:right w:val="none" w:sz="0" w:space="0" w:color="auto"/>
      </w:divBdr>
    </w:div>
    <w:div w:id="1873424136">
      <w:bodyDiv w:val="1"/>
      <w:marLeft w:val="0"/>
      <w:marRight w:val="0"/>
      <w:marTop w:val="0"/>
      <w:marBottom w:val="0"/>
      <w:divBdr>
        <w:top w:val="none" w:sz="0" w:space="0" w:color="auto"/>
        <w:left w:val="none" w:sz="0" w:space="0" w:color="auto"/>
        <w:bottom w:val="none" w:sz="0" w:space="0" w:color="auto"/>
        <w:right w:val="none" w:sz="0" w:space="0" w:color="auto"/>
      </w:divBdr>
    </w:div>
    <w:div w:id="1885947454">
      <w:bodyDiv w:val="1"/>
      <w:marLeft w:val="0"/>
      <w:marRight w:val="0"/>
      <w:marTop w:val="0"/>
      <w:marBottom w:val="0"/>
      <w:divBdr>
        <w:top w:val="none" w:sz="0" w:space="0" w:color="auto"/>
        <w:left w:val="none" w:sz="0" w:space="0" w:color="auto"/>
        <w:bottom w:val="none" w:sz="0" w:space="0" w:color="auto"/>
        <w:right w:val="none" w:sz="0" w:space="0" w:color="auto"/>
      </w:divBdr>
    </w:div>
    <w:div w:id="1889872057">
      <w:bodyDiv w:val="1"/>
      <w:marLeft w:val="0"/>
      <w:marRight w:val="0"/>
      <w:marTop w:val="0"/>
      <w:marBottom w:val="0"/>
      <w:divBdr>
        <w:top w:val="none" w:sz="0" w:space="0" w:color="auto"/>
        <w:left w:val="none" w:sz="0" w:space="0" w:color="auto"/>
        <w:bottom w:val="none" w:sz="0" w:space="0" w:color="auto"/>
        <w:right w:val="none" w:sz="0" w:space="0" w:color="auto"/>
      </w:divBdr>
    </w:div>
    <w:div w:id="1892182667">
      <w:bodyDiv w:val="1"/>
      <w:marLeft w:val="0"/>
      <w:marRight w:val="0"/>
      <w:marTop w:val="0"/>
      <w:marBottom w:val="0"/>
      <w:divBdr>
        <w:top w:val="none" w:sz="0" w:space="0" w:color="auto"/>
        <w:left w:val="none" w:sz="0" w:space="0" w:color="auto"/>
        <w:bottom w:val="none" w:sz="0" w:space="0" w:color="auto"/>
        <w:right w:val="none" w:sz="0" w:space="0" w:color="auto"/>
      </w:divBdr>
    </w:div>
    <w:div w:id="2059359998">
      <w:bodyDiv w:val="1"/>
      <w:marLeft w:val="0"/>
      <w:marRight w:val="0"/>
      <w:marTop w:val="0"/>
      <w:marBottom w:val="0"/>
      <w:divBdr>
        <w:top w:val="none" w:sz="0" w:space="0" w:color="auto"/>
        <w:left w:val="none" w:sz="0" w:space="0" w:color="auto"/>
        <w:bottom w:val="none" w:sz="0" w:space="0" w:color="auto"/>
        <w:right w:val="none" w:sz="0" w:space="0" w:color="auto"/>
      </w:divBdr>
    </w:div>
    <w:div w:id="2091198231">
      <w:bodyDiv w:val="1"/>
      <w:marLeft w:val="0"/>
      <w:marRight w:val="0"/>
      <w:marTop w:val="0"/>
      <w:marBottom w:val="0"/>
      <w:divBdr>
        <w:top w:val="none" w:sz="0" w:space="0" w:color="auto"/>
        <w:left w:val="none" w:sz="0" w:space="0" w:color="auto"/>
        <w:bottom w:val="none" w:sz="0" w:space="0" w:color="auto"/>
        <w:right w:val="none" w:sz="0" w:space="0" w:color="auto"/>
      </w:divBdr>
    </w:div>
    <w:div w:id="212541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Work Document" ma:contentTypeID="0x01010400988603A364794F7AA753E65AAE732805006CE663DC4F9F5A40AC91453DF58814D1" ma:contentTypeVersion="4" ma:contentTypeDescription="Upload a any type of Document to this Document Library, Tag and Categorize." ma:contentTypeScope="" ma:versionID="83048b1fdeff074fa1ee950b39271f01">
  <xsd:schema xmlns:xsd="http://www.w3.org/2001/XMLSchema" xmlns:xs="http://www.w3.org/2001/XMLSchema" xmlns:p="http://schemas.microsoft.com/office/2006/metadata/properties" xmlns:ns1="0884e9ff-ffbb-4535-9994-d551ffee76be" targetNamespace="http://schemas.microsoft.com/office/2006/metadata/properties" ma:root="true" ma:fieldsID="3fa8cf1bd01b13e517b4c046364595b0" ns1:_="">
    <xsd:import namespace="0884e9ff-ffbb-4535-9994-d551ffee76be"/>
    <xsd:element name="properties">
      <xsd:complexType>
        <xsd:sequence>
          <xsd:element name="documentManagement">
            <xsd:complexType>
              <xsd:all>
                <xsd:element ref="ns1:documentTitle" minOccurs="0"/>
                <xsd:element ref="ns1:documentSummary" minOccurs="0"/>
                <xsd:element ref="ns1:documentComments" minOccurs="0"/>
                <xsd:element ref="ns1:documentFollowUp" minOccurs="0"/>
                <xsd:element ref="ns1:h1e8ff73fa6d49ce8f2bb4af09eada6b" minOccurs="0"/>
                <xsd:element ref="ns1:TaxCatchAll" minOccurs="0"/>
                <xsd:element ref="ns1:TaxCatchAllLabel" minOccurs="0"/>
                <xsd:element ref="ns1:de265e8392134e3e8a13b73067139b28"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4e9ff-ffbb-4535-9994-d551ffee76be" elementFormDefault="qualified">
    <xsd:import namespace="http://schemas.microsoft.com/office/2006/documentManagement/types"/>
    <xsd:import namespace="http://schemas.microsoft.com/office/infopath/2007/PartnerControls"/>
    <xsd:element name="documentTitle" ma:index="0" nillable="true" ma:displayName="Document Title" ma:description="The Title of the Document is different than its Filename." ma:internalName="documentTitle">
      <xsd:simpleType>
        <xsd:restriction base="dms:Text">
          <xsd:maxLength value="255"/>
        </xsd:restriction>
      </xsd:simpleType>
    </xsd:element>
    <xsd:element name="documentSummary" ma:index="1" nillable="true" ma:displayName="Summary" ma:description="The Summary is useful to further describe the document." ma:internalName="documentSummary">
      <xsd:simpleType>
        <xsd:restriction base="dms:Note">
          <xsd:maxLength value="255"/>
        </xsd:restriction>
      </xsd:simpleType>
    </xsd:element>
    <xsd:element name="documentComments" ma:index="2" nillable="true" ma:displayName="Comments" ma:description="Comments have historical data by User and Date." ma:internalName="documentComments">
      <xsd:simpleType>
        <xsd:restriction base="dms:Note">
          <xsd:maxLength value="255"/>
        </xsd:restriction>
      </xsd:simpleType>
    </xsd:element>
    <xsd:element name="documentFollowUp" ma:index="3" nillable="true" ma:displayName="Follow Up" ma:description="Any pertinent Information regarding the proposed Workflow to this document." ma:internalName="documentFollowUp">
      <xsd:simpleType>
        <xsd:restriction base="dms:Note">
          <xsd:maxLength value="255"/>
        </xsd:restriction>
      </xsd:simpleType>
    </xsd:element>
    <xsd:element name="h1e8ff73fa6d49ce8f2bb4af09eada6b" ma:index="4" nillable="true" ma:taxonomy="true" ma:internalName="h1e8ff73fa6d49ce8f2bb4af09eada6b" ma:taxonomyFieldName="documentGeneralTags" ma:displayName="General Tags" ma:fieldId="{11e8ff73-fa6d-49ce-8f2b-b4af09eada6b}" ma:taxonomyMulti="true" ma:sspId="0b3cc5dc-dc2a-4346-9392-57628a0b46cb" ma:termSetId="8b7e80e7-ae8a-43b2-bd33-ab5e3dce1b12" ma:anchorId="00000000-0000-0000-0000-000000000000" ma:open="false" ma:isKeyword="false">
      <xsd:complexType>
        <xsd:sequence>
          <xsd:element ref="pc:Terms" minOccurs="0" maxOccurs="1"/>
        </xsd:sequence>
      </xsd:complexType>
    </xsd:element>
    <xsd:element name="TaxCatchAll" ma:index="5" nillable="true" ma:displayName="Taxonomy Catch All Column" ma:description="" ma:hidden="true" ma:list="{93e615e5-3c39-4379-a6a8-6c7913866e68}" ma:internalName="TaxCatchAll" ma:showField="CatchAllData" ma:web="0884e9ff-ffbb-4535-9994-d551ffee76b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description="" ma:hidden="true" ma:list="{93e615e5-3c39-4379-a6a8-6c7913866e68}" ma:internalName="TaxCatchAllLabel" ma:readOnly="true" ma:showField="CatchAllDataLabel" ma:web="0884e9ff-ffbb-4535-9994-d551ffee76be">
      <xsd:complexType>
        <xsd:complexContent>
          <xsd:extension base="dms:MultiChoiceLookup">
            <xsd:sequence>
              <xsd:element name="Value" type="dms:Lookup" maxOccurs="unbounded" minOccurs="0" nillable="true"/>
            </xsd:sequence>
          </xsd:extension>
        </xsd:complexContent>
      </xsd:complexType>
    </xsd:element>
    <xsd:element name="de265e8392134e3e8a13b73067139b28" ma:index="8" nillable="true" ma:taxonomy="true" ma:internalName="de265e8392134e3e8a13b73067139b28" ma:taxonomyFieldName="documentCaseTags" ma:displayName="Case Tags" ma:fieldId="{de265e83-9213-4e3e-8a13-b73067139b28}" ma:taxonomyMulti="true" ma:sspId="0b3cc5dc-dc2a-4346-9392-57628a0b46cb" ma:termSetId="571dbd39-e5f1-44b2-adb1-f7a4baeab0e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FF713-FCD6-451F-A11F-A00A6F816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4e9ff-ffbb-4535-9994-d551ffee7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CA17F-A198-4754-A0D5-8FF16119F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COT.DOTM</Template>
  <TotalTime>0</TotalTime>
  <Pages>14</Pages>
  <Words>5141</Words>
  <Characters>28072</Characters>
  <Application>Microsoft Office Word</Application>
  <DocSecurity>0</DocSecurity>
  <Lines>597</Lines>
  <Paragraphs>263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2015-07-10T15:19:00Z</dcterms:created>
  <dcterms:modified xsi:type="dcterms:W3CDTF">2015-07-14T15:33:00Z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Last edited using">
    <vt:lpwstr>EL </vt:lpwstr>
  </property>
  <property fmtid="{D5CDD505-2E9C-101B-9397-08002B2CF9AE}" pid="5" name="ContentTypeId">
    <vt:lpwstr>0x01010400988603A364794F7AA753E65AAE732805006CE663DC4F9F5A40AC91453DF58814D1</vt:lpwstr>
  </property>
  <property fmtid="{D5CDD505-2E9C-101B-9397-08002B2CF9AE}" pid="6" name="Total parts">
    <vt:lpwstr>1</vt:lpwstr>
  </property>
  <property fmtid="{D5CDD505-2E9C-101B-9397-08002B2CF9AE}" pid="7" name="Created using">
    <vt:lpwstr>3.0</vt:lpwstr>
  </property>
  <property fmtid="{D5CDD505-2E9C-101B-9397-08002B2CF9AE}" pid="8" name="Formatting">
    <vt:lpwstr>4.1</vt:lpwstr>
  </property>
  <property fmtid="{D5CDD505-2E9C-101B-9397-08002B2CF9AE}" pid="9" name="ELDocType">
    <vt:lpwstr>COT.DOT</vt:lpwstr>
  </property>
  <property fmtid="{D5CDD505-2E9C-101B-9397-08002B2CF9AE}" pid="10" name="documentCaseTags">
    <vt:lpwstr/>
  </property>
  <property fmtid="{D5CDD505-2E9C-101B-9397-08002B2CF9AE}" pid="11" name="documentGeneralTags">
    <vt:lpwstr/>
  </property>
  <property fmtid="{D5CDD505-2E9C-101B-9397-08002B2CF9AE}" pid="12" name="Classification">
    <vt:lpwstr> </vt:lpwstr>
  </property>
</Properties>
</file>