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B7A" w:rsidRPr="001A6341" w:rsidRDefault="00B517D5" w:rsidP="001A6341">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d537000-d047-4a3f-8c76-a362cd929796_0" style="width:574.35pt;height:425.3pt">
            <v:imagedata r:id="rId9" o:title=""/>
          </v:shape>
        </w:pict>
      </w:r>
      <w:bookmarkEnd w:id="0"/>
    </w:p>
    <w:p w:rsidR="00434EED" w:rsidRPr="001A6341" w:rsidRDefault="00434EED" w:rsidP="00434EED">
      <w:pPr>
        <w:pStyle w:val="TechnicalBlock"/>
        <w:ind w:left="-1134" w:right="-1134"/>
        <w:rPr>
          <w:rFonts w:asciiTheme="majorBidi" w:hAnsiTheme="majorBidi" w:cstheme="majorBidi"/>
        </w:rPr>
        <w:sectPr w:rsidR="00434EED" w:rsidRPr="001A6341" w:rsidSect="00B517D5">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p w:rsidR="00504CA0" w:rsidRPr="001A6341" w:rsidRDefault="00601740" w:rsidP="00601740">
      <w:pPr>
        <w:pStyle w:val="TOCHeading"/>
      </w:pPr>
      <w:r w:rsidRPr="001A6341">
        <w:lastRenderedPageBreak/>
        <w:t>SOMMAIRE</w:t>
      </w:r>
      <w:r w:rsidRPr="001A6341">
        <w:rPr>
          <w:vertAlign w:val="superscript"/>
        </w:rPr>
        <w:t>1</w:t>
      </w:r>
    </w:p>
    <w:p w:rsidR="00601740" w:rsidRPr="001A6341" w:rsidRDefault="00601740" w:rsidP="00601740">
      <w:pPr>
        <w:pStyle w:val="TOC5"/>
      </w:pPr>
      <w:r w:rsidRPr="001A6341">
        <w:t>POINTS AYANT FAIT L'OBJET D'UN DÉBAT</w:t>
      </w:r>
    </w:p>
    <w:p w:rsidR="00601740" w:rsidRPr="001A6341" w:rsidRDefault="00601740" w:rsidP="00601740">
      <w:pPr>
        <w:pStyle w:val="TOC6"/>
        <w:rPr>
          <w:rFonts w:asciiTheme="minorHAnsi" w:eastAsiaTheme="minorEastAsia" w:hAnsiTheme="minorHAnsi" w:cstheme="minorBidi"/>
          <w:noProof/>
          <w:sz w:val="22"/>
          <w:szCs w:val="22"/>
        </w:rPr>
      </w:pPr>
      <w:r w:rsidRPr="001A6341">
        <w:t xml:space="preserve">Émissions nationales de certains polluants (directive PEN) </w:t>
      </w:r>
      <w:r w:rsidR="004B4E71">
        <w:tab/>
      </w:r>
      <w:r w:rsidRPr="001A6341">
        <w:rPr>
          <w:noProof/>
        </w:rPr>
        <w:fldChar w:fldCharType="begin"/>
      </w:r>
      <w:r w:rsidRPr="001A6341">
        <w:rPr>
          <w:noProof/>
        </w:rPr>
        <w:instrText xml:space="preserve"> PAGEREF \h _Toc426377248 \* MERGEFORMAT </w:instrText>
      </w:r>
      <w:r w:rsidRPr="001A6341">
        <w:rPr>
          <w:noProof/>
        </w:rPr>
      </w:r>
      <w:r w:rsidRPr="001A6341">
        <w:rPr>
          <w:noProof/>
        </w:rPr>
        <w:fldChar w:fldCharType="separate"/>
      </w:r>
      <w:r w:rsidR="00B517D5">
        <w:rPr>
          <w:noProof/>
        </w:rPr>
        <w:t>3</w:t>
      </w:r>
      <w:r w:rsidRPr="001A6341">
        <w:rPr>
          <w:noProof/>
        </w:rPr>
        <w:fldChar w:fldCharType="end"/>
      </w:r>
    </w:p>
    <w:p w:rsidR="00601740" w:rsidRPr="001A6341" w:rsidRDefault="00601740" w:rsidP="00601740">
      <w:pPr>
        <w:pStyle w:val="TOC6"/>
        <w:rPr>
          <w:rFonts w:asciiTheme="minorHAnsi" w:eastAsiaTheme="minorEastAsia" w:hAnsiTheme="minorHAnsi" w:cstheme="minorBidi"/>
          <w:noProof/>
          <w:sz w:val="22"/>
          <w:szCs w:val="22"/>
        </w:rPr>
      </w:pPr>
      <w:r w:rsidRPr="001A6341">
        <w:t xml:space="preserve">Le chemin de Paris </w:t>
      </w:r>
      <w:r w:rsidR="004B4E71">
        <w:tab/>
      </w:r>
      <w:r w:rsidRPr="001A6341">
        <w:rPr>
          <w:noProof/>
        </w:rPr>
        <w:fldChar w:fldCharType="begin"/>
      </w:r>
      <w:r w:rsidRPr="001A6341">
        <w:rPr>
          <w:noProof/>
        </w:rPr>
        <w:instrText xml:space="preserve"> PAGEREF \h _Toc426377249 \* MERGEFORMAT </w:instrText>
      </w:r>
      <w:r w:rsidRPr="001A6341">
        <w:rPr>
          <w:noProof/>
        </w:rPr>
      </w:r>
      <w:r w:rsidRPr="001A6341">
        <w:rPr>
          <w:noProof/>
        </w:rPr>
        <w:fldChar w:fldCharType="separate"/>
      </w:r>
      <w:r w:rsidR="00B517D5">
        <w:rPr>
          <w:noProof/>
        </w:rPr>
        <w:t>4</w:t>
      </w:r>
      <w:r w:rsidRPr="001A6341">
        <w:rPr>
          <w:noProof/>
        </w:rPr>
        <w:fldChar w:fldCharType="end"/>
      </w:r>
    </w:p>
    <w:p w:rsidR="00601740" w:rsidRPr="001A6341" w:rsidRDefault="00601740" w:rsidP="00601740">
      <w:pPr>
        <w:pStyle w:val="TOC6"/>
        <w:rPr>
          <w:rFonts w:asciiTheme="minorHAnsi" w:eastAsiaTheme="minorEastAsia" w:hAnsiTheme="minorHAnsi" w:cstheme="minorBidi"/>
          <w:noProof/>
          <w:sz w:val="22"/>
          <w:szCs w:val="22"/>
        </w:rPr>
      </w:pPr>
      <w:r w:rsidRPr="001A6341">
        <w:t xml:space="preserve">Divers </w:t>
      </w:r>
      <w:r w:rsidR="004B4E71">
        <w:tab/>
      </w:r>
      <w:r w:rsidRPr="001A6341">
        <w:rPr>
          <w:noProof/>
        </w:rPr>
        <w:fldChar w:fldCharType="begin"/>
      </w:r>
      <w:r w:rsidRPr="001A6341">
        <w:rPr>
          <w:noProof/>
        </w:rPr>
        <w:instrText xml:space="preserve"> PAGEREF \h _Toc426377250 \* MERGEFORMAT </w:instrText>
      </w:r>
      <w:r w:rsidRPr="001A6341">
        <w:rPr>
          <w:noProof/>
        </w:rPr>
      </w:r>
      <w:r w:rsidRPr="001A6341">
        <w:rPr>
          <w:noProof/>
        </w:rPr>
        <w:fldChar w:fldCharType="separate"/>
      </w:r>
      <w:r w:rsidR="00B517D5">
        <w:rPr>
          <w:noProof/>
        </w:rPr>
        <w:t>5</w:t>
      </w:r>
      <w:r w:rsidRPr="001A6341">
        <w:rPr>
          <w:noProof/>
        </w:rPr>
        <w:fldChar w:fldCharType="end"/>
      </w:r>
    </w:p>
    <w:p w:rsidR="00601740" w:rsidRPr="001A6341" w:rsidRDefault="00601740" w:rsidP="00990976">
      <w:pPr>
        <w:pStyle w:val="TOC9"/>
        <w:numPr>
          <w:ilvl w:val="0"/>
          <w:numId w:val="1"/>
        </w:numPr>
        <w:rPr>
          <w:rFonts w:asciiTheme="minorHAnsi" w:eastAsiaTheme="minorEastAsia" w:hAnsiTheme="minorHAnsi" w:cstheme="minorBidi"/>
          <w:noProof/>
          <w:sz w:val="22"/>
          <w:szCs w:val="22"/>
        </w:rPr>
      </w:pPr>
      <w:r w:rsidRPr="001A6341">
        <w:t xml:space="preserve">Réserve de stabilité du marché </w:t>
      </w:r>
      <w:r w:rsidR="004B4E71">
        <w:tab/>
      </w:r>
      <w:r w:rsidRPr="001A6341">
        <w:rPr>
          <w:noProof/>
        </w:rPr>
        <w:fldChar w:fldCharType="begin"/>
      </w:r>
      <w:r w:rsidRPr="001A6341">
        <w:rPr>
          <w:noProof/>
        </w:rPr>
        <w:instrText xml:space="preserve"> PAGEREF \h _Toc426377251 \* MERGEFORMAT </w:instrText>
      </w:r>
      <w:r w:rsidRPr="001A6341">
        <w:rPr>
          <w:noProof/>
        </w:rPr>
      </w:r>
      <w:r w:rsidRPr="001A6341">
        <w:rPr>
          <w:noProof/>
        </w:rPr>
        <w:fldChar w:fldCharType="separate"/>
      </w:r>
      <w:r w:rsidR="00B517D5">
        <w:rPr>
          <w:noProof/>
        </w:rPr>
        <w:t>5</w:t>
      </w:r>
      <w:r w:rsidRPr="001A6341">
        <w:rPr>
          <w:noProof/>
        </w:rPr>
        <w:fldChar w:fldCharType="end"/>
      </w:r>
    </w:p>
    <w:p w:rsidR="00601740" w:rsidRPr="001A6341" w:rsidRDefault="00601740" w:rsidP="00601740">
      <w:pPr>
        <w:pStyle w:val="TOC9"/>
        <w:rPr>
          <w:rFonts w:asciiTheme="minorHAnsi" w:eastAsiaTheme="minorEastAsia" w:hAnsiTheme="minorHAnsi" w:cstheme="minorBidi"/>
          <w:noProof/>
          <w:sz w:val="22"/>
          <w:szCs w:val="22"/>
        </w:rPr>
      </w:pPr>
      <w:r w:rsidRPr="001A6341">
        <w:t xml:space="preserve">Réunions internationales tenues récemment </w:t>
      </w:r>
      <w:r w:rsidR="004B4E71">
        <w:tab/>
      </w:r>
      <w:r w:rsidRPr="001A6341">
        <w:rPr>
          <w:noProof/>
        </w:rPr>
        <w:fldChar w:fldCharType="begin"/>
      </w:r>
      <w:r w:rsidRPr="001A6341">
        <w:rPr>
          <w:noProof/>
        </w:rPr>
        <w:instrText xml:space="preserve"> PAGEREF \h _Toc426377252 \* MERGEFORMAT </w:instrText>
      </w:r>
      <w:r w:rsidRPr="001A6341">
        <w:rPr>
          <w:noProof/>
        </w:rPr>
      </w:r>
      <w:r w:rsidRPr="001A6341">
        <w:rPr>
          <w:noProof/>
        </w:rPr>
        <w:fldChar w:fldCharType="separate"/>
      </w:r>
      <w:r w:rsidR="00B517D5">
        <w:rPr>
          <w:noProof/>
        </w:rPr>
        <w:t>5</w:t>
      </w:r>
      <w:r w:rsidRPr="001A6341">
        <w:rPr>
          <w:noProof/>
        </w:rPr>
        <w:fldChar w:fldCharType="end"/>
      </w:r>
    </w:p>
    <w:p w:rsidR="00601740" w:rsidRPr="001A6341" w:rsidRDefault="00601740" w:rsidP="00601740">
      <w:pPr>
        <w:pStyle w:val="TOC9"/>
        <w:rPr>
          <w:rFonts w:asciiTheme="minorHAnsi" w:eastAsiaTheme="minorEastAsia" w:hAnsiTheme="minorHAnsi" w:cstheme="minorBidi"/>
          <w:noProof/>
          <w:sz w:val="22"/>
          <w:szCs w:val="22"/>
        </w:rPr>
      </w:pPr>
      <w:r w:rsidRPr="001A6341">
        <w:t xml:space="preserve">Plan d'investissement </w:t>
      </w:r>
      <w:r w:rsidR="004B4E71">
        <w:tab/>
      </w:r>
      <w:r w:rsidRPr="001A6341">
        <w:rPr>
          <w:noProof/>
        </w:rPr>
        <w:fldChar w:fldCharType="begin"/>
      </w:r>
      <w:r w:rsidRPr="001A6341">
        <w:rPr>
          <w:noProof/>
        </w:rPr>
        <w:instrText xml:space="preserve"> PAGEREF \h _Toc426377253 \* MERGEFORMAT </w:instrText>
      </w:r>
      <w:r w:rsidRPr="001A6341">
        <w:rPr>
          <w:noProof/>
        </w:rPr>
      </w:r>
      <w:r w:rsidRPr="001A6341">
        <w:rPr>
          <w:noProof/>
        </w:rPr>
        <w:fldChar w:fldCharType="separate"/>
      </w:r>
      <w:r w:rsidR="00B517D5">
        <w:rPr>
          <w:noProof/>
        </w:rPr>
        <w:t>5</w:t>
      </w:r>
      <w:r w:rsidRPr="001A6341">
        <w:rPr>
          <w:noProof/>
        </w:rPr>
        <w:fldChar w:fldCharType="end"/>
      </w:r>
    </w:p>
    <w:p w:rsidR="00601740" w:rsidRPr="001A6341" w:rsidRDefault="00601740" w:rsidP="00601740">
      <w:pPr>
        <w:pStyle w:val="TOC9"/>
        <w:rPr>
          <w:rFonts w:asciiTheme="minorHAnsi" w:eastAsiaTheme="minorEastAsia" w:hAnsiTheme="minorHAnsi" w:cstheme="minorBidi"/>
          <w:noProof/>
          <w:sz w:val="22"/>
          <w:szCs w:val="22"/>
        </w:rPr>
      </w:pPr>
      <w:r w:rsidRPr="001A6341">
        <w:t xml:space="preserve">La charte de Lisbonne </w:t>
      </w:r>
      <w:r w:rsidR="004B4E71">
        <w:tab/>
      </w:r>
      <w:r w:rsidRPr="001A6341">
        <w:rPr>
          <w:noProof/>
        </w:rPr>
        <w:fldChar w:fldCharType="begin"/>
      </w:r>
      <w:r w:rsidRPr="001A6341">
        <w:rPr>
          <w:noProof/>
        </w:rPr>
        <w:instrText xml:space="preserve"> PAGEREF \h _Toc426377254 \* MERGEFORMAT </w:instrText>
      </w:r>
      <w:r w:rsidRPr="001A6341">
        <w:rPr>
          <w:noProof/>
        </w:rPr>
      </w:r>
      <w:r w:rsidRPr="001A6341">
        <w:rPr>
          <w:noProof/>
        </w:rPr>
        <w:fldChar w:fldCharType="separate"/>
      </w:r>
      <w:r w:rsidR="00B517D5">
        <w:rPr>
          <w:noProof/>
        </w:rPr>
        <w:t>6</w:t>
      </w:r>
      <w:r w:rsidRPr="001A6341">
        <w:rPr>
          <w:noProof/>
        </w:rPr>
        <w:fldChar w:fldCharType="end"/>
      </w:r>
    </w:p>
    <w:p w:rsidR="00601740" w:rsidRPr="001A6341" w:rsidRDefault="00601740" w:rsidP="00601740">
      <w:pPr>
        <w:pStyle w:val="TOC9"/>
      </w:pPr>
      <w:r w:rsidRPr="001A6341">
        <w:t xml:space="preserve">Programme de travail de la future présidence </w:t>
      </w:r>
      <w:r w:rsidR="004B4E71">
        <w:tab/>
      </w:r>
      <w:r w:rsidRPr="001A6341">
        <w:rPr>
          <w:noProof/>
        </w:rPr>
        <w:fldChar w:fldCharType="begin"/>
      </w:r>
      <w:r w:rsidRPr="001A6341">
        <w:rPr>
          <w:noProof/>
        </w:rPr>
        <w:instrText xml:space="preserve"> PAGEREF \h _Toc426377255 \* MERGEFORMAT </w:instrText>
      </w:r>
      <w:r w:rsidRPr="001A6341">
        <w:rPr>
          <w:noProof/>
        </w:rPr>
      </w:r>
      <w:r w:rsidRPr="001A6341">
        <w:rPr>
          <w:noProof/>
        </w:rPr>
        <w:fldChar w:fldCharType="separate"/>
      </w:r>
      <w:r w:rsidR="00B517D5">
        <w:rPr>
          <w:noProof/>
        </w:rPr>
        <w:t>6</w:t>
      </w:r>
      <w:r w:rsidRPr="001A6341">
        <w:rPr>
          <w:noProof/>
        </w:rPr>
        <w:fldChar w:fldCharType="end"/>
      </w:r>
    </w:p>
    <w:p w:rsidR="00601740" w:rsidRPr="001A6341" w:rsidRDefault="00601740" w:rsidP="00601740">
      <w:pPr>
        <w:pStyle w:val="TOC5"/>
      </w:pPr>
      <w:r w:rsidRPr="001A6341">
        <w:t>AUTRES POINTS APPROUVÉS</w:t>
      </w:r>
    </w:p>
    <w:p w:rsidR="00601740" w:rsidRPr="001A6341" w:rsidRDefault="00601740" w:rsidP="00601740">
      <w:pPr>
        <w:pStyle w:val="TOC8"/>
        <w:rPr>
          <w:rFonts w:asciiTheme="minorHAnsi" w:eastAsiaTheme="minorEastAsia" w:hAnsiTheme="minorHAnsi" w:cstheme="minorBidi"/>
          <w:i w:val="0"/>
          <w:noProof/>
          <w:sz w:val="22"/>
          <w:szCs w:val="22"/>
        </w:rPr>
      </w:pPr>
      <w:r w:rsidRPr="001A6341">
        <w:rPr>
          <w:rFonts w:asciiTheme="majorBidi" w:hAnsiTheme="majorBidi" w:cstheme="majorBidi"/>
          <w:noProof/>
        </w:rPr>
        <w:t>UNION DOUANIÈRE</w:t>
      </w:r>
    </w:p>
    <w:p w:rsidR="00601740" w:rsidRPr="001A6341" w:rsidRDefault="00601740" w:rsidP="00601740">
      <w:pPr>
        <w:pStyle w:val="TOC9"/>
        <w:rPr>
          <w:rFonts w:asciiTheme="minorHAnsi" w:eastAsiaTheme="minorEastAsia" w:hAnsiTheme="minorHAnsi" w:cstheme="minorBidi"/>
          <w:noProof/>
          <w:sz w:val="22"/>
          <w:szCs w:val="22"/>
        </w:rPr>
      </w:pPr>
      <w:r w:rsidRPr="001A6341">
        <w:t xml:space="preserve">Amélioration des mesures de lutte contre la fraude </w:t>
      </w:r>
      <w:r w:rsidR="004B4E71">
        <w:tab/>
      </w:r>
      <w:r w:rsidRPr="001A6341">
        <w:rPr>
          <w:noProof/>
        </w:rPr>
        <w:fldChar w:fldCharType="begin"/>
      </w:r>
      <w:r w:rsidRPr="001A6341">
        <w:rPr>
          <w:noProof/>
        </w:rPr>
        <w:instrText xml:space="preserve"> PAGEREF \h _Toc426377257 \* MERGEFORMAT </w:instrText>
      </w:r>
      <w:r w:rsidRPr="001A6341">
        <w:rPr>
          <w:noProof/>
        </w:rPr>
      </w:r>
      <w:r w:rsidRPr="001A6341">
        <w:rPr>
          <w:noProof/>
        </w:rPr>
        <w:fldChar w:fldCharType="separate"/>
      </w:r>
      <w:r w:rsidR="00B517D5">
        <w:rPr>
          <w:noProof/>
        </w:rPr>
        <w:t>7</w:t>
      </w:r>
      <w:r w:rsidRPr="001A6341">
        <w:rPr>
          <w:noProof/>
        </w:rPr>
        <w:fldChar w:fldCharType="end"/>
      </w:r>
    </w:p>
    <w:p w:rsidR="00601740" w:rsidRPr="001A6341" w:rsidRDefault="00601740" w:rsidP="00601740">
      <w:pPr>
        <w:pStyle w:val="TOC8"/>
        <w:rPr>
          <w:rFonts w:asciiTheme="minorHAnsi" w:eastAsiaTheme="minorEastAsia" w:hAnsiTheme="minorHAnsi" w:cstheme="minorBidi"/>
          <w:i w:val="0"/>
          <w:noProof/>
          <w:sz w:val="22"/>
          <w:szCs w:val="22"/>
        </w:rPr>
      </w:pPr>
      <w:r w:rsidRPr="001A6341">
        <w:rPr>
          <w:rFonts w:asciiTheme="majorBidi" w:hAnsiTheme="majorBidi" w:cstheme="majorBidi"/>
          <w:noProof/>
        </w:rPr>
        <w:t>ESPACE ÉCONOMIQUE EUROPÉEN</w:t>
      </w:r>
    </w:p>
    <w:p w:rsidR="00601740" w:rsidRPr="001A6341" w:rsidRDefault="00601740" w:rsidP="00601740">
      <w:pPr>
        <w:pStyle w:val="TOC9"/>
        <w:rPr>
          <w:rFonts w:asciiTheme="minorHAnsi" w:eastAsiaTheme="minorEastAsia" w:hAnsiTheme="minorHAnsi" w:cstheme="minorBidi"/>
          <w:noProof/>
          <w:sz w:val="22"/>
          <w:szCs w:val="22"/>
        </w:rPr>
      </w:pPr>
      <w:r w:rsidRPr="001A6341">
        <w:t xml:space="preserve">Suisse - Codification du règlement relatif à des mesures de sauvegarde </w:t>
      </w:r>
      <w:r w:rsidR="004B4E71">
        <w:tab/>
      </w:r>
      <w:r w:rsidRPr="001A6341">
        <w:rPr>
          <w:noProof/>
        </w:rPr>
        <w:fldChar w:fldCharType="begin"/>
      </w:r>
      <w:r w:rsidRPr="001A6341">
        <w:rPr>
          <w:noProof/>
        </w:rPr>
        <w:instrText xml:space="preserve"> PAGEREF \h _Toc426377259 \* MERGEFORMAT </w:instrText>
      </w:r>
      <w:r w:rsidRPr="001A6341">
        <w:rPr>
          <w:noProof/>
        </w:rPr>
      </w:r>
      <w:r w:rsidRPr="001A6341">
        <w:rPr>
          <w:noProof/>
        </w:rPr>
        <w:fldChar w:fldCharType="separate"/>
      </w:r>
      <w:r w:rsidR="00B517D5">
        <w:rPr>
          <w:noProof/>
        </w:rPr>
        <w:t>7</w:t>
      </w:r>
      <w:r w:rsidRPr="001A6341">
        <w:rPr>
          <w:noProof/>
        </w:rPr>
        <w:fldChar w:fldCharType="end"/>
      </w:r>
    </w:p>
    <w:p w:rsidR="00601740" w:rsidRPr="001A6341" w:rsidRDefault="00601740" w:rsidP="00601740">
      <w:pPr>
        <w:pStyle w:val="TOC8"/>
        <w:rPr>
          <w:rFonts w:asciiTheme="minorHAnsi" w:eastAsiaTheme="minorEastAsia" w:hAnsiTheme="minorHAnsi" w:cstheme="minorBidi"/>
          <w:i w:val="0"/>
          <w:noProof/>
          <w:sz w:val="22"/>
          <w:szCs w:val="22"/>
        </w:rPr>
      </w:pPr>
      <w:r w:rsidRPr="001A6341">
        <w:rPr>
          <w:rFonts w:asciiTheme="majorBidi" w:hAnsiTheme="majorBidi" w:cstheme="majorBidi"/>
          <w:noProof/>
        </w:rPr>
        <w:t>TRANSPARENCE</w:t>
      </w:r>
    </w:p>
    <w:p w:rsidR="00601740" w:rsidRPr="001A6341" w:rsidRDefault="00601740" w:rsidP="00601740">
      <w:pPr>
        <w:pStyle w:val="TOC9"/>
      </w:pPr>
      <w:r w:rsidRPr="001A6341">
        <w:t xml:space="preserve">Accès du public aux documents </w:t>
      </w:r>
      <w:r w:rsidR="004B4E71">
        <w:tab/>
      </w:r>
      <w:r w:rsidRPr="001A6341">
        <w:rPr>
          <w:noProof/>
        </w:rPr>
        <w:fldChar w:fldCharType="begin"/>
      </w:r>
      <w:r w:rsidRPr="001A6341">
        <w:rPr>
          <w:noProof/>
        </w:rPr>
        <w:instrText xml:space="preserve"> PAGEREF \h _Toc426377261 \* MERGEFORMAT </w:instrText>
      </w:r>
      <w:r w:rsidRPr="001A6341">
        <w:rPr>
          <w:noProof/>
        </w:rPr>
      </w:r>
      <w:r w:rsidRPr="001A6341">
        <w:rPr>
          <w:noProof/>
        </w:rPr>
        <w:fldChar w:fldCharType="separate"/>
      </w:r>
      <w:r w:rsidR="00B517D5">
        <w:rPr>
          <w:noProof/>
        </w:rPr>
        <w:t>8</w:t>
      </w:r>
      <w:r w:rsidRPr="001A6341">
        <w:rPr>
          <w:noProof/>
        </w:rPr>
        <w:fldChar w:fldCharType="end"/>
      </w:r>
    </w:p>
    <w:p w:rsidR="00601740" w:rsidRPr="001A6341" w:rsidRDefault="00601740" w:rsidP="00434EED">
      <w:pPr>
        <w:rPr>
          <w:rFonts w:asciiTheme="majorBidi" w:hAnsiTheme="majorBidi" w:cstheme="majorBidi"/>
        </w:rPr>
        <w:sectPr w:rsidR="00601740" w:rsidRPr="001A6341" w:rsidSect="00B517D5">
          <w:headerReference w:type="default" r:id="rId16"/>
          <w:headerReference w:type="first" r:id="rId17"/>
          <w:footerReference w:type="first" r:id="rId18"/>
          <w:footnotePr>
            <w:numRestart w:val="eachPage"/>
          </w:footnotePr>
          <w:pgSz w:w="11907" w:h="16840" w:code="9"/>
          <w:pgMar w:top="1134" w:right="1134" w:bottom="1134" w:left="1134" w:header="567" w:footer="567" w:gutter="0"/>
          <w:cols w:space="708"/>
          <w:titlePg/>
          <w:docGrid w:linePitch="360"/>
        </w:sectPr>
      </w:pPr>
    </w:p>
    <w:p w:rsidR="00434EED" w:rsidRPr="001A6341" w:rsidRDefault="005E71D6" w:rsidP="005E71D6">
      <w:pPr>
        <w:pStyle w:val="ItemsDebatedHeading"/>
        <w:rPr>
          <w:rFonts w:asciiTheme="majorBidi" w:hAnsiTheme="majorBidi" w:cstheme="majorBidi"/>
        </w:rPr>
      </w:pPr>
      <w:r w:rsidRPr="001A6341">
        <w:lastRenderedPageBreak/>
        <w:t>POINTS AYANT FAIT L'OBJET D'UN DÉBAT</w:t>
      </w:r>
    </w:p>
    <w:p w:rsidR="00DE1FBE" w:rsidRPr="001A6341" w:rsidRDefault="00DE1FBE" w:rsidP="00B80833">
      <w:pPr>
        <w:pStyle w:val="ItemDebated"/>
        <w:rPr>
          <w:rFonts w:asciiTheme="majorBidi" w:hAnsiTheme="majorBidi" w:cstheme="majorBidi"/>
        </w:rPr>
      </w:pPr>
      <w:bookmarkStart w:id="5" w:name="_Toc426377248"/>
      <w:r w:rsidRPr="001A6341">
        <w:rPr>
          <w:rFonts w:asciiTheme="majorBidi" w:hAnsiTheme="majorBidi" w:cstheme="majorBidi"/>
        </w:rPr>
        <w:t>Émissions nationales de certains polluants (directive PEN)</w:t>
      </w:r>
      <w:bookmarkEnd w:id="5"/>
    </w:p>
    <w:p w:rsidR="00DE1FBE" w:rsidRPr="001A6341" w:rsidRDefault="00DE1FBE" w:rsidP="00504CA0">
      <w:pPr>
        <w:rPr>
          <w:rFonts w:asciiTheme="majorBidi" w:hAnsiTheme="majorBidi" w:cstheme="majorBidi"/>
        </w:rPr>
      </w:pPr>
      <w:r w:rsidRPr="001A6341">
        <w:rPr>
          <w:rFonts w:asciiTheme="majorBidi" w:hAnsiTheme="majorBidi" w:cstheme="majorBidi"/>
        </w:rPr>
        <w:t>Les ministres ont tenu un débat d'orientation sur la proposition de directive concernant la réduction des émissions nationales de certains polluants atmosphériques, qui s'inscrit dans le cadre du programme "Air pur pour l'Europe".</w:t>
      </w:r>
    </w:p>
    <w:p w:rsidR="00DE1FBE" w:rsidRPr="001A6341" w:rsidRDefault="00B517D5" w:rsidP="00504CA0">
      <w:pPr>
        <w:rPr>
          <w:rFonts w:asciiTheme="majorBidi" w:hAnsiTheme="majorBidi" w:cstheme="majorBidi"/>
        </w:rPr>
      </w:pPr>
      <w:hyperlink r:id="rId19">
        <w:r w:rsidR="00633CCD" w:rsidRPr="001A6341">
          <w:rPr>
            <w:rStyle w:val="Hyperlink"/>
            <w:rFonts w:asciiTheme="majorBidi" w:hAnsiTheme="majorBidi" w:cstheme="majorBidi"/>
          </w:rPr>
          <w:t xml:space="preserve">Proposition de directive concernant la réduction des émissions nationales de certains polluants atmosphériques, présentée par la Commission </w:t>
        </w:r>
      </w:hyperlink>
    </w:p>
    <w:p w:rsidR="00DF0845" w:rsidRPr="001A6341" w:rsidRDefault="00DE1FBE" w:rsidP="00453F23">
      <w:pPr>
        <w:pStyle w:val="s29"/>
        <w:spacing w:before="90" w:beforeAutospacing="0" w:after="180" w:afterAutospacing="0"/>
      </w:pPr>
      <w:r w:rsidRPr="001A6341">
        <w:rPr>
          <w:rFonts w:asciiTheme="majorBidi" w:hAnsiTheme="majorBidi" w:cstheme="majorBidi"/>
        </w:rPr>
        <w:t xml:space="preserve">La pollution atmosphérique est la principale cause environnementale de mortalité dans l'UE, provoquant 400 000 décès prématurés chaque année. </w:t>
      </w:r>
      <w:r w:rsidRPr="001A6341">
        <w:rPr>
          <w:rStyle w:val="bumpedfont15"/>
        </w:rPr>
        <w:t>La proposition de la Commission établit des objectifs en matière de réduction des émissions afin de réduire le nombre de décès prématurés d'au moins 50 % d'ici 2030. Les ministres ont souligné l'importance de cet objectif mais ont demandé que l'on fixe des objectifs réalistes et réalisables, certains souhaitant un abaissement des plafonds nationaux envisagés pour certains polluants.</w:t>
      </w:r>
    </w:p>
    <w:p w:rsidR="00DE1FBE" w:rsidRPr="001A6341" w:rsidRDefault="00DF0845" w:rsidP="00453F23">
      <w:pPr>
        <w:rPr>
          <w:rFonts w:asciiTheme="majorBidi" w:hAnsiTheme="majorBidi" w:cstheme="majorBidi"/>
        </w:rPr>
      </w:pPr>
      <w:r w:rsidRPr="001A6341">
        <w:rPr>
          <w:rFonts w:asciiTheme="majorBidi" w:hAnsiTheme="majorBidi" w:cstheme="majorBidi"/>
        </w:rPr>
        <w:t>Plusieurs ministres ont préconisé une plus grande souplesse pour les objectifs à long terme, afin de tenir compte des incertitudes liées aux évolutions à venir, par exemple, en ce qui concerne la situation économique ou les progrès techniques. D'autres ministres ont néanmoins souligné qu'il était nécessaire de conserver des objectifs contraignants et ont mis en garde contre le fait qu'une trop grande souplesse risquerait de nuire au niveau d'ambition de la directive.</w:t>
      </w:r>
    </w:p>
    <w:p w:rsidR="00DE1FBE" w:rsidRPr="001A6341" w:rsidRDefault="00DE1FBE">
      <w:pPr>
        <w:rPr>
          <w:rFonts w:asciiTheme="majorBidi" w:hAnsiTheme="majorBidi" w:cstheme="majorBidi"/>
        </w:rPr>
      </w:pPr>
      <w:r w:rsidRPr="001A6341">
        <w:rPr>
          <w:rFonts w:asciiTheme="majorBidi" w:hAnsiTheme="majorBidi" w:cstheme="majorBidi"/>
        </w:rPr>
        <w:t>Les États membres ont exprimé des inquiétudes en ce qui concerne la manière dont certains secteurs pourraient être affectés par la directive, en particulier l'agriculture, et ils ont souligné qu'il faudra tenir compte de ces éléments lors de la détermination des limites d'émissions.</w:t>
      </w:r>
    </w:p>
    <w:p w:rsidR="00DE1FBE" w:rsidRPr="001A6341" w:rsidRDefault="00DE1FBE" w:rsidP="00DF0845">
      <w:pPr>
        <w:rPr>
          <w:rFonts w:asciiTheme="majorBidi" w:hAnsiTheme="majorBidi" w:cstheme="majorBidi"/>
        </w:rPr>
      </w:pPr>
      <w:r w:rsidRPr="001A6341">
        <w:rPr>
          <w:rFonts w:asciiTheme="majorBidi" w:hAnsiTheme="majorBidi" w:cstheme="majorBidi"/>
        </w:rPr>
        <w:t>Certains ministres ont accueilli favorablement la proposition visant à exclure le méthane du champ d'application de cette directive, comme prévu dans l'actuel texte de compromis de la présidence. Cette proposition répondait aux préoccupations qui avaient été exprimées concernant d'éventuels chevauchements avec les engagements relatifs aux objectifs en matière de réduction des émissions de gaz à effet de serre.</w:t>
      </w:r>
    </w:p>
    <w:p w:rsidR="00DE1FBE" w:rsidRPr="001A6341" w:rsidRDefault="00B517D5" w:rsidP="00504CA0">
      <w:pPr>
        <w:rPr>
          <w:rFonts w:asciiTheme="majorBidi" w:hAnsiTheme="majorBidi" w:cstheme="majorBidi"/>
        </w:rPr>
      </w:pPr>
      <w:hyperlink r:id="rId20">
        <w:r w:rsidR="00633CCD" w:rsidRPr="001A6341">
          <w:rPr>
            <w:rStyle w:val="Hyperlink"/>
            <w:rFonts w:asciiTheme="majorBidi" w:hAnsiTheme="majorBidi" w:cstheme="majorBidi"/>
          </w:rPr>
          <w:t>Texte de compromis de la présidence lettone concernant la proposition de réexamen de la directive PEN</w:t>
        </w:r>
      </w:hyperlink>
    </w:p>
    <w:p w:rsidR="00DE1FBE" w:rsidRPr="001A6341" w:rsidRDefault="00DE1FBE">
      <w:pPr>
        <w:rPr>
          <w:rFonts w:asciiTheme="majorBidi" w:hAnsiTheme="majorBidi" w:cstheme="majorBidi"/>
        </w:rPr>
      </w:pPr>
      <w:r w:rsidRPr="001A6341">
        <w:rPr>
          <w:rFonts w:asciiTheme="majorBidi" w:hAnsiTheme="majorBidi" w:cstheme="majorBidi"/>
        </w:rPr>
        <w:t>Les résultats de ces travaux alimenteront la préparation de la position du Conseil dans la perspective des futures négociations avec le Parlement européen. La commission ENVI du Parlement européen devrait voter sur ce rapport les 15 et 16 juillet et un vote en plénière pourrait avoir lieu dès le mois de septembre 2015.</w:t>
      </w:r>
    </w:p>
    <w:p w:rsidR="002E434C" w:rsidRPr="001A6341" w:rsidRDefault="00B80833" w:rsidP="00B80833">
      <w:pPr>
        <w:pStyle w:val="ItemDebated"/>
        <w:rPr>
          <w:rFonts w:asciiTheme="majorBidi" w:hAnsiTheme="majorBidi" w:cstheme="majorBidi"/>
        </w:rPr>
      </w:pPr>
      <w:r w:rsidRPr="001A6341">
        <w:br w:type="page"/>
      </w:r>
      <w:bookmarkStart w:id="6" w:name="_Toc426377249"/>
      <w:r w:rsidRPr="001A6341">
        <w:rPr>
          <w:rFonts w:asciiTheme="majorBidi" w:hAnsiTheme="majorBidi" w:cstheme="majorBidi"/>
        </w:rPr>
        <w:lastRenderedPageBreak/>
        <w:t>Le chemin de Paris</w:t>
      </w:r>
      <w:bookmarkEnd w:id="6"/>
    </w:p>
    <w:p w:rsidR="00DE1FBE" w:rsidRPr="001A6341" w:rsidRDefault="00DE1FBE" w:rsidP="004B4E71">
      <w:pPr>
        <w:spacing w:after="120"/>
        <w:rPr>
          <w:rFonts w:asciiTheme="majorBidi" w:hAnsiTheme="majorBidi" w:cstheme="majorBidi"/>
        </w:rPr>
      </w:pPr>
      <w:r w:rsidRPr="001A6341">
        <w:rPr>
          <w:rFonts w:asciiTheme="majorBidi" w:hAnsiTheme="majorBidi" w:cstheme="majorBidi"/>
        </w:rPr>
        <w:t>Le Conseil s'est penché sur les préparatifs menés en vue de la Convention-cadre des Nations unies sur les changements climatiques, qui se tiendra à Paris en décembre 2015 (COP 21), en tenant compte également des résultats des dernières réunions internationales sur les changements climatiques, qui ont eu lieu à Genève et à Bonn.</w:t>
      </w:r>
    </w:p>
    <w:p w:rsidR="00DE1FBE" w:rsidRPr="001A6341" w:rsidRDefault="00DE1FBE" w:rsidP="004B4E71">
      <w:pPr>
        <w:spacing w:after="120"/>
        <w:rPr>
          <w:rFonts w:asciiTheme="majorBidi" w:hAnsiTheme="majorBidi" w:cstheme="majorBidi"/>
        </w:rPr>
      </w:pPr>
      <w:r w:rsidRPr="001A6341">
        <w:rPr>
          <w:rFonts w:asciiTheme="majorBidi" w:hAnsiTheme="majorBidi" w:cstheme="majorBidi"/>
        </w:rPr>
        <w:t>La conférence de Paris a pour objectif de faire adopter un accord juridiquement contraignant (l'"accord de Paris"), qui devrait être mis en œuvre à partir de 2020, de préférence sous la forme d'un nouveau protocole qui sera applicable à tous et qui visera à assurer que l'augmentation de la température soit de moins de 2° C au niveau mondial par rapport aux niveaux de l'ère préindustrielle.</w:t>
      </w:r>
    </w:p>
    <w:p w:rsidR="00DE1FBE" w:rsidRPr="001A6341" w:rsidRDefault="00DE1FBE" w:rsidP="004B4E71">
      <w:pPr>
        <w:spacing w:after="120"/>
        <w:rPr>
          <w:rFonts w:asciiTheme="majorBidi" w:hAnsiTheme="majorBidi" w:cstheme="majorBidi"/>
        </w:rPr>
      </w:pPr>
      <w:r w:rsidRPr="001A6341">
        <w:rPr>
          <w:rFonts w:asciiTheme="majorBidi" w:hAnsiTheme="majorBidi" w:cstheme="majorBidi"/>
        </w:rPr>
        <w:t>Les principaux résultats du débat sont les suivants:</w:t>
      </w:r>
    </w:p>
    <w:p w:rsidR="00DE1FBE" w:rsidRPr="001A6341" w:rsidRDefault="00E24520" w:rsidP="004B4E71">
      <w:pPr>
        <w:pStyle w:val="Tiret0"/>
        <w:numPr>
          <w:ilvl w:val="0"/>
          <w:numId w:val="2"/>
        </w:numPr>
        <w:spacing w:after="120"/>
        <w:rPr>
          <w:rFonts w:asciiTheme="majorBidi" w:hAnsiTheme="majorBidi" w:cstheme="majorBidi"/>
        </w:rPr>
      </w:pPr>
      <w:r w:rsidRPr="001A6341">
        <w:rPr>
          <w:rFonts w:asciiTheme="majorBidi" w:hAnsiTheme="majorBidi" w:cstheme="majorBidi"/>
        </w:rPr>
        <w:t>il est nécessaire d'accélérer le rythme des négociations, de renforcer la diplomatie climatique au plus haut niveau et de rationaliser le texte final avant Paris;</w:t>
      </w:r>
    </w:p>
    <w:p w:rsidR="00DE1FBE" w:rsidRPr="001A6341" w:rsidRDefault="00DE1FBE" w:rsidP="004B4E71">
      <w:pPr>
        <w:pStyle w:val="Tiret0"/>
        <w:spacing w:after="120"/>
        <w:rPr>
          <w:rFonts w:asciiTheme="majorBidi" w:hAnsiTheme="majorBidi" w:cstheme="majorBidi"/>
        </w:rPr>
      </w:pPr>
      <w:r w:rsidRPr="001A6341">
        <w:rPr>
          <w:rFonts w:asciiTheme="majorBidi" w:hAnsiTheme="majorBidi" w:cstheme="majorBidi"/>
        </w:rPr>
        <w:t>les changements climatiques devraient constituer une priorité stratégique lors des sommets internationaux, notamment aux niveaux du G7 et du G20 ainsi que dans le cadre de la coopération au développement;</w:t>
      </w:r>
    </w:p>
    <w:p w:rsidR="00DE1FBE" w:rsidRPr="001A6341" w:rsidRDefault="00DE1FBE" w:rsidP="004B4E71">
      <w:pPr>
        <w:pStyle w:val="Tiret0"/>
        <w:spacing w:after="120"/>
        <w:rPr>
          <w:rFonts w:asciiTheme="majorBidi" w:hAnsiTheme="majorBidi" w:cstheme="majorBidi"/>
        </w:rPr>
      </w:pPr>
      <w:r w:rsidRPr="001A6341">
        <w:rPr>
          <w:rFonts w:asciiTheme="majorBidi" w:hAnsiTheme="majorBidi" w:cstheme="majorBidi"/>
        </w:rPr>
        <w:t>le futur accord de Paris devrait être juridiquement contraignant et il faudrait faire en sorte qu'il bénéficie de la plus large participation possible;</w:t>
      </w:r>
    </w:p>
    <w:p w:rsidR="00DE1FBE" w:rsidRPr="001A6341" w:rsidRDefault="00DE1FBE" w:rsidP="004B4E71">
      <w:pPr>
        <w:pStyle w:val="Tiret0"/>
        <w:spacing w:after="120"/>
        <w:rPr>
          <w:rFonts w:asciiTheme="majorBidi" w:hAnsiTheme="majorBidi" w:cstheme="majorBidi"/>
        </w:rPr>
      </w:pPr>
      <w:r w:rsidRPr="001A6341">
        <w:rPr>
          <w:rFonts w:asciiTheme="majorBidi" w:hAnsiTheme="majorBidi" w:cstheme="majorBidi"/>
        </w:rPr>
        <w:t>l'accord doit respecter et renforcer les principes et les objec</w:t>
      </w:r>
      <w:r w:rsidR="004B4E71">
        <w:rPr>
          <w:rFonts w:asciiTheme="majorBidi" w:hAnsiTheme="majorBidi" w:cstheme="majorBidi"/>
        </w:rPr>
        <w:t>tifs de la Convention-cadre des </w:t>
      </w:r>
      <w:r w:rsidRPr="001A6341">
        <w:rPr>
          <w:rFonts w:asciiTheme="majorBidi" w:hAnsiTheme="majorBidi" w:cstheme="majorBidi"/>
        </w:rPr>
        <w:t>Nations unies sur les changements climatiques, en particulier l'objectif des 2° C;</w:t>
      </w:r>
    </w:p>
    <w:p w:rsidR="00DE1FBE" w:rsidRPr="001A6341" w:rsidRDefault="00DE1FBE" w:rsidP="004B4E71">
      <w:pPr>
        <w:pStyle w:val="Tiret0"/>
        <w:spacing w:after="120"/>
        <w:rPr>
          <w:rFonts w:asciiTheme="majorBidi" w:hAnsiTheme="majorBidi" w:cstheme="majorBidi"/>
        </w:rPr>
      </w:pPr>
      <w:r w:rsidRPr="001A6341">
        <w:rPr>
          <w:rFonts w:asciiTheme="majorBidi" w:hAnsiTheme="majorBidi" w:cstheme="majorBidi"/>
        </w:rPr>
        <w:t>le financement de la lutte contre le changement climatique devrait promouvoir les investissements dans les programmes et les politiques de réduction des émissions favorisant la résilience au changement climatique, et constituera un élément essentiel de l'accord, en particulier en ce qui concerne les questions de l'atténuation du changement climatique et de l'adaptation à celui-ci;</w:t>
      </w:r>
    </w:p>
    <w:p w:rsidR="00FF2330" w:rsidRPr="001A6341" w:rsidRDefault="00FF2330" w:rsidP="004B4E71">
      <w:pPr>
        <w:pStyle w:val="Tiret0"/>
        <w:spacing w:after="120"/>
        <w:rPr>
          <w:rFonts w:asciiTheme="majorBidi" w:hAnsiTheme="majorBidi" w:cstheme="majorBidi"/>
        </w:rPr>
      </w:pPr>
      <w:r w:rsidRPr="001A6341">
        <w:rPr>
          <w:rFonts w:asciiTheme="majorBidi" w:hAnsiTheme="majorBidi" w:cstheme="majorBidi"/>
        </w:rPr>
        <w:t>un cadre en matière de transparence et de responsabilité devrait être défini pour garantir que chaque partie concrétise ses engagements et se trouve sur la voie de la réalisation de ses objectifs;</w:t>
      </w:r>
    </w:p>
    <w:p w:rsidR="00DE1FBE" w:rsidRPr="001A6341" w:rsidRDefault="00FF2330" w:rsidP="004B4E71">
      <w:pPr>
        <w:pStyle w:val="Tiret0"/>
        <w:spacing w:after="120"/>
        <w:rPr>
          <w:rFonts w:asciiTheme="majorBidi" w:hAnsiTheme="majorBidi" w:cstheme="majorBidi"/>
        </w:rPr>
      </w:pPr>
      <w:r w:rsidRPr="001A6341">
        <w:rPr>
          <w:rFonts w:asciiTheme="majorBidi" w:hAnsiTheme="majorBidi" w:cstheme="majorBidi"/>
        </w:rPr>
        <w:t>un mécanisme dynamique devrait être mis en place pour p</w:t>
      </w:r>
      <w:r w:rsidR="008A0968">
        <w:rPr>
          <w:rFonts w:asciiTheme="majorBidi" w:hAnsiTheme="majorBidi" w:cstheme="majorBidi"/>
        </w:rPr>
        <w:t>ermettre, tous les cinq ans, le </w:t>
      </w:r>
      <w:r w:rsidRPr="001A6341">
        <w:rPr>
          <w:rFonts w:asciiTheme="majorBidi" w:hAnsiTheme="majorBidi" w:cstheme="majorBidi"/>
        </w:rPr>
        <w:t>réexamen du niveau d'ambition de l'accord;</w:t>
      </w:r>
    </w:p>
    <w:p w:rsidR="00DE1FBE" w:rsidRPr="001A6341" w:rsidRDefault="00DE1FBE" w:rsidP="004B4E71">
      <w:pPr>
        <w:pStyle w:val="Tiret0"/>
        <w:spacing w:after="120"/>
        <w:rPr>
          <w:rFonts w:asciiTheme="majorBidi" w:hAnsiTheme="majorBidi" w:cstheme="majorBidi"/>
        </w:rPr>
      </w:pPr>
      <w:r w:rsidRPr="001A6341">
        <w:rPr>
          <w:rFonts w:asciiTheme="majorBidi" w:hAnsiTheme="majorBidi" w:cstheme="majorBidi"/>
        </w:rPr>
        <w:t>il conviendrait d'accroître le développement et le transfert de technologie, le renforcement des capacités et la transparence des actions.</w:t>
      </w:r>
    </w:p>
    <w:p w:rsidR="00DE1FBE" w:rsidRPr="001A6341" w:rsidRDefault="00243784" w:rsidP="004B4E71">
      <w:pPr>
        <w:rPr>
          <w:rFonts w:asciiTheme="majorBidi" w:hAnsiTheme="majorBidi" w:cstheme="majorBidi"/>
        </w:rPr>
      </w:pPr>
      <w:r w:rsidRPr="001A6341">
        <w:rPr>
          <w:rFonts w:asciiTheme="majorBidi" w:hAnsiTheme="majorBidi" w:cstheme="majorBidi"/>
        </w:rPr>
        <w:t>Le débat mené au sein du Conseil contribuera à l'élaboration de conclusions du Conseil établissant la position de l'UE en vue de la conférence de Paris sur l</w:t>
      </w:r>
      <w:r w:rsidR="008A0968">
        <w:rPr>
          <w:rFonts w:asciiTheme="majorBidi" w:hAnsiTheme="majorBidi" w:cstheme="majorBidi"/>
        </w:rPr>
        <w:t>es changements climatiques. Ces </w:t>
      </w:r>
      <w:r w:rsidRPr="001A6341">
        <w:rPr>
          <w:rFonts w:asciiTheme="majorBidi" w:hAnsiTheme="majorBidi" w:cstheme="majorBidi"/>
        </w:rPr>
        <w:t>conclusions devraient être adoptées lors de la session du Conseil "</w:t>
      </w:r>
      <w:r w:rsidR="004B4E71">
        <w:rPr>
          <w:rFonts w:asciiTheme="majorBidi" w:hAnsiTheme="majorBidi" w:cstheme="majorBidi"/>
        </w:rPr>
        <w:t>Environnement" du 18 </w:t>
      </w:r>
      <w:r w:rsidRPr="001A6341">
        <w:rPr>
          <w:rFonts w:asciiTheme="majorBidi" w:hAnsiTheme="majorBidi" w:cstheme="majorBidi"/>
        </w:rPr>
        <w:t>septembre</w:t>
      </w:r>
      <w:r w:rsidR="004B4E71">
        <w:rPr>
          <w:rFonts w:asciiTheme="majorBidi" w:hAnsiTheme="majorBidi" w:cstheme="majorBidi"/>
        </w:rPr>
        <w:t> </w:t>
      </w:r>
      <w:r w:rsidRPr="001A6341">
        <w:rPr>
          <w:rFonts w:asciiTheme="majorBidi" w:hAnsiTheme="majorBidi" w:cstheme="majorBidi"/>
        </w:rPr>
        <w:t>2015.</w:t>
      </w:r>
    </w:p>
    <w:p w:rsidR="00DE1FBE" w:rsidRPr="001A6341" w:rsidRDefault="00B80833" w:rsidP="00B80833">
      <w:pPr>
        <w:pStyle w:val="ItemDebated"/>
        <w:rPr>
          <w:rFonts w:asciiTheme="majorBidi" w:hAnsiTheme="majorBidi" w:cstheme="majorBidi"/>
        </w:rPr>
      </w:pPr>
      <w:r w:rsidRPr="001A6341">
        <w:br w:type="page"/>
      </w:r>
      <w:bookmarkStart w:id="7" w:name="_Toc426377250"/>
      <w:r w:rsidRPr="001A6341">
        <w:rPr>
          <w:rFonts w:asciiTheme="majorBidi" w:hAnsiTheme="majorBidi" w:cstheme="majorBidi"/>
        </w:rPr>
        <w:lastRenderedPageBreak/>
        <w:t>Divers</w:t>
      </w:r>
      <w:bookmarkEnd w:id="7"/>
    </w:p>
    <w:p w:rsidR="00DE1FBE" w:rsidRPr="001A6341" w:rsidRDefault="00DE1FBE" w:rsidP="00990976">
      <w:pPr>
        <w:pStyle w:val="Sub-sub-itemDebated"/>
        <w:numPr>
          <w:ilvl w:val="0"/>
          <w:numId w:val="3"/>
        </w:numPr>
        <w:rPr>
          <w:rFonts w:asciiTheme="majorBidi" w:hAnsiTheme="majorBidi" w:cstheme="majorBidi"/>
        </w:rPr>
      </w:pPr>
      <w:bookmarkStart w:id="8" w:name="_Toc426377251"/>
      <w:r w:rsidRPr="001A6341">
        <w:rPr>
          <w:rFonts w:asciiTheme="majorBidi" w:hAnsiTheme="majorBidi" w:cstheme="majorBidi"/>
        </w:rPr>
        <w:t>Réserve de stabilité du marché</w:t>
      </w:r>
      <w:bookmarkEnd w:id="8"/>
    </w:p>
    <w:p w:rsidR="00DE1FBE" w:rsidRPr="001A6341" w:rsidRDefault="00DE1FBE" w:rsidP="00DE1FBE">
      <w:pPr>
        <w:spacing w:after="0"/>
        <w:rPr>
          <w:rFonts w:asciiTheme="majorBidi" w:hAnsiTheme="majorBidi" w:cstheme="majorBidi"/>
        </w:rPr>
      </w:pPr>
      <w:r w:rsidRPr="001A6341">
        <w:rPr>
          <w:rFonts w:asciiTheme="majorBidi" w:hAnsiTheme="majorBidi" w:cstheme="majorBidi"/>
        </w:rPr>
        <w:t>Le Conseil a pris note des informations communiquées par la présidence sur l'état d'avancement des travaux relatifs à l'adoption de la décision visant à créer une réserve de stabilité du marché pour le système d'échange de quotas d'émission de gaz à effet de serre de l'Union.</w:t>
      </w:r>
    </w:p>
    <w:p w:rsidR="00DE1FBE" w:rsidRPr="001A6341" w:rsidRDefault="00DE1FBE">
      <w:pPr>
        <w:spacing w:after="0"/>
        <w:rPr>
          <w:rFonts w:asciiTheme="majorBidi" w:hAnsiTheme="majorBidi" w:cstheme="majorBidi"/>
        </w:rPr>
      </w:pPr>
      <w:r w:rsidRPr="001A6341">
        <w:rPr>
          <w:rFonts w:asciiTheme="majorBidi" w:hAnsiTheme="majorBidi" w:cstheme="majorBidi"/>
        </w:rPr>
        <w:t xml:space="preserve">Le 26 mai 2015, la commission ENVI du Parlement a approuvé </w:t>
      </w:r>
      <w:r w:rsidR="004B4E71">
        <w:rPr>
          <w:rFonts w:asciiTheme="majorBidi" w:hAnsiTheme="majorBidi" w:cstheme="majorBidi"/>
        </w:rPr>
        <w:t>le texte de compromis global du </w:t>
      </w:r>
      <w:r w:rsidRPr="001A6341">
        <w:rPr>
          <w:rFonts w:asciiTheme="majorBidi" w:hAnsiTheme="majorBidi" w:cstheme="majorBidi"/>
        </w:rPr>
        <w:t>Conseil. Le vote en plénière devrait avoir lieu au début du mois de juillet, après la mise au point du texte par les juristes-linguistes, qui est en cours.</w:t>
      </w:r>
    </w:p>
    <w:p w:rsidR="00DE1FBE" w:rsidRPr="001A6341" w:rsidRDefault="00DE1FBE">
      <w:pPr>
        <w:spacing w:after="0"/>
        <w:rPr>
          <w:rFonts w:asciiTheme="majorBidi" w:hAnsiTheme="majorBidi" w:cstheme="majorBidi"/>
        </w:rPr>
      </w:pPr>
      <w:r w:rsidRPr="001A6341">
        <w:rPr>
          <w:rFonts w:asciiTheme="majorBidi" w:hAnsiTheme="majorBidi" w:cstheme="majorBidi"/>
        </w:rPr>
        <w:t>Le Conseil adoptera ensuite formellement la décision lors de l'une de ses prochaines sessions, probablement à la mi-septembre. La Pologne a annoncé qu'elle présenterait une déclaration à ce moment.</w:t>
      </w:r>
    </w:p>
    <w:p w:rsidR="00DE1FBE" w:rsidRPr="001A6341" w:rsidRDefault="00B517D5" w:rsidP="00DE1FBE">
      <w:pPr>
        <w:spacing w:after="0"/>
        <w:rPr>
          <w:rFonts w:asciiTheme="majorBidi" w:hAnsiTheme="majorBidi" w:cstheme="majorBidi"/>
        </w:rPr>
      </w:pPr>
      <w:hyperlink r:id="rId21">
        <w:r w:rsidR="00633CCD" w:rsidRPr="001A6341">
          <w:rPr>
            <w:rStyle w:val="Hyperlink"/>
            <w:rFonts w:asciiTheme="majorBidi" w:hAnsiTheme="majorBidi" w:cstheme="majorBidi"/>
          </w:rPr>
          <w:t>Communiqué de presse du 13 mai 2015 sur l'accord intervenu au sujet de la réserve de stabilité du marché</w:t>
        </w:r>
      </w:hyperlink>
    </w:p>
    <w:p w:rsidR="00DE1FBE" w:rsidRPr="001A6341" w:rsidRDefault="00DE1FBE" w:rsidP="00B80833">
      <w:pPr>
        <w:pStyle w:val="Sub-sub-itemDebated"/>
        <w:rPr>
          <w:rFonts w:asciiTheme="majorBidi" w:hAnsiTheme="majorBidi" w:cstheme="majorBidi"/>
        </w:rPr>
      </w:pPr>
      <w:bookmarkStart w:id="9" w:name="_Toc426377252"/>
      <w:r w:rsidRPr="001A6341">
        <w:rPr>
          <w:rFonts w:asciiTheme="majorBidi" w:hAnsiTheme="majorBidi" w:cstheme="majorBidi"/>
        </w:rPr>
        <w:t>Réunions internationales tenues récemment</w:t>
      </w:r>
      <w:bookmarkEnd w:id="9"/>
    </w:p>
    <w:p w:rsidR="00DE1FBE" w:rsidRPr="001A6341" w:rsidRDefault="00DE1FBE" w:rsidP="00DE1FBE">
      <w:pPr>
        <w:spacing w:after="0"/>
        <w:rPr>
          <w:rFonts w:asciiTheme="majorBidi" w:hAnsiTheme="majorBidi" w:cstheme="majorBidi"/>
        </w:rPr>
      </w:pPr>
      <w:r w:rsidRPr="001A6341">
        <w:rPr>
          <w:rFonts w:asciiTheme="majorBidi" w:hAnsiTheme="majorBidi" w:cstheme="majorBidi"/>
        </w:rPr>
        <w:t>La Commission et la présidence ont rendu compte aux ministres de plusieurs conférences internationales consacrées à l'environnement qui se sont tenues récemment.</w:t>
      </w:r>
    </w:p>
    <w:p w:rsidR="00DE1FBE" w:rsidRPr="001A6341" w:rsidRDefault="00DE1FBE" w:rsidP="00FF2330">
      <w:pPr>
        <w:spacing w:after="0"/>
        <w:rPr>
          <w:rFonts w:asciiTheme="majorBidi" w:hAnsiTheme="majorBidi" w:cstheme="majorBidi"/>
        </w:rPr>
      </w:pPr>
      <w:r w:rsidRPr="001A6341">
        <w:rPr>
          <w:rFonts w:asciiTheme="majorBidi" w:hAnsiTheme="majorBidi" w:cstheme="majorBidi"/>
        </w:rPr>
        <w:t>En ce qui concerne la triple conférence des parties aux conventions de Bâle (</w:t>
      </w:r>
      <w:proofErr w:type="spellStart"/>
      <w:r w:rsidRPr="001A6341">
        <w:rPr>
          <w:rFonts w:asciiTheme="majorBidi" w:hAnsiTheme="majorBidi" w:cstheme="majorBidi"/>
        </w:rPr>
        <w:t>CdP</w:t>
      </w:r>
      <w:proofErr w:type="spellEnd"/>
      <w:r w:rsidRPr="001A6341">
        <w:rPr>
          <w:rFonts w:asciiTheme="majorBidi" w:hAnsiTheme="majorBidi" w:cstheme="majorBidi"/>
        </w:rPr>
        <w:t xml:space="preserve"> 12), de Rotterdam (</w:t>
      </w:r>
      <w:proofErr w:type="spellStart"/>
      <w:r w:rsidRPr="001A6341">
        <w:rPr>
          <w:rFonts w:asciiTheme="majorBidi" w:hAnsiTheme="majorBidi" w:cstheme="majorBidi"/>
        </w:rPr>
        <w:t>CdP</w:t>
      </w:r>
      <w:proofErr w:type="spellEnd"/>
      <w:r w:rsidRPr="001A6341">
        <w:rPr>
          <w:rFonts w:asciiTheme="majorBidi" w:hAnsiTheme="majorBidi" w:cstheme="majorBidi"/>
        </w:rPr>
        <w:t xml:space="preserve"> 7) et de Stockholm (</w:t>
      </w:r>
      <w:proofErr w:type="spellStart"/>
      <w:r w:rsidRPr="001A6341">
        <w:rPr>
          <w:rFonts w:asciiTheme="majorBidi" w:hAnsiTheme="majorBidi" w:cstheme="majorBidi"/>
        </w:rPr>
        <w:t>CdP</w:t>
      </w:r>
      <w:proofErr w:type="spellEnd"/>
      <w:r w:rsidRPr="001A6341">
        <w:rPr>
          <w:rFonts w:asciiTheme="majorBidi" w:hAnsiTheme="majorBidi" w:cstheme="majorBidi"/>
        </w:rPr>
        <w:t xml:space="preserve"> 7) (Genève, du 4 au 15 mai 2015), la</w:t>
      </w:r>
      <w:r w:rsidR="008A0968">
        <w:rPr>
          <w:rFonts w:asciiTheme="majorBidi" w:hAnsiTheme="majorBidi" w:cstheme="majorBidi"/>
        </w:rPr>
        <w:t xml:space="preserve"> présidence a estimé que le </w:t>
      </w:r>
      <w:r w:rsidRPr="001A6341">
        <w:rPr>
          <w:rFonts w:asciiTheme="majorBidi" w:hAnsiTheme="majorBidi" w:cstheme="majorBidi"/>
        </w:rPr>
        <w:t>Conseil pouvait être globalement satisfait des résultats obtenus et que plusieurs décisions importantes avaient été adoptées.</w:t>
      </w:r>
    </w:p>
    <w:p w:rsidR="00DE1FBE" w:rsidRPr="001A6341" w:rsidRDefault="00B517D5" w:rsidP="00DE1FBE">
      <w:pPr>
        <w:spacing w:after="0"/>
        <w:rPr>
          <w:rFonts w:asciiTheme="majorBidi" w:hAnsiTheme="majorBidi" w:cstheme="majorBidi"/>
        </w:rPr>
      </w:pPr>
      <w:hyperlink r:id="rId22">
        <w:r w:rsidR="00633CCD" w:rsidRPr="001A6341">
          <w:rPr>
            <w:rStyle w:val="Hyperlink"/>
            <w:rFonts w:asciiTheme="majorBidi" w:hAnsiTheme="majorBidi" w:cstheme="majorBidi"/>
          </w:rPr>
          <w:t>Informations concernant la triple conférence des parties aux conventions de Bâle (</w:t>
        </w:r>
        <w:proofErr w:type="spellStart"/>
        <w:r w:rsidR="00633CCD" w:rsidRPr="001A6341">
          <w:rPr>
            <w:rStyle w:val="Hyperlink"/>
            <w:rFonts w:asciiTheme="majorBidi" w:hAnsiTheme="majorBidi" w:cstheme="majorBidi"/>
          </w:rPr>
          <w:t>CdP</w:t>
        </w:r>
        <w:proofErr w:type="spellEnd"/>
        <w:r w:rsidR="00633CCD" w:rsidRPr="001A6341">
          <w:rPr>
            <w:rStyle w:val="Hyperlink"/>
            <w:rFonts w:asciiTheme="majorBidi" w:hAnsiTheme="majorBidi" w:cstheme="majorBidi"/>
          </w:rPr>
          <w:t xml:space="preserve"> 12), de Rotterdam (</w:t>
        </w:r>
        <w:proofErr w:type="spellStart"/>
        <w:r w:rsidR="00633CCD" w:rsidRPr="001A6341">
          <w:rPr>
            <w:rStyle w:val="Hyperlink"/>
            <w:rFonts w:asciiTheme="majorBidi" w:hAnsiTheme="majorBidi" w:cstheme="majorBidi"/>
          </w:rPr>
          <w:t>CdP</w:t>
        </w:r>
        <w:proofErr w:type="spellEnd"/>
        <w:r w:rsidR="00633CCD" w:rsidRPr="001A6341">
          <w:rPr>
            <w:rStyle w:val="Hyperlink"/>
            <w:rFonts w:asciiTheme="majorBidi" w:hAnsiTheme="majorBidi" w:cstheme="majorBidi"/>
          </w:rPr>
          <w:t xml:space="preserve"> 7) et de Stockholm (</w:t>
        </w:r>
        <w:proofErr w:type="spellStart"/>
        <w:r w:rsidR="00633CCD" w:rsidRPr="001A6341">
          <w:rPr>
            <w:rStyle w:val="Hyperlink"/>
            <w:rFonts w:asciiTheme="majorBidi" w:hAnsiTheme="majorBidi" w:cstheme="majorBidi"/>
          </w:rPr>
          <w:t>CdP</w:t>
        </w:r>
        <w:proofErr w:type="spellEnd"/>
        <w:r w:rsidR="00633CCD" w:rsidRPr="001A6341">
          <w:rPr>
            <w:rStyle w:val="Hyperlink"/>
            <w:rFonts w:asciiTheme="majorBidi" w:hAnsiTheme="majorBidi" w:cstheme="majorBidi"/>
          </w:rPr>
          <w:t xml:space="preserve"> 7)</w:t>
        </w:r>
      </w:hyperlink>
    </w:p>
    <w:p w:rsidR="00DE1FBE" w:rsidRPr="001A6341" w:rsidRDefault="00DE1FBE" w:rsidP="007808C7">
      <w:pPr>
        <w:spacing w:after="0"/>
        <w:rPr>
          <w:rFonts w:asciiTheme="majorBidi" w:hAnsiTheme="majorBidi" w:cstheme="majorBidi"/>
        </w:rPr>
      </w:pPr>
      <w:r w:rsidRPr="001A6341">
        <w:rPr>
          <w:rFonts w:asciiTheme="majorBidi" w:hAnsiTheme="majorBidi" w:cstheme="majorBidi"/>
        </w:rPr>
        <w:t>La présidence a également indiqué que les résultats de la 12</w:t>
      </w:r>
      <w:r w:rsidRPr="001A6341">
        <w:rPr>
          <w:rFonts w:asciiTheme="majorBidi" w:hAnsiTheme="majorBidi" w:cstheme="majorBidi"/>
          <w:vertAlign w:val="superscript"/>
        </w:rPr>
        <w:t>e</w:t>
      </w:r>
      <w:r w:rsidRPr="001A6341">
        <w:rPr>
          <w:rFonts w:asciiTheme="majorBidi" w:hAnsiTheme="majorBidi" w:cstheme="majorBidi"/>
        </w:rPr>
        <w:t xml:space="preserve"> session de la Conférence des Parties contractantes (COP12) à la Convention de </w:t>
      </w:r>
      <w:proofErr w:type="spellStart"/>
      <w:r w:rsidRPr="001A6341">
        <w:rPr>
          <w:rFonts w:asciiTheme="majorBidi" w:hAnsiTheme="majorBidi" w:cstheme="majorBidi"/>
        </w:rPr>
        <w:t>Ramsar</w:t>
      </w:r>
      <w:proofErr w:type="spellEnd"/>
      <w:r w:rsidRPr="001A6341">
        <w:rPr>
          <w:rFonts w:asciiTheme="majorBidi" w:hAnsiTheme="majorBidi" w:cstheme="majorBidi"/>
        </w:rPr>
        <w:t xml:space="preserve"> sur les zones humides (Punta </w:t>
      </w:r>
      <w:proofErr w:type="spellStart"/>
      <w:r w:rsidRPr="001A6341">
        <w:rPr>
          <w:rFonts w:asciiTheme="majorBidi" w:hAnsiTheme="majorBidi" w:cstheme="majorBidi"/>
        </w:rPr>
        <w:t>del</w:t>
      </w:r>
      <w:proofErr w:type="spellEnd"/>
      <w:r w:rsidRPr="001A6341">
        <w:rPr>
          <w:rFonts w:asciiTheme="majorBidi" w:hAnsiTheme="majorBidi" w:cstheme="majorBidi"/>
        </w:rPr>
        <w:t xml:space="preserve"> Este, Uruguay, du 1</w:t>
      </w:r>
      <w:r w:rsidRPr="001A6341">
        <w:rPr>
          <w:rFonts w:asciiTheme="majorBidi" w:hAnsiTheme="majorBidi" w:cstheme="majorBidi"/>
          <w:vertAlign w:val="superscript"/>
        </w:rPr>
        <w:t>er</w:t>
      </w:r>
      <w:r w:rsidRPr="001A6341">
        <w:rPr>
          <w:rFonts w:asciiTheme="majorBidi" w:hAnsiTheme="majorBidi" w:cstheme="majorBidi"/>
        </w:rPr>
        <w:t xml:space="preserve"> au 9 juin 2015) étaient pleinement conformes à la position de négociation du Conseil.</w:t>
      </w:r>
    </w:p>
    <w:p w:rsidR="00DE1FBE" w:rsidRPr="001A6341" w:rsidRDefault="00B517D5" w:rsidP="00DE1FBE">
      <w:pPr>
        <w:spacing w:after="0"/>
        <w:rPr>
          <w:rFonts w:asciiTheme="majorBidi" w:hAnsiTheme="majorBidi" w:cstheme="majorBidi"/>
        </w:rPr>
      </w:pPr>
      <w:hyperlink r:id="rId23">
        <w:r w:rsidR="00633CCD" w:rsidRPr="001A6341">
          <w:rPr>
            <w:rStyle w:val="Hyperlink"/>
            <w:rFonts w:asciiTheme="majorBidi" w:hAnsiTheme="majorBidi" w:cstheme="majorBidi"/>
          </w:rPr>
          <w:t xml:space="preserve">Informations concernant la COP12 à la Convention de </w:t>
        </w:r>
        <w:proofErr w:type="spellStart"/>
        <w:r w:rsidR="00633CCD" w:rsidRPr="001A6341">
          <w:rPr>
            <w:rStyle w:val="Hyperlink"/>
            <w:rFonts w:asciiTheme="majorBidi" w:hAnsiTheme="majorBidi" w:cstheme="majorBidi"/>
          </w:rPr>
          <w:t>Ramsar</w:t>
        </w:r>
        <w:proofErr w:type="spellEnd"/>
      </w:hyperlink>
    </w:p>
    <w:p w:rsidR="00DE1FBE" w:rsidRPr="001A6341" w:rsidRDefault="00DE1FBE" w:rsidP="00B80833">
      <w:pPr>
        <w:pStyle w:val="Sub-sub-itemDebated"/>
        <w:rPr>
          <w:rFonts w:asciiTheme="majorBidi" w:hAnsiTheme="majorBidi" w:cstheme="majorBidi"/>
        </w:rPr>
      </w:pPr>
      <w:bookmarkStart w:id="10" w:name="_Toc426377253"/>
      <w:r w:rsidRPr="001A6341">
        <w:rPr>
          <w:rFonts w:asciiTheme="majorBidi" w:hAnsiTheme="majorBidi" w:cstheme="majorBidi"/>
        </w:rPr>
        <w:t>Plan d'investissement</w:t>
      </w:r>
      <w:bookmarkEnd w:id="10"/>
    </w:p>
    <w:p w:rsidR="00DE1FBE" w:rsidRPr="001A6341" w:rsidRDefault="00DE1FBE" w:rsidP="00DE1FBE">
      <w:pPr>
        <w:spacing w:after="0"/>
        <w:rPr>
          <w:rFonts w:asciiTheme="majorBidi" w:hAnsiTheme="majorBidi" w:cstheme="majorBidi"/>
        </w:rPr>
      </w:pPr>
      <w:r w:rsidRPr="001A6341">
        <w:rPr>
          <w:rFonts w:asciiTheme="majorBidi" w:hAnsiTheme="majorBidi" w:cstheme="majorBidi"/>
        </w:rPr>
        <w:t>La Commission a informé les ministres des possibilités de financement dont pourront bénéficier les projets liés à l'environnement une fois que le Fonds européen pour les investissements stratégiques (FEIS) sera opérationnel. L'objectif est de faire connaître ces possibilités de financement aux parties prenantes et de trouver des moyens de promouvoir la présentation de projets environnementaux qui pourraient entrer en considération pour bénéficier de financements du FEIS.</w:t>
      </w:r>
    </w:p>
    <w:p w:rsidR="00DE1FBE" w:rsidRPr="001A6341" w:rsidRDefault="00B517D5" w:rsidP="00DE1FBE">
      <w:pPr>
        <w:spacing w:after="0"/>
        <w:rPr>
          <w:rFonts w:asciiTheme="majorBidi" w:hAnsiTheme="majorBidi" w:cstheme="majorBidi"/>
        </w:rPr>
      </w:pPr>
      <w:hyperlink r:id="rId24">
        <w:r w:rsidR="00633CCD" w:rsidRPr="001A6341">
          <w:rPr>
            <w:rStyle w:val="Hyperlink"/>
            <w:rFonts w:asciiTheme="majorBidi" w:hAnsiTheme="majorBidi" w:cstheme="majorBidi"/>
          </w:rPr>
          <w:t>FEIS: une occasion à saisir pour les projets liés à l'environnement et au climat</w:t>
        </w:r>
      </w:hyperlink>
    </w:p>
    <w:p w:rsidR="00DE1FBE" w:rsidRPr="001A6341" w:rsidRDefault="00B80833" w:rsidP="00B80833">
      <w:pPr>
        <w:pStyle w:val="Sub-sub-itemDebated"/>
        <w:rPr>
          <w:rFonts w:asciiTheme="majorBidi" w:hAnsiTheme="majorBidi" w:cstheme="majorBidi"/>
        </w:rPr>
      </w:pPr>
      <w:r w:rsidRPr="001A6341">
        <w:br w:type="page"/>
      </w:r>
      <w:bookmarkStart w:id="11" w:name="_Toc426377254"/>
      <w:r w:rsidRPr="001A6341">
        <w:rPr>
          <w:rFonts w:asciiTheme="majorBidi" w:hAnsiTheme="majorBidi" w:cstheme="majorBidi"/>
        </w:rPr>
        <w:lastRenderedPageBreak/>
        <w:t>La charte de Lisbonne</w:t>
      </w:r>
      <w:bookmarkEnd w:id="11"/>
    </w:p>
    <w:p w:rsidR="00DE1FBE" w:rsidRPr="001A6341" w:rsidRDefault="00DE1FBE" w:rsidP="00DE1FBE">
      <w:pPr>
        <w:spacing w:after="0"/>
        <w:rPr>
          <w:rStyle w:val="Hyperlink"/>
          <w:rFonts w:asciiTheme="majorBidi" w:hAnsiTheme="majorBidi" w:cstheme="majorBidi"/>
        </w:rPr>
      </w:pPr>
      <w:r w:rsidRPr="001A6341">
        <w:rPr>
          <w:rFonts w:asciiTheme="majorBidi" w:hAnsiTheme="majorBidi" w:cstheme="majorBidi"/>
        </w:rPr>
        <w:t xml:space="preserve">Les ministres ont pris connaissance d'informations communiquées par la délégation portugaise sur la charte de Lisbonne, un guide pour les politiques publiques et la règlementation concernant les services d'approvisionnement en eau potable, d'assainissement et de gestion des eaux usées. </w:t>
      </w:r>
      <w:hyperlink r:id="rId25">
        <w:r w:rsidRPr="001A6341">
          <w:rPr>
            <w:rStyle w:val="Hyperlink"/>
            <w:rFonts w:asciiTheme="majorBidi" w:hAnsiTheme="majorBidi" w:cstheme="majorBidi"/>
          </w:rPr>
          <w:t>Informations communiquées par la délégation portugaise sur la charte de Lisbonne</w:t>
        </w:r>
      </w:hyperlink>
    </w:p>
    <w:p w:rsidR="00DE1FBE" w:rsidRPr="001A6341" w:rsidRDefault="00DE1FBE" w:rsidP="00B80833">
      <w:pPr>
        <w:pStyle w:val="Sub-sub-itemDebated"/>
        <w:rPr>
          <w:rFonts w:asciiTheme="majorBidi" w:hAnsiTheme="majorBidi" w:cstheme="majorBidi"/>
        </w:rPr>
      </w:pPr>
      <w:bookmarkStart w:id="12" w:name="_Toc426377255"/>
      <w:r w:rsidRPr="001A6341">
        <w:rPr>
          <w:rFonts w:asciiTheme="majorBidi" w:hAnsiTheme="majorBidi" w:cstheme="majorBidi"/>
        </w:rPr>
        <w:t>Programme de travail de la future présidence</w:t>
      </w:r>
      <w:bookmarkEnd w:id="12"/>
    </w:p>
    <w:p w:rsidR="00DE1FBE" w:rsidRPr="001A6341" w:rsidRDefault="00DE1FBE" w:rsidP="00DE1FBE">
      <w:pPr>
        <w:spacing w:after="0"/>
        <w:rPr>
          <w:rFonts w:asciiTheme="majorBidi" w:hAnsiTheme="majorBidi" w:cstheme="majorBidi"/>
        </w:rPr>
      </w:pPr>
      <w:r w:rsidRPr="001A6341">
        <w:rPr>
          <w:rFonts w:asciiTheme="majorBidi" w:hAnsiTheme="majorBidi" w:cstheme="majorBidi"/>
        </w:rPr>
        <w:t>La délégation luxembourgeoise a pré</w:t>
      </w:r>
      <w:r w:rsidR="00DF3B2A">
        <w:rPr>
          <w:rFonts w:asciiTheme="majorBidi" w:hAnsiTheme="majorBidi" w:cstheme="majorBidi"/>
        </w:rPr>
        <w:t xml:space="preserve">senté son programme de travail </w:t>
      </w:r>
      <w:bookmarkStart w:id="13" w:name="_GoBack"/>
      <w:bookmarkEnd w:id="13"/>
      <w:r w:rsidRPr="001A6341">
        <w:rPr>
          <w:rFonts w:asciiTheme="majorBidi" w:hAnsiTheme="majorBidi" w:cstheme="majorBidi"/>
        </w:rPr>
        <w:t>dans le domaine de l'environnement pour les prochains mois.</w:t>
      </w:r>
    </w:p>
    <w:p w:rsidR="00DE1FBE" w:rsidRPr="001A6341" w:rsidRDefault="00B517D5" w:rsidP="00DE1FBE">
      <w:pPr>
        <w:spacing w:after="0"/>
        <w:rPr>
          <w:rStyle w:val="Hyperlink"/>
          <w:rFonts w:asciiTheme="majorBidi" w:hAnsiTheme="majorBidi" w:cstheme="majorBidi"/>
        </w:rPr>
      </w:pPr>
      <w:hyperlink r:id="rId26" w:history="1">
        <w:r w:rsidR="00104FF5" w:rsidRPr="001A6341">
          <w:rPr>
            <w:rStyle w:val="Hyperlink"/>
            <w:rFonts w:asciiTheme="majorBidi" w:hAnsiTheme="majorBidi" w:cstheme="majorBidi"/>
          </w:rPr>
          <w:t>Site internet de la présidence luxembourgeoise</w:t>
        </w:r>
      </w:hyperlink>
    </w:p>
    <w:p w:rsidR="00C30552" w:rsidRPr="001A6341" w:rsidRDefault="00B517D5" w:rsidP="00A34506">
      <w:pPr>
        <w:spacing w:after="0"/>
        <w:rPr>
          <w:rFonts w:asciiTheme="majorBidi" w:hAnsiTheme="majorBidi" w:cstheme="majorBidi"/>
        </w:rPr>
      </w:pPr>
      <w:hyperlink r:id="rId27" w:history="1">
        <w:r w:rsidR="00EF5C3F" w:rsidRPr="001A6341">
          <w:rPr>
            <w:rStyle w:val="Hyperlink"/>
          </w:rPr>
          <w:t>http://www.eu2015lu.eu/</w:t>
        </w:r>
      </w:hyperlink>
    </w:p>
    <w:p w:rsidR="00DE1FBE" w:rsidRPr="001A6341" w:rsidRDefault="00DE1FBE" w:rsidP="00DE1FBE">
      <w:pPr>
        <w:rPr>
          <w:rFonts w:asciiTheme="majorBidi" w:hAnsiTheme="majorBidi" w:cstheme="majorBidi"/>
        </w:rPr>
        <w:sectPr w:rsidR="00DE1FBE" w:rsidRPr="001A6341" w:rsidSect="00B517D5">
          <w:footnotePr>
            <w:numRestart w:val="eachPage"/>
          </w:footnotePr>
          <w:pgSz w:w="11907" w:h="16840" w:code="9"/>
          <w:pgMar w:top="1134" w:right="1134" w:bottom="1134" w:left="1134" w:header="567" w:footer="567" w:gutter="0"/>
          <w:cols w:space="708"/>
          <w:docGrid w:linePitch="360"/>
        </w:sectPr>
      </w:pPr>
    </w:p>
    <w:p w:rsidR="00434EED" w:rsidRPr="001A6341" w:rsidRDefault="005E71D6" w:rsidP="005E71D6">
      <w:pPr>
        <w:pStyle w:val="ItemsApprovedHeading"/>
        <w:rPr>
          <w:rFonts w:asciiTheme="majorBidi" w:hAnsiTheme="majorBidi" w:cstheme="majorBidi"/>
        </w:rPr>
      </w:pPr>
      <w:r w:rsidRPr="001A6341">
        <w:lastRenderedPageBreak/>
        <w:t>AUTRES POINTS APPROUVÉS</w:t>
      </w:r>
    </w:p>
    <w:p w:rsidR="00DE1FBE" w:rsidRPr="001A6341" w:rsidRDefault="00DE1FBE" w:rsidP="00B94216">
      <w:pPr>
        <w:pStyle w:val="ItemApproved"/>
        <w:rPr>
          <w:rFonts w:asciiTheme="majorBidi" w:hAnsiTheme="majorBidi" w:cstheme="majorBidi"/>
        </w:rPr>
      </w:pPr>
      <w:r w:rsidRPr="001A6341">
        <w:rPr>
          <w:rFonts w:asciiTheme="majorBidi" w:hAnsiTheme="majorBidi" w:cstheme="majorBidi"/>
        </w:rPr>
        <w:t>UNION DOUANIÈRE</w:t>
      </w:r>
    </w:p>
    <w:p w:rsidR="00DE1FBE" w:rsidRPr="001A6341" w:rsidRDefault="00DE1FBE" w:rsidP="00B94216">
      <w:pPr>
        <w:pStyle w:val="Sub-itemApproved"/>
        <w:rPr>
          <w:rFonts w:asciiTheme="majorBidi" w:hAnsiTheme="majorBidi" w:cstheme="majorBidi"/>
        </w:rPr>
      </w:pPr>
      <w:bookmarkStart w:id="14" w:name="_Toc426377257"/>
      <w:r w:rsidRPr="001A6341">
        <w:rPr>
          <w:rFonts w:asciiTheme="majorBidi" w:hAnsiTheme="majorBidi" w:cstheme="majorBidi"/>
        </w:rPr>
        <w:t>Amélioration des mesures de lutte contre la fraude</w:t>
      </w:r>
      <w:bookmarkEnd w:id="14"/>
    </w:p>
    <w:p w:rsidR="00DE1FBE" w:rsidRPr="001A6341" w:rsidRDefault="00DE1FBE" w:rsidP="00DE1FBE">
      <w:pPr>
        <w:rPr>
          <w:rFonts w:asciiTheme="majorBidi" w:hAnsiTheme="majorBidi" w:cstheme="majorBidi"/>
        </w:rPr>
      </w:pPr>
      <w:r w:rsidRPr="001A6341">
        <w:t xml:space="preserve">Le Conseil a adopté, à la majorité qualifiée, sa position en première lecture concernant un </w:t>
      </w:r>
      <w:hyperlink r:id="rId28">
        <w:r w:rsidRPr="001A6341">
          <w:rPr>
            <w:rStyle w:val="Hyperlink"/>
            <w:rFonts w:asciiTheme="majorBidi" w:hAnsiTheme="majorBidi" w:cstheme="majorBidi"/>
          </w:rPr>
          <w:t>règlement</w:t>
        </w:r>
      </w:hyperlink>
      <w:r w:rsidRPr="001A6341">
        <w:t xml:space="preserve"> visant à améliorer le fonctionnement du système antifraude dans le domaine des douanes.</w:t>
      </w:r>
      <w:r w:rsidRPr="001A6341">
        <w:rPr>
          <w:rFonts w:asciiTheme="majorBidi" w:hAnsiTheme="majorBidi" w:cstheme="majorBidi"/>
        </w:rPr>
        <w:t xml:space="preserve"> </w:t>
      </w:r>
      <w:r w:rsidRPr="001A6341">
        <w:t>Il a également approuvé l'</w:t>
      </w:r>
      <w:hyperlink r:id="rId29">
        <w:r w:rsidRPr="001A6341">
          <w:rPr>
            <w:rStyle w:val="Hyperlink"/>
            <w:rFonts w:asciiTheme="majorBidi" w:hAnsiTheme="majorBidi" w:cstheme="majorBidi"/>
          </w:rPr>
          <w:t>exposé des motifs du Conseil</w:t>
        </w:r>
      </w:hyperlink>
      <w:r w:rsidRPr="001A6341">
        <w:t>.</w:t>
      </w:r>
    </w:p>
    <w:p w:rsidR="00DE1FBE" w:rsidRPr="001A6341" w:rsidRDefault="00DE1FBE" w:rsidP="00DE1FBE">
      <w:pPr>
        <w:rPr>
          <w:rFonts w:asciiTheme="majorBidi" w:hAnsiTheme="majorBidi" w:cstheme="majorBidi"/>
        </w:rPr>
      </w:pPr>
      <w:r w:rsidRPr="001A6341">
        <w:rPr>
          <w:rFonts w:asciiTheme="majorBidi" w:hAnsiTheme="majorBidi" w:cstheme="majorBidi"/>
        </w:rPr>
        <w:t>Les délégations allemande et autrichienne ont voté contre et la délégation espagnole s'est abstenue.</w:t>
      </w:r>
    </w:p>
    <w:p w:rsidR="00DE1FBE" w:rsidRPr="001A6341" w:rsidRDefault="00DE1FBE" w:rsidP="00DE1FBE">
      <w:pPr>
        <w:rPr>
          <w:rFonts w:asciiTheme="majorBidi" w:hAnsiTheme="majorBidi" w:cstheme="majorBidi"/>
          <w:bCs/>
          <w:iCs/>
        </w:rPr>
      </w:pPr>
      <w:r w:rsidRPr="001A6341">
        <w:rPr>
          <w:rFonts w:asciiTheme="majorBidi" w:hAnsiTheme="majorBidi" w:cstheme="majorBidi"/>
        </w:rPr>
        <w:t>Le règlement vise à promouvoir plus avant l'assistance mutuelle entre les États membres et la Commission en vue d'assurer la bonne application des règlementations douanière et agricole.</w:t>
      </w:r>
    </w:p>
    <w:p w:rsidR="00DE1FBE" w:rsidRPr="001A6341" w:rsidRDefault="00DE1FBE" w:rsidP="00DE1FBE">
      <w:pPr>
        <w:rPr>
          <w:rFonts w:asciiTheme="majorBidi" w:hAnsiTheme="majorBidi" w:cstheme="majorBidi"/>
          <w:bCs/>
          <w:iCs/>
        </w:rPr>
      </w:pPr>
      <w:r w:rsidRPr="001A6341">
        <w:rPr>
          <w:rFonts w:asciiTheme="majorBidi" w:hAnsiTheme="majorBidi" w:cstheme="majorBidi"/>
        </w:rPr>
        <w:t>Il permettra de simplifier et d'accélérer les procédures afin de mieux protéger les intérêts financiers de l'UE contre la fraude douanière et d'autres infractions à la législation douanière et agricole.</w:t>
      </w:r>
    </w:p>
    <w:p w:rsidR="00DE1FBE" w:rsidRPr="001A6341" w:rsidRDefault="00DE1FBE" w:rsidP="00DE1FBE">
      <w:pPr>
        <w:rPr>
          <w:rFonts w:asciiTheme="majorBidi" w:hAnsiTheme="majorBidi" w:cstheme="majorBidi"/>
        </w:rPr>
      </w:pPr>
      <w:r w:rsidRPr="001A6341">
        <w:rPr>
          <w:rFonts w:asciiTheme="majorBidi" w:hAnsiTheme="majorBidi" w:cstheme="majorBidi"/>
        </w:rPr>
        <w:t>Le Parlement européen devrait confirmer la position du Conseil lors d'un vote en deuxième lecture, à l'occasion d'une prochaine séance plénière.</w:t>
      </w:r>
    </w:p>
    <w:p w:rsidR="00DE1FBE" w:rsidRPr="001A6341" w:rsidRDefault="00DE1FBE" w:rsidP="00DE1FBE">
      <w:pPr>
        <w:rPr>
          <w:rFonts w:asciiTheme="majorBidi" w:hAnsiTheme="majorBidi" w:cstheme="majorBidi"/>
        </w:rPr>
      </w:pPr>
      <w:r w:rsidRPr="001A6341">
        <w:t>Cette position du Conseil en première lecture fait suite à l'accord pol</w:t>
      </w:r>
      <w:r w:rsidR="004B4E71">
        <w:t>itique dégagé par le Conseil le </w:t>
      </w:r>
      <w:r w:rsidRPr="001A6341">
        <w:t xml:space="preserve">11 mai 2015, qui entérinait officiellement l'accord provisoire auquel le Conseil et le Parlement étaient parvenus le </w:t>
      </w:r>
      <w:hyperlink r:id="rId30">
        <w:r w:rsidRPr="001A6341">
          <w:rPr>
            <w:rStyle w:val="Hyperlink"/>
            <w:rFonts w:asciiTheme="majorBidi" w:hAnsiTheme="majorBidi" w:cstheme="majorBidi"/>
          </w:rPr>
          <w:t>19 décembre 2014</w:t>
        </w:r>
      </w:hyperlink>
      <w:r w:rsidRPr="001A6341">
        <w:t>.</w:t>
      </w:r>
    </w:p>
    <w:p w:rsidR="00DE1FBE" w:rsidRPr="001A6341" w:rsidRDefault="00DE1FBE" w:rsidP="00B94216">
      <w:pPr>
        <w:pStyle w:val="ItemApproved"/>
        <w:rPr>
          <w:rFonts w:asciiTheme="majorBidi" w:hAnsiTheme="majorBidi" w:cstheme="majorBidi"/>
        </w:rPr>
      </w:pPr>
      <w:r w:rsidRPr="001A6341">
        <w:rPr>
          <w:rFonts w:asciiTheme="majorBidi" w:hAnsiTheme="majorBidi" w:cstheme="majorBidi"/>
        </w:rPr>
        <w:t>ESPACE ÉCONOMIQUE EUROPÉEN</w:t>
      </w:r>
    </w:p>
    <w:p w:rsidR="00DE1FBE" w:rsidRPr="001A6341" w:rsidRDefault="00DE1FBE" w:rsidP="00B94216">
      <w:pPr>
        <w:pStyle w:val="Sub-itemApproved"/>
        <w:rPr>
          <w:rFonts w:asciiTheme="majorBidi" w:hAnsiTheme="majorBidi" w:cstheme="majorBidi"/>
        </w:rPr>
      </w:pPr>
      <w:bookmarkStart w:id="15" w:name="_Toc426377259"/>
      <w:r w:rsidRPr="001A6341">
        <w:rPr>
          <w:rFonts w:asciiTheme="majorBidi" w:hAnsiTheme="majorBidi" w:cstheme="majorBidi"/>
        </w:rPr>
        <w:t>Suisse - Codification du règlement relatif à des mesures de sauvegarde</w:t>
      </w:r>
      <w:bookmarkEnd w:id="15"/>
    </w:p>
    <w:p w:rsidR="00DE1FBE" w:rsidRPr="001A6341" w:rsidRDefault="00DE1FBE" w:rsidP="00DE1FBE">
      <w:pPr>
        <w:rPr>
          <w:rFonts w:asciiTheme="majorBidi" w:hAnsiTheme="majorBidi" w:cstheme="majorBidi"/>
          <w:noProof/>
        </w:rPr>
      </w:pPr>
      <w:r w:rsidRPr="001A6341">
        <w:t xml:space="preserve">Le Conseil a approuvé une </w:t>
      </w:r>
      <w:hyperlink r:id="rId31">
        <w:r w:rsidRPr="001A6341">
          <w:rPr>
            <w:rStyle w:val="Hyperlink"/>
            <w:rFonts w:asciiTheme="majorBidi" w:hAnsiTheme="majorBidi" w:cstheme="majorBidi"/>
            <w:noProof/>
          </w:rPr>
          <w:t>version codifiée</w:t>
        </w:r>
      </w:hyperlink>
      <w:r w:rsidRPr="001A6341">
        <w:t xml:space="preserve"> d'un règlement relatif aux mesures de sauvegarde prévues à l'accord de libre-échange entre l'UE et la Suisse, dans un souci de simplification et de clarté.</w:t>
      </w:r>
    </w:p>
    <w:p w:rsidR="00DE1FBE" w:rsidRPr="001A6341" w:rsidRDefault="00DE1FBE" w:rsidP="00DE1FBE">
      <w:pPr>
        <w:rPr>
          <w:rFonts w:asciiTheme="majorBidi" w:hAnsiTheme="majorBidi" w:cstheme="majorBidi"/>
          <w:noProof/>
        </w:rPr>
      </w:pPr>
      <w:r w:rsidRPr="001A6341">
        <w:t xml:space="preserve">Le nouveau règlement se substitue aux divers actes qui sont incorporés dans le règlement </w:t>
      </w:r>
      <w:hyperlink r:id="rId32">
        <w:r w:rsidRPr="001A6341">
          <w:rPr>
            <w:rStyle w:val="Hyperlink"/>
            <w:rFonts w:asciiTheme="majorBidi" w:hAnsiTheme="majorBidi" w:cstheme="majorBidi"/>
            <w:noProof/>
          </w:rPr>
          <w:t>2481/72</w:t>
        </w:r>
      </w:hyperlink>
      <w:r w:rsidRPr="001A6341">
        <w:t xml:space="preserve"> relatif aux mesures de sauvegarde prévues à l'accord entre l'UE et la Suisse, tout en préservant la substance de leur contenu.</w:t>
      </w:r>
    </w:p>
    <w:p w:rsidR="00B94216" w:rsidRPr="001A6341" w:rsidRDefault="00B94216" w:rsidP="00B94216">
      <w:pPr>
        <w:pStyle w:val="ItemApproved"/>
        <w:rPr>
          <w:rFonts w:asciiTheme="majorBidi" w:hAnsiTheme="majorBidi" w:cstheme="majorBidi"/>
        </w:rPr>
      </w:pPr>
      <w:r w:rsidRPr="001A6341">
        <w:br w:type="page"/>
      </w:r>
      <w:bookmarkStart w:id="16" w:name="ControlPages"/>
      <w:bookmarkEnd w:id="16"/>
      <w:r w:rsidRPr="001A6341">
        <w:rPr>
          <w:rFonts w:asciiTheme="majorBidi" w:hAnsiTheme="majorBidi" w:cstheme="majorBidi"/>
        </w:rPr>
        <w:lastRenderedPageBreak/>
        <w:t>TRANSPARENCE</w:t>
      </w:r>
    </w:p>
    <w:p w:rsidR="00DE1FBE" w:rsidRPr="001A6341" w:rsidRDefault="00B94216" w:rsidP="00B94216">
      <w:pPr>
        <w:pStyle w:val="Sub-itemApproved"/>
        <w:rPr>
          <w:rFonts w:asciiTheme="majorBidi" w:hAnsiTheme="majorBidi" w:cstheme="majorBidi"/>
        </w:rPr>
      </w:pPr>
      <w:bookmarkStart w:id="17" w:name="_Toc426377261"/>
      <w:r w:rsidRPr="001A6341">
        <w:rPr>
          <w:rFonts w:asciiTheme="majorBidi" w:hAnsiTheme="majorBidi" w:cstheme="majorBidi"/>
        </w:rPr>
        <w:t>Accès du public aux documents</w:t>
      </w:r>
      <w:bookmarkEnd w:id="17"/>
    </w:p>
    <w:p w:rsidR="00DE1FBE" w:rsidRPr="001A6341" w:rsidRDefault="00DE1FBE" w:rsidP="00504CA0">
      <w:pPr>
        <w:rPr>
          <w:rFonts w:asciiTheme="majorBidi" w:hAnsiTheme="majorBidi" w:cstheme="majorBidi"/>
        </w:rPr>
      </w:pPr>
      <w:r w:rsidRPr="001A6341">
        <w:rPr>
          <w:rFonts w:asciiTheme="majorBidi" w:hAnsiTheme="majorBidi" w:cstheme="majorBidi"/>
        </w:rPr>
        <w:t>Le 15 juin 2015, le Conseil a approuvé:</w:t>
      </w:r>
    </w:p>
    <w:p w:rsidR="00DE1FBE" w:rsidRPr="001A6341" w:rsidRDefault="00DE1FBE">
      <w:pPr>
        <w:pStyle w:val="Tiret0"/>
        <w:rPr>
          <w:rFonts w:asciiTheme="majorBidi" w:hAnsiTheme="majorBidi" w:cstheme="majorBidi"/>
        </w:rPr>
      </w:pPr>
      <w:r w:rsidRPr="001A6341">
        <w:t>la réponse à la demande confirmative n° 08/c/01/15 (doc. </w:t>
      </w:r>
      <w:hyperlink r:id="rId33" w:tooltip="http://data.consilium.europa.eu/doc/document/ST-8774-2015-INIT/fr/pdf">
        <w:r w:rsidRPr="001A6341">
          <w:rPr>
            <w:rStyle w:val="Hyperlink"/>
            <w:rFonts w:asciiTheme="majorBidi" w:hAnsiTheme="majorBidi" w:cstheme="majorBidi"/>
          </w:rPr>
          <w:t>8774/15</w:t>
        </w:r>
      </w:hyperlink>
      <w:r w:rsidRPr="001A6341">
        <w:t>).</w:t>
      </w:r>
    </w:p>
    <w:p w:rsidR="00895676" w:rsidRPr="005E71D6" w:rsidRDefault="00895676" w:rsidP="00434EED">
      <w:pPr>
        <w:pStyle w:val="FinalLine"/>
        <w:rPr>
          <w:rFonts w:asciiTheme="majorBidi" w:hAnsiTheme="majorBidi" w:cstheme="majorBidi"/>
        </w:rPr>
      </w:pPr>
    </w:p>
    <w:sectPr w:rsidR="00895676" w:rsidRPr="005E71D6" w:rsidSect="00B517D5">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EED" w:rsidRDefault="00434EED">
      <w:pPr>
        <w:spacing w:before="0" w:after="0"/>
      </w:pPr>
      <w:r>
        <w:separator/>
      </w:r>
    </w:p>
  </w:endnote>
  <w:endnote w:type="continuationSeparator" w:id="0">
    <w:p w:rsidR="00434EED" w:rsidRDefault="00434EE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68" w:rsidRPr="00B517D5" w:rsidRDefault="008A0968" w:rsidP="00B517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B517D5" w:rsidRPr="007410E8" w:rsidTr="00B517D5">
      <w:trPr>
        <w:jc w:val="center"/>
      </w:trPr>
      <w:tc>
        <w:tcPr>
          <w:tcW w:w="2604" w:type="pct"/>
          <w:shd w:val="clear" w:color="auto" w:fill="auto"/>
        </w:tcPr>
        <w:p w:rsidR="00B517D5" w:rsidRPr="007410E8" w:rsidRDefault="00B517D5" w:rsidP="0035025C">
          <w:pPr>
            <w:pStyle w:val="FooterText"/>
            <w:rPr>
              <w:sz w:val="16"/>
              <w:szCs w:val="16"/>
            </w:rPr>
          </w:pPr>
          <w:bookmarkStart w:id="1" w:name="FOOTER_PR_STANDARD"/>
        </w:p>
      </w:tc>
      <w:tc>
        <w:tcPr>
          <w:tcW w:w="1319" w:type="pct"/>
          <w:shd w:val="clear" w:color="auto" w:fill="auto"/>
        </w:tcPr>
        <w:p w:rsidR="00B517D5" w:rsidRPr="007410E8" w:rsidRDefault="00B517D5" w:rsidP="0035025C">
          <w:pPr>
            <w:pStyle w:val="FooterText"/>
            <w:rPr>
              <w:sz w:val="16"/>
              <w:szCs w:val="16"/>
            </w:rPr>
          </w:pPr>
        </w:p>
      </w:tc>
      <w:tc>
        <w:tcPr>
          <w:tcW w:w="1077" w:type="pct"/>
          <w:shd w:val="clear" w:color="auto" w:fill="auto"/>
        </w:tcPr>
        <w:p w:rsidR="00B517D5" w:rsidRPr="007410E8" w:rsidRDefault="00B517D5" w:rsidP="0035025C">
          <w:pPr>
            <w:pStyle w:val="FooterText"/>
            <w:jc w:val="right"/>
            <w:rPr>
              <w:sz w:val="16"/>
              <w:szCs w:val="16"/>
            </w:rPr>
          </w:pPr>
        </w:p>
      </w:tc>
    </w:tr>
    <w:tr w:rsidR="00B517D5" w:rsidRPr="007410E8" w:rsidTr="00B517D5">
      <w:trPr>
        <w:jc w:val="center"/>
      </w:trPr>
      <w:tc>
        <w:tcPr>
          <w:tcW w:w="2604" w:type="pct"/>
          <w:shd w:val="clear" w:color="auto" w:fill="auto"/>
        </w:tcPr>
        <w:p w:rsidR="00B517D5" w:rsidRPr="007410E8" w:rsidRDefault="00B517D5" w:rsidP="0035025C">
          <w:pPr>
            <w:pStyle w:val="FooterText"/>
            <w:rPr>
              <w:sz w:val="16"/>
            </w:rPr>
          </w:pPr>
          <w:r>
            <w:t>9938/15</w:t>
          </w:r>
          <w:r w:rsidRPr="002511D8">
            <w:t xml:space="preserve"> </w:t>
          </w:r>
        </w:p>
      </w:tc>
      <w:tc>
        <w:tcPr>
          <w:tcW w:w="1319" w:type="pct"/>
          <w:shd w:val="clear" w:color="auto" w:fill="auto"/>
        </w:tcPr>
        <w:p w:rsidR="00B517D5" w:rsidRPr="007410E8" w:rsidRDefault="00B517D5" w:rsidP="0035025C">
          <w:pPr>
            <w:pStyle w:val="FooterText"/>
            <w:rPr>
              <w:sz w:val="16"/>
            </w:rPr>
          </w:pPr>
        </w:p>
      </w:tc>
      <w:tc>
        <w:tcPr>
          <w:tcW w:w="1077" w:type="pct"/>
          <w:shd w:val="clear" w:color="auto" w:fill="auto"/>
        </w:tcPr>
        <w:p w:rsidR="00B517D5" w:rsidRPr="007410E8" w:rsidRDefault="00B517D5" w:rsidP="0035025C">
          <w:pPr>
            <w:pStyle w:val="FooterText"/>
            <w:jc w:val="right"/>
            <w:rPr>
              <w:sz w:val="16"/>
            </w:rPr>
          </w:pPr>
          <w:r>
            <w:fldChar w:fldCharType="begin"/>
          </w:r>
          <w:r>
            <w:instrText xml:space="preserve"> PAGE  \* MERGEFORMAT </w:instrText>
          </w:r>
          <w:r>
            <w:fldChar w:fldCharType="separate"/>
          </w:r>
          <w:r>
            <w:rPr>
              <w:noProof/>
            </w:rPr>
            <w:t>8</w:t>
          </w:r>
          <w:r>
            <w:fldChar w:fldCharType="end"/>
          </w:r>
        </w:p>
      </w:tc>
    </w:tr>
    <w:tr w:rsidR="00B517D5" w:rsidRPr="007410E8" w:rsidTr="00B517D5">
      <w:trPr>
        <w:jc w:val="center"/>
      </w:trPr>
      <w:tc>
        <w:tcPr>
          <w:tcW w:w="2604" w:type="pct"/>
          <w:shd w:val="clear" w:color="auto" w:fill="auto"/>
        </w:tcPr>
        <w:p w:rsidR="00B517D5" w:rsidRPr="007410E8" w:rsidRDefault="00B517D5" w:rsidP="0035025C">
          <w:pPr>
            <w:pStyle w:val="FooterText"/>
            <w:rPr>
              <w:sz w:val="16"/>
            </w:rPr>
          </w:pPr>
        </w:p>
      </w:tc>
      <w:tc>
        <w:tcPr>
          <w:tcW w:w="1319" w:type="pct"/>
          <w:shd w:val="clear" w:color="auto" w:fill="auto"/>
        </w:tcPr>
        <w:p w:rsidR="00B517D5" w:rsidRPr="007410E8" w:rsidRDefault="00B517D5" w:rsidP="0035025C">
          <w:pPr>
            <w:pStyle w:val="FooterText"/>
            <w:rPr>
              <w:sz w:val="16"/>
            </w:rPr>
          </w:pPr>
        </w:p>
      </w:tc>
      <w:tc>
        <w:tcPr>
          <w:tcW w:w="1077" w:type="pct"/>
          <w:shd w:val="clear" w:color="auto" w:fill="auto"/>
        </w:tcPr>
        <w:p w:rsidR="00B517D5" w:rsidRPr="007410E8" w:rsidRDefault="00B517D5" w:rsidP="0035025C">
          <w:pPr>
            <w:pStyle w:val="FooterText"/>
            <w:jc w:val="right"/>
            <w:rPr>
              <w:sz w:val="16"/>
            </w:rPr>
          </w:pPr>
          <w:r>
            <w:rPr>
              <w:b/>
              <w:position w:val="-4"/>
              <w:sz w:val="36"/>
            </w:rPr>
            <w:t>FR</w:t>
          </w:r>
        </w:p>
      </w:tc>
    </w:tr>
    <w:bookmarkEnd w:id="1"/>
  </w:tbl>
  <w:p w:rsidR="00926EAF" w:rsidRPr="00B517D5" w:rsidRDefault="00926EAF" w:rsidP="00B517D5">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B517D5" w:rsidRPr="009C2FB3" w:rsidTr="00B517D5">
      <w:trPr>
        <w:jc w:val="center"/>
      </w:trPr>
      <w:tc>
        <w:tcPr>
          <w:tcW w:w="569" w:type="pct"/>
          <w:shd w:val="clear" w:color="auto" w:fill="auto"/>
        </w:tcPr>
        <w:p w:rsidR="00B517D5" w:rsidRPr="009C2FB3" w:rsidRDefault="00B517D5" w:rsidP="0035025C">
          <w:pPr>
            <w:pStyle w:val="FooterText"/>
          </w:pPr>
          <w:bookmarkStart w:id="2" w:name="FOOTER_PR_COVERPAGE"/>
        </w:p>
      </w:tc>
      <w:tc>
        <w:tcPr>
          <w:tcW w:w="3760" w:type="pct"/>
          <w:gridSpan w:val="3"/>
          <w:shd w:val="clear" w:color="auto" w:fill="auto"/>
          <w:noWrap/>
        </w:tcPr>
        <w:p w:rsidR="00B517D5" w:rsidRPr="00F37CD6" w:rsidRDefault="00B517D5"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B517D5" w:rsidRPr="009C2FB3" w:rsidRDefault="00B517D5" w:rsidP="0035025C">
          <w:pPr>
            <w:pStyle w:val="FooterText"/>
          </w:pPr>
        </w:p>
      </w:tc>
    </w:tr>
    <w:tr w:rsidR="00B517D5" w:rsidRPr="007410E8" w:rsidTr="00B517D5">
      <w:trPr>
        <w:jc w:val="center"/>
      </w:trPr>
      <w:tc>
        <w:tcPr>
          <w:tcW w:w="5000" w:type="pct"/>
          <w:gridSpan w:val="5"/>
          <w:shd w:val="clear" w:color="auto" w:fill="auto"/>
        </w:tcPr>
        <w:p w:rsidR="00B517D5" w:rsidRPr="00827A78" w:rsidRDefault="00B517D5" w:rsidP="0035025C">
          <w:pPr>
            <w:pStyle w:val="FooterAddressText"/>
          </w:pPr>
        </w:p>
        <w:p w:rsidR="00B517D5" w:rsidRPr="007410E8" w:rsidRDefault="00B517D5" w:rsidP="0035025C">
          <w:pPr>
            <w:pStyle w:val="FooterAddressText"/>
          </w:pPr>
          <w:r>
            <w:t>Rue de la Loi 175  B – 1048 BRUXELLES  Tél. +32 (0)2 281 6319 / 6319  Fax +32 (0)2 281 8026</w:t>
          </w:r>
        </w:p>
      </w:tc>
    </w:tr>
    <w:tr w:rsidR="00B517D5" w:rsidRPr="007410E8" w:rsidTr="00B517D5">
      <w:trPr>
        <w:jc w:val="center"/>
      </w:trPr>
      <w:tc>
        <w:tcPr>
          <w:tcW w:w="5000" w:type="pct"/>
          <w:gridSpan w:val="5"/>
          <w:shd w:val="clear" w:color="auto" w:fill="auto"/>
        </w:tcPr>
        <w:p w:rsidR="00B517D5" w:rsidRPr="007410E8" w:rsidRDefault="00B517D5" w:rsidP="0035025C">
          <w:pPr>
            <w:pStyle w:val="FooterText"/>
            <w:jc w:val="center"/>
            <w:rPr>
              <w:sz w:val="20"/>
              <w:szCs w:val="20"/>
            </w:rPr>
          </w:pPr>
          <w:hyperlink r:id="rId1" w:history="1">
            <w:r w:rsidRPr="00B517D5">
              <w:rPr>
                <w:rStyle w:val="Hyperlink"/>
                <w:sz w:val="20"/>
              </w:rPr>
              <w:t>press.office@consilium.europa.eu</w:t>
            </w:r>
          </w:hyperlink>
          <w:r w:rsidRPr="007410E8">
            <w:rPr>
              <w:sz w:val="20"/>
              <w:szCs w:val="20"/>
            </w:rPr>
            <w:t xml:space="preserve">  </w:t>
          </w:r>
          <w:hyperlink r:id="rId2" w:history="1">
            <w:r w:rsidRPr="00B517D5">
              <w:rPr>
                <w:rStyle w:val="Hyperlink"/>
                <w:sz w:val="20"/>
              </w:rPr>
              <w:t>http://www.consilium.europa.eu/press</w:t>
            </w:r>
          </w:hyperlink>
        </w:p>
      </w:tc>
    </w:tr>
    <w:tr w:rsidR="00B517D5" w:rsidRPr="007410E8" w:rsidTr="00B517D5">
      <w:trPr>
        <w:jc w:val="center"/>
      </w:trPr>
      <w:tc>
        <w:tcPr>
          <w:tcW w:w="2604" w:type="pct"/>
          <w:gridSpan w:val="2"/>
          <w:shd w:val="clear" w:color="auto" w:fill="auto"/>
        </w:tcPr>
        <w:p w:rsidR="00B517D5" w:rsidRPr="007410E8" w:rsidRDefault="00B517D5" w:rsidP="0035025C">
          <w:pPr>
            <w:pStyle w:val="FooterText"/>
            <w:spacing w:before="60"/>
            <w:rPr>
              <w:sz w:val="16"/>
            </w:rPr>
          </w:pPr>
          <w:r>
            <w:t>9938/15</w:t>
          </w:r>
          <w:r w:rsidRPr="002511D8">
            <w:t xml:space="preserve"> </w:t>
          </w:r>
        </w:p>
      </w:tc>
      <w:tc>
        <w:tcPr>
          <w:tcW w:w="1319" w:type="pct"/>
          <w:shd w:val="clear" w:color="auto" w:fill="auto"/>
        </w:tcPr>
        <w:p w:rsidR="00B517D5" w:rsidRPr="007410E8" w:rsidRDefault="00B517D5" w:rsidP="0035025C">
          <w:pPr>
            <w:pStyle w:val="FooterText"/>
            <w:spacing w:before="120"/>
            <w:rPr>
              <w:sz w:val="16"/>
            </w:rPr>
          </w:pPr>
        </w:p>
      </w:tc>
      <w:tc>
        <w:tcPr>
          <w:tcW w:w="1077" w:type="pct"/>
          <w:gridSpan w:val="2"/>
          <w:shd w:val="clear" w:color="auto" w:fill="auto"/>
        </w:tcPr>
        <w:p w:rsidR="00B517D5" w:rsidRPr="007410E8" w:rsidRDefault="00B517D5"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B517D5" w:rsidRPr="007410E8" w:rsidTr="00B517D5">
      <w:trPr>
        <w:jc w:val="center"/>
      </w:trPr>
      <w:tc>
        <w:tcPr>
          <w:tcW w:w="2604" w:type="pct"/>
          <w:gridSpan w:val="2"/>
          <w:shd w:val="clear" w:color="auto" w:fill="auto"/>
        </w:tcPr>
        <w:p w:rsidR="00B517D5" w:rsidRPr="007410E8" w:rsidRDefault="00B517D5" w:rsidP="0035025C">
          <w:pPr>
            <w:pStyle w:val="FooterText"/>
            <w:rPr>
              <w:sz w:val="16"/>
            </w:rPr>
          </w:pPr>
        </w:p>
      </w:tc>
      <w:tc>
        <w:tcPr>
          <w:tcW w:w="1319" w:type="pct"/>
          <w:shd w:val="clear" w:color="auto" w:fill="auto"/>
        </w:tcPr>
        <w:p w:rsidR="00B517D5" w:rsidRPr="007410E8" w:rsidRDefault="00B517D5" w:rsidP="0035025C">
          <w:pPr>
            <w:pStyle w:val="FooterText"/>
            <w:rPr>
              <w:sz w:val="16"/>
            </w:rPr>
          </w:pPr>
        </w:p>
      </w:tc>
      <w:tc>
        <w:tcPr>
          <w:tcW w:w="1077" w:type="pct"/>
          <w:gridSpan w:val="2"/>
          <w:shd w:val="clear" w:color="auto" w:fill="auto"/>
        </w:tcPr>
        <w:p w:rsidR="00B517D5" w:rsidRPr="007410E8" w:rsidRDefault="00B517D5" w:rsidP="0035025C">
          <w:pPr>
            <w:pStyle w:val="FooterText"/>
            <w:jc w:val="right"/>
            <w:rPr>
              <w:sz w:val="16"/>
            </w:rPr>
          </w:pPr>
          <w:r>
            <w:rPr>
              <w:b/>
              <w:position w:val="-4"/>
              <w:sz w:val="36"/>
            </w:rPr>
            <w:t>FR</w:t>
          </w:r>
        </w:p>
      </w:tc>
    </w:tr>
    <w:bookmarkEnd w:id="2"/>
  </w:tbl>
  <w:p w:rsidR="00926EAF" w:rsidRPr="00B517D5" w:rsidRDefault="00926EAF" w:rsidP="00B517D5">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B517D5" w:rsidRPr="007410E8" w:rsidTr="00B517D5">
      <w:trPr>
        <w:jc w:val="center"/>
      </w:trPr>
      <w:tc>
        <w:tcPr>
          <w:tcW w:w="5000" w:type="pct"/>
          <w:gridSpan w:val="3"/>
          <w:shd w:val="clear" w:color="auto" w:fill="auto"/>
        </w:tcPr>
        <w:p w:rsidR="00B517D5" w:rsidRPr="007410E8" w:rsidRDefault="00B517D5"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B517D5" w:rsidRPr="007410E8" w:rsidRDefault="00B517D5"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B517D5" w:rsidRPr="007410E8" w:rsidRDefault="00B517D5"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B517D5" w:rsidRPr="007410E8" w:rsidRDefault="00B517D5" w:rsidP="0035025C">
          <w:pPr>
            <w:pStyle w:val="FooterText"/>
            <w:tabs>
              <w:tab w:val="left" w:pos="285"/>
              <w:tab w:val="left" w:pos="585"/>
            </w:tabs>
            <w:rPr>
              <w:sz w:val="21"/>
              <w:szCs w:val="21"/>
            </w:rPr>
          </w:pPr>
        </w:p>
      </w:tc>
    </w:tr>
    <w:tr w:rsidR="00B517D5" w:rsidRPr="007410E8" w:rsidTr="00B517D5">
      <w:trPr>
        <w:jc w:val="center"/>
      </w:trPr>
      <w:tc>
        <w:tcPr>
          <w:tcW w:w="2604" w:type="pct"/>
          <w:shd w:val="clear" w:color="auto" w:fill="auto"/>
        </w:tcPr>
        <w:p w:rsidR="00B517D5" w:rsidRPr="007410E8" w:rsidRDefault="00B517D5" w:rsidP="0035025C">
          <w:pPr>
            <w:pStyle w:val="FooterText"/>
            <w:rPr>
              <w:sz w:val="16"/>
            </w:rPr>
          </w:pPr>
          <w:r>
            <w:t>9938/15</w:t>
          </w:r>
          <w:r w:rsidRPr="002511D8">
            <w:t xml:space="preserve"> </w:t>
          </w:r>
        </w:p>
      </w:tc>
      <w:tc>
        <w:tcPr>
          <w:tcW w:w="1319" w:type="pct"/>
          <w:shd w:val="clear" w:color="auto" w:fill="auto"/>
        </w:tcPr>
        <w:p w:rsidR="00B517D5" w:rsidRPr="007410E8" w:rsidRDefault="00B517D5" w:rsidP="0035025C">
          <w:pPr>
            <w:pStyle w:val="FooterText"/>
            <w:rPr>
              <w:sz w:val="16"/>
            </w:rPr>
          </w:pPr>
        </w:p>
      </w:tc>
      <w:tc>
        <w:tcPr>
          <w:tcW w:w="1077" w:type="pct"/>
          <w:shd w:val="clear" w:color="auto" w:fill="auto"/>
        </w:tcPr>
        <w:p w:rsidR="00B517D5" w:rsidRPr="007410E8" w:rsidRDefault="00B517D5"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B517D5" w:rsidRPr="007410E8" w:rsidTr="00B517D5">
      <w:trPr>
        <w:jc w:val="center"/>
      </w:trPr>
      <w:tc>
        <w:tcPr>
          <w:tcW w:w="2604" w:type="pct"/>
          <w:shd w:val="clear" w:color="auto" w:fill="auto"/>
        </w:tcPr>
        <w:p w:rsidR="00B517D5" w:rsidRPr="007410E8" w:rsidRDefault="00B517D5" w:rsidP="0035025C">
          <w:pPr>
            <w:pStyle w:val="FooterText"/>
            <w:rPr>
              <w:sz w:val="16"/>
            </w:rPr>
          </w:pPr>
        </w:p>
      </w:tc>
      <w:tc>
        <w:tcPr>
          <w:tcW w:w="1319" w:type="pct"/>
          <w:shd w:val="clear" w:color="auto" w:fill="auto"/>
        </w:tcPr>
        <w:p w:rsidR="00B517D5" w:rsidRPr="007410E8" w:rsidRDefault="00B517D5" w:rsidP="0035025C">
          <w:pPr>
            <w:pStyle w:val="FooterText"/>
            <w:rPr>
              <w:sz w:val="16"/>
            </w:rPr>
          </w:pPr>
        </w:p>
      </w:tc>
      <w:tc>
        <w:tcPr>
          <w:tcW w:w="1077" w:type="pct"/>
          <w:shd w:val="clear" w:color="auto" w:fill="auto"/>
        </w:tcPr>
        <w:p w:rsidR="00B517D5" w:rsidRPr="007410E8" w:rsidRDefault="00B517D5" w:rsidP="0035025C">
          <w:pPr>
            <w:pStyle w:val="FooterText"/>
            <w:jc w:val="right"/>
            <w:rPr>
              <w:sz w:val="16"/>
            </w:rPr>
          </w:pPr>
          <w:r>
            <w:rPr>
              <w:b/>
              <w:position w:val="-4"/>
              <w:sz w:val="36"/>
            </w:rPr>
            <w:t>FR</w:t>
          </w:r>
        </w:p>
      </w:tc>
    </w:tr>
    <w:bookmarkEnd w:id="4"/>
  </w:tbl>
  <w:p w:rsidR="00434EED" w:rsidRPr="00B517D5" w:rsidRDefault="00434EED" w:rsidP="00B517D5">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EED" w:rsidRDefault="00434EED">
      <w:pPr>
        <w:spacing w:before="0" w:after="0"/>
      </w:pPr>
      <w:r>
        <w:separator/>
      </w:r>
    </w:p>
  </w:footnote>
  <w:footnote w:type="continuationSeparator" w:id="0">
    <w:p w:rsidR="00434EED" w:rsidRDefault="00434EE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68" w:rsidRPr="00B517D5" w:rsidRDefault="008A0968" w:rsidP="00B517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68" w:rsidRPr="00B517D5" w:rsidRDefault="008A0968" w:rsidP="00B517D5">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68" w:rsidRPr="00B517D5" w:rsidRDefault="008A0968" w:rsidP="00B517D5">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B517D5" w:rsidRPr="007410E8" w:rsidTr="00B517D5">
      <w:trPr>
        <w:jc w:val="center"/>
      </w:trPr>
      <w:tc>
        <w:tcPr>
          <w:tcW w:w="2500" w:type="pct"/>
          <w:shd w:val="clear" w:color="auto" w:fill="auto"/>
        </w:tcPr>
        <w:p w:rsidR="00B517D5" w:rsidRPr="007410E8" w:rsidRDefault="00B517D5" w:rsidP="0035025C">
          <w:pPr>
            <w:pStyle w:val="HeaderText"/>
            <w:rPr>
              <w:b/>
              <w:i/>
              <w:sz w:val="16"/>
              <w:u w:val="single"/>
            </w:rPr>
          </w:pPr>
          <w:bookmarkStart w:id="3" w:name="HEADER_PRMEET"/>
        </w:p>
      </w:tc>
      <w:tc>
        <w:tcPr>
          <w:tcW w:w="2500" w:type="pct"/>
          <w:shd w:val="clear" w:color="auto" w:fill="auto"/>
        </w:tcPr>
        <w:p w:rsidR="00B517D5" w:rsidRPr="007410E8" w:rsidRDefault="00B517D5" w:rsidP="00B517D5">
          <w:pPr>
            <w:pStyle w:val="HeaderText"/>
            <w:jc w:val="right"/>
            <w:rPr>
              <w:sz w:val="16"/>
            </w:rPr>
          </w:pPr>
          <w:r w:rsidRPr="00B517D5">
            <w:t>15 juin 2015</w:t>
          </w:r>
        </w:p>
      </w:tc>
    </w:tr>
    <w:bookmarkEnd w:id="3"/>
  </w:tbl>
  <w:p w:rsidR="00434EED" w:rsidRPr="00B517D5" w:rsidRDefault="00434EED" w:rsidP="00B517D5">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B517D5" w:rsidRPr="007410E8" w:rsidTr="00B517D5">
      <w:trPr>
        <w:jc w:val="center"/>
      </w:trPr>
      <w:tc>
        <w:tcPr>
          <w:tcW w:w="2500" w:type="pct"/>
          <w:shd w:val="clear" w:color="auto" w:fill="auto"/>
        </w:tcPr>
        <w:p w:rsidR="00B517D5" w:rsidRPr="007410E8" w:rsidRDefault="00B517D5" w:rsidP="0035025C">
          <w:pPr>
            <w:pStyle w:val="HeaderText"/>
            <w:rPr>
              <w:b/>
              <w:i/>
              <w:sz w:val="16"/>
              <w:u w:val="single"/>
            </w:rPr>
          </w:pPr>
        </w:p>
      </w:tc>
      <w:tc>
        <w:tcPr>
          <w:tcW w:w="2500" w:type="pct"/>
          <w:shd w:val="clear" w:color="auto" w:fill="auto"/>
        </w:tcPr>
        <w:p w:rsidR="00B517D5" w:rsidRPr="007410E8" w:rsidRDefault="00B517D5" w:rsidP="00B517D5">
          <w:pPr>
            <w:pStyle w:val="HeaderText"/>
            <w:jc w:val="right"/>
            <w:rPr>
              <w:sz w:val="16"/>
            </w:rPr>
          </w:pPr>
          <w:r w:rsidRPr="00B517D5">
            <w:t>15 juin 2015</w:t>
          </w:r>
        </w:p>
      </w:tc>
    </w:tr>
  </w:tbl>
  <w:p w:rsidR="00434EED" w:rsidRPr="00B517D5" w:rsidRDefault="00434EED" w:rsidP="00B517D5">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7"/>
    <w:lvlOverride w:ilvl="0">
      <w:startOverride w:val="1"/>
    </w:lvlOverride>
  </w:num>
  <w:num w:numId="2">
    <w:abstractNumId w:val="4"/>
    <w:lvlOverride w:ilvl="0">
      <w:startOverride w:val="1"/>
    </w:lvlOverride>
  </w:num>
  <w:num w:numId="3">
    <w:abstractNumId w:val="9"/>
    <w:lvlOverride w:ilvl="0">
      <w:startOverride w:val="1"/>
    </w:lvlOverride>
  </w:num>
  <w:num w:numId="4">
    <w:abstractNumId w:val="4"/>
  </w:num>
  <w:num w:numId="5">
    <w:abstractNumId w:val="12"/>
  </w:num>
  <w:num w:numId="6">
    <w:abstractNumId w:val="6"/>
  </w:num>
  <w:num w:numId="7">
    <w:abstractNumId w:val="5"/>
  </w:num>
  <w:num w:numId="8">
    <w:abstractNumId w:val="1"/>
  </w:num>
  <w:num w:numId="9">
    <w:abstractNumId w:val="13"/>
  </w:num>
  <w:num w:numId="10">
    <w:abstractNumId w:val="2"/>
  </w:num>
  <w:num w:numId="11">
    <w:abstractNumId w:val="3"/>
  </w:num>
  <w:num w:numId="12">
    <w:abstractNumId w:val="11"/>
  </w:num>
  <w:num w:numId="13">
    <w:abstractNumId w:val="8"/>
  </w:num>
  <w:num w:numId="14">
    <w:abstractNumId w:val="0"/>
  </w:num>
  <w:num w:numId="15">
    <w:abstractNumId w:val="14"/>
  </w:num>
  <w:num w:numId="16">
    <w:abstractNumId w:val="10"/>
  </w:num>
  <w:num w:numId="17">
    <w:abstractNumId w:val="9"/>
  </w:num>
  <w:num w:numId="18">
    <w:abstractNumId w:val="7"/>
  </w:num>
  <w:num w:numId="19">
    <w:abstractNumId w:val="4"/>
  </w:num>
  <w:num w:numId="20">
    <w:abstractNumId w:val="12"/>
  </w:num>
  <w:num w:numId="21">
    <w:abstractNumId w:val="6"/>
  </w:num>
  <w:num w:numId="22">
    <w:abstractNumId w:val="5"/>
  </w:num>
  <w:num w:numId="23">
    <w:abstractNumId w:val="1"/>
  </w:num>
  <w:num w:numId="24">
    <w:abstractNumId w:val="13"/>
  </w:num>
  <w:num w:numId="25">
    <w:abstractNumId w:val="2"/>
  </w:num>
  <w:num w:numId="26">
    <w:abstractNumId w:val="3"/>
  </w:num>
  <w:num w:numId="27">
    <w:abstractNumId w:val="11"/>
  </w:num>
  <w:num w:numId="28">
    <w:abstractNumId w:val="8"/>
  </w:num>
  <w:num w:numId="29">
    <w:abstractNumId w:val="0"/>
  </w:num>
  <w:num w:numId="30">
    <w:abstractNumId w:val="14"/>
  </w:num>
  <w:num w:numId="31">
    <w:abstractNumId w:val="10"/>
  </w:num>
  <w:num w:numId="32">
    <w:abstractNumId w:val="9"/>
  </w:num>
  <w:num w:numId="33">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8065"/>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6&quot; technicalblockguid=&quot;cd537000-d047-4a3f-8c76-a362cd929796&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9938&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41&lt;/text&gt;_x000d__x000a_      &lt;text&gt;PR CO 3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de l'environnement et du développement régional de la Lettonie&quot; name=&quot;Kaspars Gerhards&quot; text=&quot;Kaspars Gerhards, Ministre de l'environnement et du développement régional de la Lettonie&quot; genderKeyBds=&quot;gend_01&quot; /&gt;_x000d__x000a_    &lt;/presidents&gt;_x000d__x000a_  &lt;/metadata&gt;_x000d__x000a_  &lt;metadata key=&quot;md_MeetingNumber&quot;&gt;_x000d__x000a_    &lt;text&gt;3395&lt;/text&gt;_x000d__x000a_  &lt;/metadata&gt;_x000d__x000a_  &lt;metadata key=&quot;md_CouncilConfiguration&quot;&gt;_x000d__x000a_    &lt;basicdatatype&gt;_x000d__x000a_      &lt;configuration key=&quot;cc_09&quot; text=&quot;Environnement&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6319&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translate=&quot;false&quot;&gt;_x000d__x000a_    &lt;basicdatatype&gt;_x000d__x000a_      &lt;originator key=&quot;&quot; /&gt;_x000d__x000a_    &lt;/basicdatatype&gt;_x000d__x000a_  &lt;/metadata&gt;_x000d__x000a_  &lt;metadata key=&quot;md_Recipient&quot; translate=&quot;false&quot;&gt;_x000d__x000a_    &lt;basicdatatype&gt;_x000d__x000a_      &lt;recipient key=&quot;&quot; /&gt;_x000d__x000a_    &lt;/basicdatatype&gt;_x000d__x000a_  &lt;/metadata&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6-15&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originator key=&quot;visrep_02&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434EED"/>
    <w:rsid w:val="00035E1C"/>
    <w:rsid w:val="00062874"/>
    <w:rsid w:val="000842A3"/>
    <w:rsid w:val="000A63B0"/>
    <w:rsid w:val="000A6B7A"/>
    <w:rsid w:val="00104FF5"/>
    <w:rsid w:val="00113931"/>
    <w:rsid w:val="001323C4"/>
    <w:rsid w:val="001616F2"/>
    <w:rsid w:val="00170E4F"/>
    <w:rsid w:val="001A6341"/>
    <w:rsid w:val="001B4F1C"/>
    <w:rsid w:val="00226145"/>
    <w:rsid w:val="00243784"/>
    <w:rsid w:val="00274435"/>
    <w:rsid w:val="00276D78"/>
    <w:rsid w:val="00277290"/>
    <w:rsid w:val="002C6E39"/>
    <w:rsid w:val="002E434C"/>
    <w:rsid w:val="00377F42"/>
    <w:rsid w:val="0038174C"/>
    <w:rsid w:val="00382ECC"/>
    <w:rsid w:val="003946C8"/>
    <w:rsid w:val="003A05B0"/>
    <w:rsid w:val="003B1D21"/>
    <w:rsid w:val="003F5DB2"/>
    <w:rsid w:val="004048BB"/>
    <w:rsid w:val="00434EED"/>
    <w:rsid w:val="0044014D"/>
    <w:rsid w:val="00453F23"/>
    <w:rsid w:val="004545F6"/>
    <w:rsid w:val="00466835"/>
    <w:rsid w:val="004A2F3F"/>
    <w:rsid w:val="004B4E71"/>
    <w:rsid w:val="004B53F4"/>
    <w:rsid w:val="00504CA0"/>
    <w:rsid w:val="00536565"/>
    <w:rsid w:val="005415AA"/>
    <w:rsid w:val="005455E1"/>
    <w:rsid w:val="00546259"/>
    <w:rsid w:val="005C2056"/>
    <w:rsid w:val="005E71D6"/>
    <w:rsid w:val="005F18CA"/>
    <w:rsid w:val="00601740"/>
    <w:rsid w:val="006145E3"/>
    <w:rsid w:val="00631E51"/>
    <w:rsid w:val="00633CCD"/>
    <w:rsid w:val="00643404"/>
    <w:rsid w:val="00666656"/>
    <w:rsid w:val="006A56D8"/>
    <w:rsid w:val="006C3A6B"/>
    <w:rsid w:val="006E2F9D"/>
    <w:rsid w:val="006F4E9F"/>
    <w:rsid w:val="007175C0"/>
    <w:rsid w:val="00724B2E"/>
    <w:rsid w:val="00732176"/>
    <w:rsid w:val="007808C7"/>
    <w:rsid w:val="00782079"/>
    <w:rsid w:val="00782F14"/>
    <w:rsid w:val="00783F55"/>
    <w:rsid w:val="00793D47"/>
    <w:rsid w:val="007B18CB"/>
    <w:rsid w:val="007D1B75"/>
    <w:rsid w:val="00803294"/>
    <w:rsid w:val="00816540"/>
    <w:rsid w:val="008246CB"/>
    <w:rsid w:val="00856055"/>
    <w:rsid w:val="00895676"/>
    <w:rsid w:val="008A0968"/>
    <w:rsid w:val="008F3E1B"/>
    <w:rsid w:val="00926EAF"/>
    <w:rsid w:val="009434D2"/>
    <w:rsid w:val="00990976"/>
    <w:rsid w:val="009A524B"/>
    <w:rsid w:val="009C0F66"/>
    <w:rsid w:val="009D2191"/>
    <w:rsid w:val="009E2C5D"/>
    <w:rsid w:val="00A02007"/>
    <w:rsid w:val="00A07589"/>
    <w:rsid w:val="00A1371C"/>
    <w:rsid w:val="00A33747"/>
    <w:rsid w:val="00A34506"/>
    <w:rsid w:val="00A67613"/>
    <w:rsid w:val="00A75A02"/>
    <w:rsid w:val="00A76CDC"/>
    <w:rsid w:val="00AC49D2"/>
    <w:rsid w:val="00B03546"/>
    <w:rsid w:val="00B03B02"/>
    <w:rsid w:val="00B073A1"/>
    <w:rsid w:val="00B34272"/>
    <w:rsid w:val="00B517D5"/>
    <w:rsid w:val="00B70389"/>
    <w:rsid w:val="00B80833"/>
    <w:rsid w:val="00B91470"/>
    <w:rsid w:val="00B94216"/>
    <w:rsid w:val="00BD2CCA"/>
    <w:rsid w:val="00BD54A3"/>
    <w:rsid w:val="00BF3606"/>
    <w:rsid w:val="00BF370C"/>
    <w:rsid w:val="00C02088"/>
    <w:rsid w:val="00C30552"/>
    <w:rsid w:val="00C47300"/>
    <w:rsid w:val="00C50E11"/>
    <w:rsid w:val="00C57AAC"/>
    <w:rsid w:val="00C73522"/>
    <w:rsid w:val="00CC61F2"/>
    <w:rsid w:val="00CD50BC"/>
    <w:rsid w:val="00D003E5"/>
    <w:rsid w:val="00D1253C"/>
    <w:rsid w:val="00D45C7C"/>
    <w:rsid w:val="00DE1FBE"/>
    <w:rsid w:val="00DF0845"/>
    <w:rsid w:val="00DF3B2A"/>
    <w:rsid w:val="00E24520"/>
    <w:rsid w:val="00E3257C"/>
    <w:rsid w:val="00E401CC"/>
    <w:rsid w:val="00E737DC"/>
    <w:rsid w:val="00E93377"/>
    <w:rsid w:val="00E938A1"/>
    <w:rsid w:val="00EC6CB8"/>
    <w:rsid w:val="00EE4102"/>
    <w:rsid w:val="00EF268F"/>
    <w:rsid w:val="00EF5C3F"/>
    <w:rsid w:val="00F533DD"/>
    <w:rsid w:val="00FA54EC"/>
    <w:rsid w:val="00FC7382"/>
    <w:rsid w:val="00FE5FD7"/>
    <w:rsid w:val="00FE7EB7"/>
    <w:rsid w:val="00FF233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25"/>
      </w:numPr>
      <w:spacing w:before="360"/>
      <w:outlineLvl w:val="0"/>
    </w:pPr>
    <w:rPr>
      <w:b/>
      <w:bCs/>
      <w:smallCaps/>
      <w:szCs w:val="32"/>
    </w:rPr>
  </w:style>
  <w:style w:type="paragraph" w:styleId="Heading2">
    <w:name w:val="heading 2"/>
    <w:basedOn w:val="Normal"/>
    <w:next w:val="Text1"/>
    <w:qFormat/>
    <w:rsid w:val="00A76CDC"/>
    <w:pPr>
      <w:keepNext/>
      <w:numPr>
        <w:ilvl w:val="1"/>
        <w:numId w:val="25"/>
      </w:numPr>
      <w:outlineLvl w:val="1"/>
    </w:pPr>
    <w:rPr>
      <w:b/>
      <w:bCs/>
      <w:iCs/>
      <w:szCs w:val="28"/>
    </w:rPr>
  </w:style>
  <w:style w:type="paragraph" w:styleId="Heading3">
    <w:name w:val="heading 3"/>
    <w:basedOn w:val="Normal"/>
    <w:next w:val="Text1"/>
    <w:qFormat/>
    <w:rsid w:val="00A76CDC"/>
    <w:pPr>
      <w:keepNext/>
      <w:numPr>
        <w:ilvl w:val="2"/>
        <w:numId w:val="25"/>
      </w:numPr>
      <w:outlineLvl w:val="2"/>
    </w:pPr>
    <w:rPr>
      <w:bCs/>
      <w:i/>
      <w:szCs w:val="26"/>
    </w:rPr>
  </w:style>
  <w:style w:type="paragraph" w:styleId="Heading4">
    <w:name w:val="heading 4"/>
    <w:basedOn w:val="Normal"/>
    <w:next w:val="Text1"/>
    <w:qFormat/>
    <w:rsid w:val="00A76CDC"/>
    <w:pPr>
      <w:keepNext/>
      <w:numPr>
        <w:ilvl w:val="3"/>
        <w:numId w:val="25"/>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434EED"/>
    <w:pPr>
      <w:spacing w:before="0" w:after="440"/>
      <w:ind w:left="-1134" w:right="-1134"/>
    </w:pPr>
    <w:rPr>
      <w:sz w:val="2"/>
    </w:rPr>
  </w:style>
  <w:style w:type="character" w:customStyle="1" w:styleId="TechnicalBlockChar">
    <w:name w:val="Technical Block Char"/>
    <w:basedOn w:val="DefaultParagraphFont"/>
    <w:rsid w:val="00434EED"/>
    <w:rPr>
      <w:sz w:val="24"/>
      <w:szCs w:val="24"/>
      <w:lang w:val="fr-FR" w:eastAsia="fr-FR"/>
    </w:rPr>
  </w:style>
  <w:style w:type="character" w:customStyle="1" w:styleId="HeaderCouncilLargeChar">
    <w:name w:val="Header Council Large Char"/>
    <w:basedOn w:val="TechnicalBlockChar"/>
    <w:link w:val="HeaderCouncilLarge"/>
    <w:rsid w:val="00434EED"/>
    <w:rPr>
      <w:sz w:val="2"/>
      <w:szCs w:val="24"/>
      <w:lang w:val="fr-FR" w:eastAsia="fr-FR"/>
    </w:rPr>
  </w:style>
  <w:style w:type="paragraph" w:customStyle="1" w:styleId="FooterText">
    <w:name w:val="Footer Text"/>
    <w:basedOn w:val="Normal"/>
    <w:rsid w:val="00434EED"/>
    <w:pPr>
      <w:spacing w:before="0" w:after="0"/>
    </w:pPr>
  </w:style>
  <w:style w:type="paragraph" w:customStyle="1" w:styleId="FooterAddressText">
    <w:name w:val="Footer Address Text"/>
    <w:basedOn w:val="FooterText"/>
    <w:qFormat/>
    <w:rsid w:val="00434EED"/>
    <w:pPr>
      <w:jc w:val="center"/>
    </w:pPr>
    <w:rPr>
      <w:spacing w:val="10"/>
      <w:sz w:val="16"/>
      <w:szCs w:val="16"/>
    </w:rPr>
  </w:style>
  <w:style w:type="character" w:styleId="Hyperlink">
    <w:name w:val="Hyperlink"/>
    <w:basedOn w:val="DefaultParagraphFont"/>
    <w:uiPriority w:val="99"/>
    <w:unhideWhenUsed/>
    <w:rsid w:val="00434EED"/>
    <w:rPr>
      <w:color w:val="0000FF" w:themeColor="hyperlink"/>
      <w:u w:val="single"/>
    </w:rPr>
  </w:style>
  <w:style w:type="paragraph" w:customStyle="1" w:styleId="HeaderText">
    <w:name w:val="Header Text"/>
    <w:basedOn w:val="Normal"/>
    <w:rsid w:val="00434EED"/>
    <w:pPr>
      <w:spacing w:before="0" w:after="0"/>
    </w:pPr>
  </w:style>
  <w:style w:type="paragraph" w:customStyle="1" w:styleId="CharChar">
    <w:name w:val="Char Char"/>
    <w:basedOn w:val="Normal"/>
    <w:rsid w:val="008F3E1B"/>
    <w:pPr>
      <w:spacing w:before="0" w:after="0"/>
    </w:pPr>
  </w:style>
  <w:style w:type="paragraph" w:customStyle="1" w:styleId="Default">
    <w:name w:val="Default"/>
    <w:rsid w:val="0044014D"/>
    <w:pPr>
      <w:autoSpaceDE w:val="0"/>
      <w:autoSpaceDN w:val="0"/>
      <w:adjustRightInd w:val="0"/>
    </w:pPr>
    <w:rPr>
      <w:rFonts w:eastAsiaTheme="minorHAnsi"/>
      <w:color w:val="000000"/>
      <w:sz w:val="24"/>
      <w:szCs w:val="24"/>
    </w:rPr>
  </w:style>
  <w:style w:type="character" w:customStyle="1" w:styleId="Heading1Char">
    <w:name w:val="Heading 1 Char"/>
    <w:basedOn w:val="DefaultParagraphFont"/>
    <w:rsid w:val="002E434C"/>
    <w:rPr>
      <w:b/>
      <w:bCs/>
      <w:smallCaps/>
      <w:sz w:val="24"/>
      <w:szCs w:val="32"/>
      <w:lang w:val="fr-FR" w:eastAsia="fr-FR"/>
    </w:rPr>
  </w:style>
  <w:style w:type="character" w:styleId="FollowedHyperlink">
    <w:name w:val="FollowedHyperlink"/>
    <w:basedOn w:val="DefaultParagraphFont"/>
    <w:uiPriority w:val="99"/>
    <w:semiHidden/>
    <w:unhideWhenUsed/>
    <w:rsid w:val="002E434C"/>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B073A1"/>
    <w:rPr>
      <w:lang w:val="fr-FR" w:eastAsia="fr-FR"/>
    </w:rPr>
  </w:style>
  <w:style w:type="paragraph" w:styleId="CommentSubject">
    <w:name w:val="annotation subject"/>
    <w:basedOn w:val="CommentText"/>
    <w:next w:val="CommentText"/>
    <w:link w:val="CommentSubjectChar"/>
    <w:uiPriority w:val="99"/>
    <w:semiHidden/>
    <w:unhideWhenUsed/>
    <w:rsid w:val="00B073A1"/>
    <w:rPr>
      <w:b/>
      <w:bCs/>
    </w:rPr>
  </w:style>
  <w:style w:type="character" w:customStyle="1" w:styleId="CommentSubjectChar">
    <w:name w:val="Comment Subject Char"/>
    <w:basedOn w:val="CommentTextChar"/>
    <w:link w:val="CommentSubject"/>
    <w:uiPriority w:val="99"/>
    <w:semiHidden/>
    <w:rsid w:val="00B073A1"/>
    <w:rPr>
      <w:b/>
      <w:bCs/>
      <w:lang w:val="fr-FR" w:eastAsia="fr-FR"/>
    </w:rPr>
  </w:style>
  <w:style w:type="paragraph" w:styleId="BalloonText">
    <w:name w:val="Balloon Text"/>
    <w:basedOn w:val="Normal"/>
    <w:link w:val="BalloonTextChar"/>
    <w:uiPriority w:val="99"/>
    <w:semiHidden/>
    <w:unhideWhenUsed/>
    <w:rsid w:val="004B53F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3F4"/>
    <w:rPr>
      <w:rFonts w:ascii="Tahoma" w:hAnsi="Tahoma" w:cs="Tahoma"/>
      <w:sz w:val="16"/>
      <w:szCs w:val="16"/>
      <w:lang w:val="fr-FR" w:eastAsia="fr-FR"/>
    </w:rPr>
  </w:style>
  <w:style w:type="paragraph" w:styleId="ListParagraph">
    <w:name w:val="List Paragraph"/>
    <w:basedOn w:val="Normal"/>
    <w:uiPriority w:val="34"/>
    <w:qFormat/>
    <w:rsid w:val="00DE1FBE"/>
    <w:pPr>
      <w:spacing w:before="0" w:after="0" w:line="360" w:lineRule="auto"/>
      <w:ind w:left="720"/>
      <w:contextualSpacing/>
    </w:pPr>
    <w:rPr>
      <w:rFonts w:eastAsiaTheme="minorHAnsi" w:cstheme="minorBidi"/>
      <w:szCs w:val="22"/>
    </w:rPr>
  </w:style>
  <w:style w:type="paragraph" w:customStyle="1" w:styleId="Typedudocument">
    <w:name w:val="Type du document"/>
    <w:basedOn w:val="Normal"/>
    <w:next w:val="Normal"/>
    <w:rsid w:val="00DE1FBE"/>
    <w:pPr>
      <w:spacing w:before="360" w:after="0"/>
      <w:jc w:val="center"/>
    </w:pPr>
    <w:rPr>
      <w:rFonts w:eastAsia="Calibri"/>
      <w:b/>
      <w:szCs w:val="20"/>
    </w:rPr>
  </w:style>
  <w:style w:type="paragraph" w:styleId="EndnoteText">
    <w:name w:val="endnote text"/>
    <w:basedOn w:val="Normal"/>
    <w:link w:val="EndnoteTextChar"/>
    <w:semiHidden/>
    <w:unhideWhenUsed/>
    <w:rsid w:val="00DE1FBE"/>
    <w:pPr>
      <w:widowControl w:val="0"/>
      <w:snapToGrid w:val="0"/>
      <w:spacing w:before="0" w:after="0"/>
    </w:pPr>
    <w:rPr>
      <w:szCs w:val="20"/>
    </w:rPr>
  </w:style>
  <w:style w:type="character" w:customStyle="1" w:styleId="EndnoteTextChar">
    <w:name w:val="Endnote Text Char"/>
    <w:basedOn w:val="DefaultParagraphFont"/>
    <w:link w:val="EndnoteText"/>
    <w:semiHidden/>
    <w:rsid w:val="00DE1FBE"/>
    <w:rPr>
      <w:sz w:val="24"/>
      <w:lang w:val="fr-FR" w:eastAsia="fr-FR"/>
    </w:rPr>
  </w:style>
  <w:style w:type="paragraph" w:customStyle="1" w:styleId="s29">
    <w:name w:val="s29"/>
    <w:basedOn w:val="Normal"/>
    <w:uiPriority w:val="99"/>
    <w:semiHidden/>
    <w:rsid w:val="00DF0845"/>
    <w:pPr>
      <w:spacing w:before="100" w:beforeAutospacing="1" w:after="100" w:afterAutospacing="1"/>
    </w:pPr>
    <w:rPr>
      <w:rFonts w:eastAsia="Calibri"/>
    </w:rPr>
  </w:style>
  <w:style w:type="character" w:customStyle="1" w:styleId="bumpedfont15">
    <w:name w:val="bumpedfont15"/>
    <w:rsid w:val="00DF0845"/>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33"/>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2"/>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9"/>
      </w:numPr>
    </w:pPr>
  </w:style>
  <w:style w:type="paragraph" w:customStyle="1" w:styleId="Tiret1">
    <w:name w:val="Tiret 1"/>
    <w:basedOn w:val="Normal"/>
    <w:rsid w:val="00A76CDC"/>
    <w:pPr>
      <w:numPr>
        <w:numId w:val="20"/>
      </w:numPr>
      <w:outlineLvl w:val="0"/>
    </w:pPr>
  </w:style>
  <w:style w:type="paragraph" w:customStyle="1" w:styleId="Tiret2">
    <w:name w:val="Tiret 2"/>
    <w:basedOn w:val="Normal"/>
    <w:rsid w:val="00A76CDC"/>
    <w:pPr>
      <w:numPr>
        <w:numId w:val="21"/>
      </w:numPr>
      <w:outlineLvl w:val="1"/>
    </w:pPr>
  </w:style>
  <w:style w:type="paragraph" w:customStyle="1" w:styleId="Tiret3">
    <w:name w:val="Tiret 3"/>
    <w:basedOn w:val="Normal"/>
    <w:rsid w:val="00A76CDC"/>
    <w:pPr>
      <w:numPr>
        <w:numId w:val="22"/>
      </w:numPr>
      <w:outlineLvl w:val="2"/>
    </w:pPr>
  </w:style>
  <w:style w:type="paragraph" w:customStyle="1" w:styleId="Tiret4">
    <w:name w:val="Tiret 4"/>
    <w:basedOn w:val="Normal"/>
    <w:rsid w:val="00A76CDC"/>
    <w:pPr>
      <w:numPr>
        <w:numId w:val="23"/>
      </w:numPr>
      <w:outlineLvl w:val="3"/>
    </w:pPr>
  </w:style>
  <w:style w:type="paragraph" w:customStyle="1" w:styleId="NumPar1">
    <w:name w:val="NumPar 1"/>
    <w:basedOn w:val="Normal"/>
    <w:next w:val="Text1"/>
    <w:rsid w:val="00A76CDC"/>
    <w:pPr>
      <w:numPr>
        <w:numId w:val="24"/>
      </w:numPr>
      <w:outlineLvl w:val="0"/>
    </w:pPr>
  </w:style>
  <w:style w:type="paragraph" w:customStyle="1" w:styleId="NumPar2">
    <w:name w:val="NumPar 2"/>
    <w:basedOn w:val="Normal"/>
    <w:next w:val="Text1"/>
    <w:rsid w:val="00A76CDC"/>
    <w:pPr>
      <w:numPr>
        <w:ilvl w:val="1"/>
        <w:numId w:val="24"/>
      </w:numPr>
      <w:outlineLvl w:val="1"/>
    </w:pPr>
  </w:style>
  <w:style w:type="paragraph" w:customStyle="1" w:styleId="NumPar3">
    <w:name w:val="NumPar 3"/>
    <w:basedOn w:val="Normal"/>
    <w:next w:val="Text1"/>
    <w:rsid w:val="00A76CDC"/>
    <w:pPr>
      <w:numPr>
        <w:ilvl w:val="2"/>
        <w:numId w:val="24"/>
      </w:numPr>
      <w:outlineLvl w:val="2"/>
    </w:pPr>
  </w:style>
  <w:style w:type="paragraph" w:customStyle="1" w:styleId="NumPar4">
    <w:name w:val="NumPar 4"/>
    <w:basedOn w:val="Normal"/>
    <w:next w:val="Text1"/>
    <w:rsid w:val="00A76CDC"/>
    <w:pPr>
      <w:numPr>
        <w:ilvl w:val="3"/>
        <w:numId w:val="24"/>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6"/>
      </w:numPr>
    </w:pPr>
  </w:style>
  <w:style w:type="paragraph" w:customStyle="1" w:styleId="Point1number">
    <w:name w:val="Point 1 (number)"/>
    <w:basedOn w:val="Normal"/>
    <w:rsid w:val="00A76CDC"/>
    <w:pPr>
      <w:numPr>
        <w:ilvl w:val="2"/>
        <w:numId w:val="26"/>
      </w:numPr>
      <w:outlineLvl w:val="0"/>
    </w:pPr>
  </w:style>
  <w:style w:type="paragraph" w:customStyle="1" w:styleId="Point2number">
    <w:name w:val="Point 2 (number)"/>
    <w:basedOn w:val="Normal"/>
    <w:rsid w:val="00A76CDC"/>
    <w:pPr>
      <w:numPr>
        <w:ilvl w:val="4"/>
        <w:numId w:val="26"/>
      </w:numPr>
      <w:outlineLvl w:val="1"/>
    </w:pPr>
  </w:style>
  <w:style w:type="paragraph" w:customStyle="1" w:styleId="Point3number">
    <w:name w:val="Point 3 (number)"/>
    <w:basedOn w:val="Normal"/>
    <w:rsid w:val="00A76CDC"/>
    <w:pPr>
      <w:numPr>
        <w:ilvl w:val="6"/>
        <w:numId w:val="26"/>
      </w:numPr>
      <w:outlineLvl w:val="2"/>
    </w:pPr>
  </w:style>
  <w:style w:type="paragraph" w:customStyle="1" w:styleId="Point0letter">
    <w:name w:val="Point 0 (letter)"/>
    <w:basedOn w:val="Normal"/>
    <w:rsid w:val="00A76CDC"/>
    <w:pPr>
      <w:numPr>
        <w:ilvl w:val="1"/>
        <w:numId w:val="26"/>
      </w:numPr>
    </w:pPr>
  </w:style>
  <w:style w:type="paragraph" w:customStyle="1" w:styleId="Point1letter">
    <w:name w:val="Point 1 (letter)"/>
    <w:basedOn w:val="Normal"/>
    <w:rsid w:val="00A76CDC"/>
    <w:pPr>
      <w:numPr>
        <w:ilvl w:val="3"/>
        <w:numId w:val="26"/>
      </w:numPr>
      <w:outlineLvl w:val="0"/>
    </w:pPr>
  </w:style>
  <w:style w:type="paragraph" w:customStyle="1" w:styleId="Point2letter">
    <w:name w:val="Point 2 (letter)"/>
    <w:basedOn w:val="Normal"/>
    <w:rsid w:val="00A76CDC"/>
    <w:pPr>
      <w:numPr>
        <w:ilvl w:val="5"/>
        <w:numId w:val="26"/>
      </w:numPr>
      <w:outlineLvl w:val="1"/>
    </w:pPr>
  </w:style>
  <w:style w:type="paragraph" w:customStyle="1" w:styleId="Point3letter">
    <w:name w:val="Point 3 (letter)"/>
    <w:basedOn w:val="Normal"/>
    <w:rsid w:val="00A76CDC"/>
    <w:pPr>
      <w:numPr>
        <w:ilvl w:val="7"/>
        <w:numId w:val="26"/>
      </w:numPr>
      <w:outlineLvl w:val="2"/>
    </w:pPr>
  </w:style>
  <w:style w:type="paragraph" w:customStyle="1" w:styleId="Point4letter">
    <w:name w:val="Point 4 (letter)"/>
    <w:basedOn w:val="Normal"/>
    <w:rsid w:val="00A76CDC"/>
    <w:pPr>
      <w:numPr>
        <w:ilvl w:val="8"/>
        <w:numId w:val="26"/>
      </w:numPr>
      <w:outlineLvl w:val="3"/>
    </w:pPr>
  </w:style>
  <w:style w:type="paragraph" w:customStyle="1" w:styleId="Bullet0">
    <w:name w:val="Bullet 0"/>
    <w:basedOn w:val="Normal"/>
    <w:rsid w:val="00A76CDC"/>
    <w:pPr>
      <w:numPr>
        <w:numId w:val="27"/>
      </w:numPr>
    </w:pPr>
  </w:style>
  <w:style w:type="paragraph" w:customStyle="1" w:styleId="Bullet1">
    <w:name w:val="Bullet 1"/>
    <w:basedOn w:val="Normal"/>
    <w:rsid w:val="00A76CDC"/>
    <w:pPr>
      <w:numPr>
        <w:numId w:val="28"/>
      </w:numPr>
      <w:outlineLvl w:val="0"/>
    </w:pPr>
  </w:style>
  <w:style w:type="paragraph" w:customStyle="1" w:styleId="Bullet2">
    <w:name w:val="Bullet 2"/>
    <w:basedOn w:val="Normal"/>
    <w:rsid w:val="00A76CDC"/>
    <w:pPr>
      <w:numPr>
        <w:numId w:val="29"/>
      </w:numPr>
      <w:outlineLvl w:val="1"/>
    </w:pPr>
  </w:style>
  <w:style w:type="paragraph" w:customStyle="1" w:styleId="Bullet3">
    <w:name w:val="Bullet 3"/>
    <w:basedOn w:val="Normal"/>
    <w:rsid w:val="00A76CDC"/>
    <w:pPr>
      <w:numPr>
        <w:numId w:val="30"/>
      </w:numPr>
      <w:outlineLvl w:val="2"/>
    </w:pPr>
  </w:style>
  <w:style w:type="paragraph" w:customStyle="1" w:styleId="Bullet4">
    <w:name w:val="Bullet 4"/>
    <w:basedOn w:val="Normal"/>
    <w:rsid w:val="00A76CDC"/>
    <w:pPr>
      <w:numPr>
        <w:numId w:val="31"/>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1A6341"/>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25"/>
      </w:numPr>
      <w:spacing w:before="360"/>
      <w:outlineLvl w:val="0"/>
    </w:pPr>
    <w:rPr>
      <w:b/>
      <w:bCs/>
      <w:smallCaps/>
      <w:szCs w:val="32"/>
    </w:rPr>
  </w:style>
  <w:style w:type="paragraph" w:styleId="Heading2">
    <w:name w:val="heading 2"/>
    <w:basedOn w:val="Normal"/>
    <w:next w:val="Text1"/>
    <w:qFormat/>
    <w:rsid w:val="00A76CDC"/>
    <w:pPr>
      <w:keepNext/>
      <w:numPr>
        <w:ilvl w:val="1"/>
        <w:numId w:val="25"/>
      </w:numPr>
      <w:outlineLvl w:val="1"/>
    </w:pPr>
    <w:rPr>
      <w:b/>
      <w:bCs/>
      <w:iCs/>
      <w:szCs w:val="28"/>
    </w:rPr>
  </w:style>
  <w:style w:type="paragraph" w:styleId="Heading3">
    <w:name w:val="heading 3"/>
    <w:basedOn w:val="Normal"/>
    <w:next w:val="Text1"/>
    <w:qFormat/>
    <w:rsid w:val="00A76CDC"/>
    <w:pPr>
      <w:keepNext/>
      <w:numPr>
        <w:ilvl w:val="2"/>
        <w:numId w:val="25"/>
      </w:numPr>
      <w:outlineLvl w:val="2"/>
    </w:pPr>
    <w:rPr>
      <w:bCs/>
      <w:i/>
      <w:szCs w:val="26"/>
    </w:rPr>
  </w:style>
  <w:style w:type="paragraph" w:styleId="Heading4">
    <w:name w:val="heading 4"/>
    <w:basedOn w:val="Normal"/>
    <w:next w:val="Text1"/>
    <w:qFormat/>
    <w:rsid w:val="00A76CDC"/>
    <w:pPr>
      <w:keepNext/>
      <w:numPr>
        <w:ilvl w:val="3"/>
        <w:numId w:val="25"/>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434EED"/>
    <w:pPr>
      <w:spacing w:before="0" w:after="440"/>
      <w:ind w:left="-1134" w:right="-1134"/>
    </w:pPr>
    <w:rPr>
      <w:sz w:val="2"/>
    </w:rPr>
  </w:style>
  <w:style w:type="character" w:customStyle="1" w:styleId="TechnicalBlockChar">
    <w:name w:val="Technical Block Char"/>
    <w:basedOn w:val="DefaultParagraphFont"/>
    <w:rsid w:val="00434EED"/>
    <w:rPr>
      <w:sz w:val="24"/>
      <w:szCs w:val="24"/>
      <w:lang w:val="fr-FR" w:eastAsia="fr-FR"/>
    </w:rPr>
  </w:style>
  <w:style w:type="character" w:customStyle="1" w:styleId="HeaderCouncilLargeChar">
    <w:name w:val="Header Council Large Char"/>
    <w:basedOn w:val="TechnicalBlockChar"/>
    <w:link w:val="HeaderCouncilLarge"/>
    <w:rsid w:val="00434EED"/>
    <w:rPr>
      <w:sz w:val="2"/>
      <w:szCs w:val="24"/>
      <w:lang w:val="fr-FR" w:eastAsia="fr-FR"/>
    </w:rPr>
  </w:style>
  <w:style w:type="paragraph" w:customStyle="1" w:styleId="FooterText">
    <w:name w:val="Footer Text"/>
    <w:basedOn w:val="Normal"/>
    <w:rsid w:val="00434EED"/>
    <w:pPr>
      <w:spacing w:before="0" w:after="0"/>
    </w:pPr>
  </w:style>
  <w:style w:type="paragraph" w:customStyle="1" w:styleId="FooterAddressText">
    <w:name w:val="Footer Address Text"/>
    <w:basedOn w:val="FooterText"/>
    <w:qFormat/>
    <w:rsid w:val="00434EED"/>
    <w:pPr>
      <w:jc w:val="center"/>
    </w:pPr>
    <w:rPr>
      <w:spacing w:val="10"/>
      <w:sz w:val="16"/>
      <w:szCs w:val="16"/>
    </w:rPr>
  </w:style>
  <w:style w:type="character" w:styleId="Hyperlink">
    <w:name w:val="Hyperlink"/>
    <w:basedOn w:val="DefaultParagraphFont"/>
    <w:uiPriority w:val="99"/>
    <w:unhideWhenUsed/>
    <w:rsid w:val="00434EED"/>
    <w:rPr>
      <w:color w:val="0000FF" w:themeColor="hyperlink"/>
      <w:u w:val="single"/>
    </w:rPr>
  </w:style>
  <w:style w:type="paragraph" w:customStyle="1" w:styleId="HeaderText">
    <w:name w:val="Header Text"/>
    <w:basedOn w:val="Normal"/>
    <w:rsid w:val="00434EED"/>
    <w:pPr>
      <w:spacing w:before="0" w:after="0"/>
    </w:pPr>
  </w:style>
  <w:style w:type="paragraph" w:customStyle="1" w:styleId="CharChar">
    <w:name w:val="Char Char"/>
    <w:basedOn w:val="Normal"/>
    <w:rsid w:val="008F3E1B"/>
    <w:pPr>
      <w:spacing w:before="0" w:after="0"/>
    </w:pPr>
  </w:style>
  <w:style w:type="paragraph" w:customStyle="1" w:styleId="Default">
    <w:name w:val="Default"/>
    <w:rsid w:val="0044014D"/>
    <w:pPr>
      <w:autoSpaceDE w:val="0"/>
      <w:autoSpaceDN w:val="0"/>
      <w:adjustRightInd w:val="0"/>
    </w:pPr>
    <w:rPr>
      <w:rFonts w:eastAsiaTheme="minorHAnsi"/>
      <w:color w:val="000000"/>
      <w:sz w:val="24"/>
      <w:szCs w:val="24"/>
    </w:rPr>
  </w:style>
  <w:style w:type="character" w:customStyle="1" w:styleId="Heading1Char">
    <w:name w:val="Heading 1 Char"/>
    <w:basedOn w:val="DefaultParagraphFont"/>
    <w:rsid w:val="002E434C"/>
    <w:rPr>
      <w:b/>
      <w:bCs/>
      <w:smallCaps/>
      <w:sz w:val="24"/>
      <w:szCs w:val="32"/>
      <w:lang w:val="fr-FR" w:eastAsia="fr-FR"/>
    </w:rPr>
  </w:style>
  <w:style w:type="character" w:styleId="FollowedHyperlink">
    <w:name w:val="FollowedHyperlink"/>
    <w:basedOn w:val="DefaultParagraphFont"/>
    <w:uiPriority w:val="99"/>
    <w:semiHidden/>
    <w:unhideWhenUsed/>
    <w:rsid w:val="002E434C"/>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B073A1"/>
    <w:rPr>
      <w:lang w:val="fr-FR" w:eastAsia="fr-FR"/>
    </w:rPr>
  </w:style>
  <w:style w:type="paragraph" w:styleId="CommentSubject">
    <w:name w:val="annotation subject"/>
    <w:basedOn w:val="CommentText"/>
    <w:next w:val="CommentText"/>
    <w:link w:val="CommentSubjectChar"/>
    <w:uiPriority w:val="99"/>
    <w:semiHidden/>
    <w:unhideWhenUsed/>
    <w:rsid w:val="00B073A1"/>
    <w:rPr>
      <w:b/>
      <w:bCs/>
    </w:rPr>
  </w:style>
  <w:style w:type="character" w:customStyle="1" w:styleId="CommentSubjectChar">
    <w:name w:val="Comment Subject Char"/>
    <w:basedOn w:val="CommentTextChar"/>
    <w:link w:val="CommentSubject"/>
    <w:uiPriority w:val="99"/>
    <w:semiHidden/>
    <w:rsid w:val="00B073A1"/>
    <w:rPr>
      <w:b/>
      <w:bCs/>
      <w:lang w:val="fr-FR" w:eastAsia="fr-FR"/>
    </w:rPr>
  </w:style>
  <w:style w:type="paragraph" w:styleId="BalloonText">
    <w:name w:val="Balloon Text"/>
    <w:basedOn w:val="Normal"/>
    <w:link w:val="BalloonTextChar"/>
    <w:uiPriority w:val="99"/>
    <w:semiHidden/>
    <w:unhideWhenUsed/>
    <w:rsid w:val="004B53F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3F4"/>
    <w:rPr>
      <w:rFonts w:ascii="Tahoma" w:hAnsi="Tahoma" w:cs="Tahoma"/>
      <w:sz w:val="16"/>
      <w:szCs w:val="16"/>
      <w:lang w:val="fr-FR" w:eastAsia="fr-FR"/>
    </w:rPr>
  </w:style>
  <w:style w:type="paragraph" w:styleId="ListParagraph">
    <w:name w:val="List Paragraph"/>
    <w:basedOn w:val="Normal"/>
    <w:uiPriority w:val="34"/>
    <w:qFormat/>
    <w:rsid w:val="00DE1FBE"/>
    <w:pPr>
      <w:spacing w:before="0" w:after="0" w:line="360" w:lineRule="auto"/>
      <w:ind w:left="720"/>
      <w:contextualSpacing/>
    </w:pPr>
    <w:rPr>
      <w:rFonts w:eastAsiaTheme="minorHAnsi" w:cstheme="minorBidi"/>
      <w:szCs w:val="22"/>
    </w:rPr>
  </w:style>
  <w:style w:type="paragraph" w:customStyle="1" w:styleId="Typedudocument">
    <w:name w:val="Type du document"/>
    <w:basedOn w:val="Normal"/>
    <w:next w:val="Normal"/>
    <w:rsid w:val="00DE1FBE"/>
    <w:pPr>
      <w:spacing w:before="360" w:after="0"/>
      <w:jc w:val="center"/>
    </w:pPr>
    <w:rPr>
      <w:rFonts w:eastAsia="Calibri"/>
      <w:b/>
      <w:szCs w:val="20"/>
    </w:rPr>
  </w:style>
  <w:style w:type="paragraph" w:styleId="EndnoteText">
    <w:name w:val="endnote text"/>
    <w:basedOn w:val="Normal"/>
    <w:link w:val="EndnoteTextChar"/>
    <w:semiHidden/>
    <w:unhideWhenUsed/>
    <w:rsid w:val="00DE1FBE"/>
    <w:pPr>
      <w:widowControl w:val="0"/>
      <w:snapToGrid w:val="0"/>
      <w:spacing w:before="0" w:after="0"/>
    </w:pPr>
    <w:rPr>
      <w:szCs w:val="20"/>
    </w:rPr>
  </w:style>
  <w:style w:type="character" w:customStyle="1" w:styleId="EndnoteTextChar">
    <w:name w:val="Endnote Text Char"/>
    <w:basedOn w:val="DefaultParagraphFont"/>
    <w:link w:val="EndnoteText"/>
    <w:semiHidden/>
    <w:rsid w:val="00DE1FBE"/>
    <w:rPr>
      <w:sz w:val="24"/>
      <w:lang w:val="fr-FR" w:eastAsia="fr-FR"/>
    </w:rPr>
  </w:style>
  <w:style w:type="paragraph" w:customStyle="1" w:styleId="s29">
    <w:name w:val="s29"/>
    <w:basedOn w:val="Normal"/>
    <w:uiPriority w:val="99"/>
    <w:semiHidden/>
    <w:rsid w:val="00DF0845"/>
    <w:pPr>
      <w:spacing w:before="100" w:beforeAutospacing="1" w:after="100" w:afterAutospacing="1"/>
    </w:pPr>
    <w:rPr>
      <w:rFonts w:eastAsia="Calibri"/>
    </w:rPr>
  </w:style>
  <w:style w:type="character" w:customStyle="1" w:styleId="bumpedfont15">
    <w:name w:val="bumpedfont15"/>
    <w:rsid w:val="00DF0845"/>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33"/>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2"/>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9"/>
      </w:numPr>
    </w:pPr>
  </w:style>
  <w:style w:type="paragraph" w:customStyle="1" w:styleId="Tiret1">
    <w:name w:val="Tiret 1"/>
    <w:basedOn w:val="Normal"/>
    <w:rsid w:val="00A76CDC"/>
    <w:pPr>
      <w:numPr>
        <w:numId w:val="20"/>
      </w:numPr>
      <w:outlineLvl w:val="0"/>
    </w:pPr>
  </w:style>
  <w:style w:type="paragraph" w:customStyle="1" w:styleId="Tiret2">
    <w:name w:val="Tiret 2"/>
    <w:basedOn w:val="Normal"/>
    <w:rsid w:val="00A76CDC"/>
    <w:pPr>
      <w:numPr>
        <w:numId w:val="21"/>
      </w:numPr>
      <w:outlineLvl w:val="1"/>
    </w:pPr>
  </w:style>
  <w:style w:type="paragraph" w:customStyle="1" w:styleId="Tiret3">
    <w:name w:val="Tiret 3"/>
    <w:basedOn w:val="Normal"/>
    <w:rsid w:val="00A76CDC"/>
    <w:pPr>
      <w:numPr>
        <w:numId w:val="22"/>
      </w:numPr>
      <w:outlineLvl w:val="2"/>
    </w:pPr>
  </w:style>
  <w:style w:type="paragraph" w:customStyle="1" w:styleId="Tiret4">
    <w:name w:val="Tiret 4"/>
    <w:basedOn w:val="Normal"/>
    <w:rsid w:val="00A76CDC"/>
    <w:pPr>
      <w:numPr>
        <w:numId w:val="23"/>
      </w:numPr>
      <w:outlineLvl w:val="3"/>
    </w:pPr>
  </w:style>
  <w:style w:type="paragraph" w:customStyle="1" w:styleId="NumPar1">
    <w:name w:val="NumPar 1"/>
    <w:basedOn w:val="Normal"/>
    <w:next w:val="Text1"/>
    <w:rsid w:val="00A76CDC"/>
    <w:pPr>
      <w:numPr>
        <w:numId w:val="24"/>
      </w:numPr>
      <w:outlineLvl w:val="0"/>
    </w:pPr>
  </w:style>
  <w:style w:type="paragraph" w:customStyle="1" w:styleId="NumPar2">
    <w:name w:val="NumPar 2"/>
    <w:basedOn w:val="Normal"/>
    <w:next w:val="Text1"/>
    <w:rsid w:val="00A76CDC"/>
    <w:pPr>
      <w:numPr>
        <w:ilvl w:val="1"/>
        <w:numId w:val="24"/>
      </w:numPr>
      <w:outlineLvl w:val="1"/>
    </w:pPr>
  </w:style>
  <w:style w:type="paragraph" w:customStyle="1" w:styleId="NumPar3">
    <w:name w:val="NumPar 3"/>
    <w:basedOn w:val="Normal"/>
    <w:next w:val="Text1"/>
    <w:rsid w:val="00A76CDC"/>
    <w:pPr>
      <w:numPr>
        <w:ilvl w:val="2"/>
        <w:numId w:val="24"/>
      </w:numPr>
      <w:outlineLvl w:val="2"/>
    </w:pPr>
  </w:style>
  <w:style w:type="paragraph" w:customStyle="1" w:styleId="NumPar4">
    <w:name w:val="NumPar 4"/>
    <w:basedOn w:val="Normal"/>
    <w:next w:val="Text1"/>
    <w:rsid w:val="00A76CDC"/>
    <w:pPr>
      <w:numPr>
        <w:ilvl w:val="3"/>
        <w:numId w:val="24"/>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6"/>
      </w:numPr>
    </w:pPr>
  </w:style>
  <w:style w:type="paragraph" w:customStyle="1" w:styleId="Point1number">
    <w:name w:val="Point 1 (number)"/>
    <w:basedOn w:val="Normal"/>
    <w:rsid w:val="00A76CDC"/>
    <w:pPr>
      <w:numPr>
        <w:ilvl w:val="2"/>
        <w:numId w:val="26"/>
      </w:numPr>
      <w:outlineLvl w:val="0"/>
    </w:pPr>
  </w:style>
  <w:style w:type="paragraph" w:customStyle="1" w:styleId="Point2number">
    <w:name w:val="Point 2 (number)"/>
    <w:basedOn w:val="Normal"/>
    <w:rsid w:val="00A76CDC"/>
    <w:pPr>
      <w:numPr>
        <w:ilvl w:val="4"/>
        <w:numId w:val="26"/>
      </w:numPr>
      <w:outlineLvl w:val="1"/>
    </w:pPr>
  </w:style>
  <w:style w:type="paragraph" w:customStyle="1" w:styleId="Point3number">
    <w:name w:val="Point 3 (number)"/>
    <w:basedOn w:val="Normal"/>
    <w:rsid w:val="00A76CDC"/>
    <w:pPr>
      <w:numPr>
        <w:ilvl w:val="6"/>
        <w:numId w:val="26"/>
      </w:numPr>
      <w:outlineLvl w:val="2"/>
    </w:pPr>
  </w:style>
  <w:style w:type="paragraph" w:customStyle="1" w:styleId="Point0letter">
    <w:name w:val="Point 0 (letter)"/>
    <w:basedOn w:val="Normal"/>
    <w:rsid w:val="00A76CDC"/>
    <w:pPr>
      <w:numPr>
        <w:ilvl w:val="1"/>
        <w:numId w:val="26"/>
      </w:numPr>
    </w:pPr>
  </w:style>
  <w:style w:type="paragraph" w:customStyle="1" w:styleId="Point1letter">
    <w:name w:val="Point 1 (letter)"/>
    <w:basedOn w:val="Normal"/>
    <w:rsid w:val="00A76CDC"/>
    <w:pPr>
      <w:numPr>
        <w:ilvl w:val="3"/>
        <w:numId w:val="26"/>
      </w:numPr>
      <w:outlineLvl w:val="0"/>
    </w:pPr>
  </w:style>
  <w:style w:type="paragraph" w:customStyle="1" w:styleId="Point2letter">
    <w:name w:val="Point 2 (letter)"/>
    <w:basedOn w:val="Normal"/>
    <w:rsid w:val="00A76CDC"/>
    <w:pPr>
      <w:numPr>
        <w:ilvl w:val="5"/>
        <w:numId w:val="26"/>
      </w:numPr>
      <w:outlineLvl w:val="1"/>
    </w:pPr>
  </w:style>
  <w:style w:type="paragraph" w:customStyle="1" w:styleId="Point3letter">
    <w:name w:val="Point 3 (letter)"/>
    <w:basedOn w:val="Normal"/>
    <w:rsid w:val="00A76CDC"/>
    <w:pPr>
      <w:numPr>
        <w:ilvl w:val="7"/>
        <w:numId w:val="26"/>
      </w:numPr>
      <w:outlineLvl w:val="2"/>
    </w:pPr>
  </w:style>
  <w:style w:type="paragraph" w:customStyle="1" w:styleId="Point4letter">
    <w:name w:val="Point 4 (letter)"/>
    <w:basedOn w:val="Normal"/>
    <w:rsid w:val="00A76CDC"/>
    <w:pPr>
      <w:numPr>
        <w:ilvl w:val="8"/>
        <w:numId w:val="26"/>
      </w:numPr>
      <w:outlineLvl w:val="3"/>
    </w:pPr>
  </w:style>
  <w:style w:type="paragraph" w:customStyle="1" w:styleId="Bullet0">
    <w:name w:val="Bullet 0"/>
    <w:basedOn w:val="Normal"/>
    <w:rsid w:val="00A76CDC"/>
    <w:pPr>
      <w:numPr>
        <w:numId w:val="27"/>
      </w:numPr>
    </w:pPr>
  </w:style>
  <w:style w:type="paragraph" w:customStyle="1" w:styleId="Bullet1">
    <w:name w:val="Bullet 1"/>
    <w:basedOn w:val="Normal"/>
    <w:rsid w:val="00A76CDC"/>
    <w:pPr>
      <w:numPr>
        <w:numId w:val="28"/>
      </w:numPr>
      <w:outlineLvl w:val="0"/>
    </w:pPr>
  </w:style>
  <w:style w:type="paragraph" w:customStyle="1" w:styleId="Bullet2">
    <w:name w:val="Bullet 2"/>
    <w:basedOn w:val="Normal"/>
    <w:rsid w:val="00A76CDC"/>
    <w:pPr>
      <w:numPr>
        <w:numId w:val="29"/>
      </w:numPr>
      <w:outlineLvl w:val="1"/>
    </w:pPr>
  </w:style>
  <w:style w:type="paragraph" w:customStyle="1" w:styleId="Bullet3">
    <w:name w:val="Bullet 3"/>
    <w:basedOn w:val="Normal"/>
    <w:rsid w:val="00A76CDC"/>
    <w:pPr>
      <w:numPr>
        <w:numId w:val="30"/>
      </w:numPr>
      <w:outlineLvl w:val="2"/>
    </w:pPr>
  </w:style>
  <w:style w:type="paragraph" w:customStyle="1" w:styleId="Bullet4">
    <w:name w:val="Bullet 4"/>
    <w:basedOn w:val="Normal"/>
    <w:rsid w:val="00A76CDC"/>
    <w:pPr>
      <w:numPr>
        <w:numId w:val="31"/>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1A6341"/>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274885">
      <w:bodyDiv w:val="1"/>
      <w:marLeft w:val="0"/>
      <w:marRight w:val="0"/>
      <w:marTop w:val="0"/>
      <w:marBottom w:val="0"/>
      <w:divBdr>
        <w:top w:val="none" w:sz="0" w:space="0" w:color="auto"/>
        <w:left w:val="none" w:sz="0" w:space="0" w:color="auto"/>
        <w:bottom w:val="none" w:sz="0" w:space="0" w:color="auto"/>
        <w:right w:val="none" w:sz="0" w:space="0" w:color="auto"/>
      </w:divBdr>
    </w:div>
    <w:div w:id="1931546702">
      <w:bodyDiv w:val="1"/>
      <w:marLeft w:val="0"/>
      <w:marRight w:val="0"/>
      <w:marTop w:val="0"/>
      <w:marBottom w:val="0"/>
      <w:divBdr>
        <w:top w:val="none" w:sz="0" w:space="0" w:color="auto"/>
        <w:left w:val="none" w:sz="0" w:space="0" w:color="auto"/>
        <w:bottom w:val="none" w:sz="0" w:space="0" w:color="auto"/>
        <w:right w:val="none" w:sz="0" w:space="0" w:color="auto"/>
      </w:divBdr>
    </w:div>
    <w:div w:id="1956332141">
      <w:bodyDiv w:val="1"/>
      <w:marLeft w:val="0"/>
      <w:marRight w:val="0"/>
      <w:marTop w:val="0"/>
      <w:marBottom w:val="0"/>
      <w:divBdr>
        <w:top w:val="none" w:sz="0" w:space="0" w:color="auto"/>
        <w:left w:val="none" w:sz="0" w:space="0" w:color="auto"/>
        <w:bottom w:val="none" w:sz="0" w:space="0" w:color="auto"/>
        <w:right w:val="none" w:sz="0" w:space="0" w:color="auto"/>
      </w:divBdr>
      <w:divsChild>
        <w:div w:id="1651444006">
          <w:marLeft w:val="0"/>
          <w:marRight w:val="0"/>
          <w:marTop w:val="0"/>
          <w:marBottom w:val="0"/>
          <w:divBdr>
            <w:top w:val="none" w:sz="0" w:space="0" w:color="auto"/>
            <w:left w:val="none" w:sz="0" w:space="0" w:color="auto"/>
            <w:bottom w:val="none" w:sz="0" w:space="0" w:color="auto"/>
            <w:right w:val="none" w:sz="0" w:space="0" w:color="auto"/>
          </w:divBdr>
          <w:divsChild>
            <w:div w:id="139605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www.eu2015lu.eu/" TargetMode="External"/><Relationship Id="rId3" Type="http://schemas.openxmlformats.org/officeDocument/2006/relationships/styles" Target="styles.xml"/><Relationship Id="rId21" Type="http://schemas.openxmlformats.org/officeDocument/2006/relationships/hyperlink" Target="http://www.consilium.europa.eu/fr/press/press-releases/2015/05/13-market-stability-reserve/"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data.consilium.europa.eu/doc/document/ST-9323-2015-INIT/en/pdf" TargetMode="External"/><Relationship Id="rId33" Type="http://schemas.openxmlformats.org/officeDocument/2006/relationships/hyperlink" Target="http://data.consilium.europa.eu/doc/document/ST-8774-2015-INIT/fr/pdf"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data.consilium.europa.eu/doc/document/ST-8153-2015-INIT/en/pdf" TargetMode="External"/><Relationship Id="rId29" Type="http://schemas.openxmlformats.org/officeDocument/2006/relationships/hyperlink" Target="http://data.consilium.europa.eu/doc/document/ST-8257-2015-ADD-1/fr/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data.consilium.europa.eu/doc/document/ST-9322-2015-REV-1/en/pdf" TargetMode="External"/><Relationship Id="rId32" Type="http://schemas.openxmlformats.org/officeDocument/2006/relationships/hyperlink" Target="http://eur-lex.europa.eu/legal-content/FR/TXT/?uri=CELEX:01972R2841-20140220"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data.consilium.europa.eu/doc/document/ST-9776-2015-INIT/en/pdf" TargetMode="External"/><Relationship Id="rId28" Type="http://schemas.openxmlformats.org/officeDocument/2006/relationships/hyperlink" Target="http://data.consilium.europa.eu/doc/document/ST-8257-2015-INIT/fr/pdf" TargetMode="External"/><Relationship Id="rId10" Type="http://schemas.openxmlformats.org/officeDocument/2006/relationships/header" Target="header1.xml"/><Relationship Id="rId19" Type="http://schemas.openxmlformats.org/officeDocument/2006/relationships/hyperlink" Target="http://data.consilium.europa.eu/doc/document/ST-18167-2013-INIT/fr/pdf" TargetMode="External"/><Relationship Id="rId31" Type="http://schemas.openxmlformats.org/officeDocument/2006/relationships/hyperlink" Target="http://data.consilium.europa.eu/doc/document/PE-23-2015-INIT/fr/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data.consilium.europa.eu/doc/document/ST-9759-2015-INIT/fr/pdf" TargetMode="External"/><Relationship Id="rId27" Type="http://schemas.openxmlformats.org/officeDocument/2006/relationships/hyperlink" Target="http://www.eu2015lu.eu/" TargetMode="External"/><Relationship Id="rId30" Type="http://schemas.openxmlformats.org/officeDocument/2006/relationships/hyperlink" Target="http://register.consilium.europa.eu/pdf/fr/14/st17/st17084.fr14.pdf" TargetMode="Externa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73F79-8680-449B-9CA6-4A21D9D14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127</TotalTime>
  <Pages>8</Pages>
  <Words>1631</Words>
  <Characters>10975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BUKSAROVA Andrea</dc:creator>
  <cp:lastModifiedBy>DEFOSSÉ Pierre-Alain</cp:lastModifiedBy>
  <cp:revision>10</cp:revision>
  <cp:lastPrinted>2015-08-07T12:19:00Z</cp:lastPrinted>
  <dcterms:created xsi:type="dcterms:W3CDTF">2015-08-03T15:17:00Z</dcterms:created>
  <dcterms:modified xsi:type="dcterms:W3CDTF">2015-08-07T12:21:00Z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3.6.6, Build 20150723</vt:lpwstr>
  </property>
  <property fmtid="{D5CDD505-2E9C-101B-9397-08002B2CF9AE}" pid="5" name="SkipControlLengthPage">
    <vt:lpwstr/>
  </property>
</Properties>
</file>