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7F" w:rsidRPr="00406877" w:rsidRDefault="00406877" w:rsidP="0040687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da5c7bf-fbbe-4fef-a2d6-2c2482eb6ddd_0" style="width:573.95pt;height:425.2pt">
            <v:imagedata r:id="rId9" o:title=""/>
          </v:shape>
        </w:pict>
      </w:r>
      <w:bookmarkEnd w:id="0"/>
    </w:p>
    <w:p w:rsidR="00D15446" w:rsidRPr="00936161" w:rsidRDefault="00D15446" w:rsidP="00D15446">
      <w:pPr>
        <w:pStyle w:val="TechnicalBlock"/>
        <w:ind w:left="-1134" w:right="-1134"/>
        <w:sectPr w:rsidR="00D15446" w:rsidRPr="00936161" w:rsidSect="00D553F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EB33B7" w:rsidRPr="00936161" w:rsidRDefault="00CF04C0" w:rsidP="00CF04C0">
      <w:pPr>
        <w:pStyle w:val="TOCHeading"/>
      </w:pPr>
      <w:r w:rsidRPr="00936161">
        <w:lastRenderedPageBreak/>
        <w:t>TABLE DES MATIERES</w:t>
      </w:r>
      <w:r w:rsidR="00406877" w:rsidRPr="00406877">
        <w:rPr>
          <w:vertAlign w:val="superscript"/>
        </w:rPr>
        <w:t>1</w:t>
      </w:r>
      <w:bookmarkStart w:id="3" w:name="_GoBack"/>
      <w:bookmarkEnd w:id="3"/>
    </w:p>
    <w:p w:rsidR="00CF04C0" w:rsidRPr="00936161" w:rsidRDefault="00CF04C0" w:rsidP="00CF04C0">
      <w:pPr>
        <w:pStyle w:val="TOC5"/>
      </w:pPr>
      <w:r w:rsidRPr="00936161">
        <w:t>POINTS AYANT FAIT L'OBJET D'UN DÉBAT</w:t>
      </w:r>
    </w:p>
    <w:p w:rsidR="00CF04C0" w:rsidRPr="00936161" w:rsidRDefault="00CF04C0" w:rsidP="00CF04C0">
      <w:pPr>
        <w:pStyle w:val="TOC6"/>
        <w:rPr>
          <w:rFonts w:asciiTheme="minorHAnsi" w:eastAsiaTheme="minorEastAsia" w:hAnsiTheme="minorHAnsi" w:cstheme="minorBidi"/>
          <w:noProof/>
          <w:sz w:val="22"/>
          <w:szCs w:val="22"/>
        </w:rPr>
      </w:pPr>
      <w:r w:rsidRPr="00936161">
        <w:t>PROGRAMME DE TRAVAIL DE LA PRÉSIDENCE</w:t>
      </w:r>
      <w:r w:rsidR="00406877">
        <w:tab/>
      </w:r>
      <w:r w:rsidRPr="00936161">
        <w:rPr>
          <w:noProof/>
        </w:rPr>
        <w:fldChar w:fldCharType="begin"/>
      </w:r>
      <w:r w:rsidRPr="00936161">
        <w:rPr>
          <w:noProof/>
        </w:rPr>
        <w:instrText xml:space="preserve"> PAGEREF \h _Toc426453477 \* MERGEFORMAT </w:instrText>
      </w:r>
      <w:r w:rsidRPr="00936161">
        <w:rPr>
          <w:noProof/>
        </w:rPr>
      </w:r>
      <w:r w:rsidRPr="00936161">
        <w:rPr>
          <w:noProof/>
        </w:rPr>
        <w:fldChar w:fldCharType="separate"/>
      </w:r>
      <w:r w:rsidR="00D553FC">
        <w:rPr>
          <w:noProof/>
        </w:rPr>
        <w:t>4</w:t>
      </w:r>
      <w:r w:rsidRPr="00936161">
        <w:rPr>
          <w:noProof/>
        </w:rPr>
        <w:fldChar w:fldCharType="end"/>
      </w:r>
    </w:p>
    <w:p w:rsidR="00CF04C0" w:rsidRPr="00936161" w:rsidRDefault="00CF04C0" w:rsidP="00CF04C0">
      <w:pPr>
        <w:pStyle w:val="TOC6"/>
        <w:keepNext/>
        <w:rPr>
          <w:rFonts w:asciiTheme="minorHAnsi" w:eastAsiaTheme="minorEastAsia" w:hAnsiTheme="minorHAnsi" w:cstheme="minorBidi"/>
          <w:noProof/>
          <w:sz w:val="22"/>
          <w:szCs w:val="22"/>
        </w:rPr>
      </w:pPr>
      <w:r w:rsidRPr="00936161">
        <w:t xml:space="preserve">AGRICULTURE </w:t>
      </w:r>
      <w:r w:rsidR="00406877">
        <w:tab/>
      </w:r>
      <w:r w:rsidRPr="00936161">
        <w:rPr>
          <w:noProof/>
        </w:rPr>
        <w:fldChar w:fldCharType="begin"/>
      </w:r>
      <w:r w:rsidRPr="00936161">
        <w:rPr>
          <w:noProof/>
        </w:rPr>
        <w:instrText xml:space="preserve"> PAGEREF \h _Toc426453478 \* MERGEFORMAT </w:instrText>
      </w:r>
      <w:r w:rsidRPr="00936161">
        <w:rPr>
          <w:noProof/>
        </w:rPr>
      </w:r>
      <w:r w:rsidRPr="00936161">
        <w:rPr>
          <w:noProof/>
        </w:rPr>
        <w:fldChar w:fldCharType="separate"/>
      </w:r>
      <w:r w:rsidR="00D553FC">
        <w:rPr>
          <w:noProof/>
        </w:rPr>
        <w:t>5</w:t>
      </w:r>
      <w:r w:rsidRPr="00936161">
        <w:rPr>
          <w:noProof/>
        </w:rPr>
        <w:fldChar w:fldCharType="end"/>
      </w:r>
    </w:p>
    <w:p w:rsidR="00CF04C0" w:rsidRPr="00936161" w:rsidRDefault="00CF04C0" w:rsidP="00CF04C0">
      <w:pPr>
        <w:pStyle w:val="TOC7"/>
        <w:keepNext/>
        <w:rPr>
          <w:rFonts w:asciiTheme="minorHAnsi" w:eastAsiaTheme="minorEastAsia" w:hAnsiTheme="minorHAnsi" w:cstheme="minorBidi"/>
          <w:noProof/>
          <w:sz w:val="22"/>
          <w:szCs w:val="22"/>
        </w:rPr>
      </w:pPr>
      <w:r w:rsidRPr="00936161">
        <w:t xml:space="preserve">Restriction de l'utilisation de denrées alimentaires et d'aliments pour animaux génétiquement modifiés </w:t>
      </w:r>
      <w:r w:rsidR="00406877">
        <w:tab/>
      </w:r>
      <w:r w:rsidRPr="00936161">
        <w:rPr>
          <w:noProof/>
        </w:rPr>
        <w:fldChar w:fldCharType="begin"/>
      </w:r>
      <w:r w:rsidRPr="00936161">
        <w:rPr>
          <w:noProof/>
        </w:rPr>
        <w:instrText xml:space="preserve"> PAGEREF \h _Toc426453479 \* MERGEFORMAT </w:instrText>
      </w:r>
      <w:r w:rsidRPr="00936161">
        <w:rPr>
          <w:noProof/>
        </w:rPr>
      </w:r>
      <w:r w:rsidRPr="00936161">
        <w:rPr>
          <w:noProof/>
        </w:rPr>
        <w:fldChar w:fldCharType="separate"/>
      </w:r>
      <w:r w:rsidR="00D553FC">
        <w:rPr>
          <w:noProof/>
        </w:rPr>
        <w:t>5</w:t>
      </w:r>
      <w:r w:rsidRPr="00936161">
        <w:rPr>
          <w:noProof/>
        </w:rPr>
        <w:fldChar w:fldCharType="end"/>
      </w:r>
    </w:p>
    <w:p w:rsidR="00CF04C0" w:rsidRPr="00936161" w:rsidRDefault="00CF04C0" w:rsidP="00CF04C0">
      <w:pPr>
        <w:pStyle w:val="TOC7"/>
        <w:keepNext/>
        <w:rPr>
          <w:rFonts w:asciiTheme="minorHAnsi" w:eastAsiaTheme="minorEastAsia" w:hAnsiTheme="minorHAnsi" w:cstheme="minorBidi"/>
          <w:noProof/>
          <w:sz w:val="22"/>
          <w:szCs w:val="22"/>
        </w:rPr>
      </w:pPr>
      <w:r w:rsidRPr="00936161">
        <w:t>Évolution du marché</w:t>
      </w:r>
      <w:r w:rsidR="00406877">
        <w:tab/>
      </w:r>
      <w:r w:rsidRPr="00936161">
        <w:rPr>
          <w:noProof/>
        </w:rPr>
        <w:fldChar w:fldCharType="begin"/>
      </w:r>
      <w:r w:rsidRPr="00936161">
        <w:rPr>
          <w:noProof/>
        </w:rPr>
        <w:instrText xml:space="preserve"> PAGEREF \h _Toc426453480 \* MERGEFORMAT </w:instrText>
      </w:r>
      <w:r w:rsidRPr="00936161">
        <w:rPr>
          <w:noProof/>
        </w:rPr>
      </w:r>
      <w:r w:rsidRPr="00936161">
        <w:rPr>
          <w:noProof/>
        </w:rPr>
        <w:fldChar w:fldCharType="separate"/>
      </w:r>
      <w:r w:rsidR="00D553FC">
        <w:rPr>
          <w:noProof/>
        </w:rPr>
        <w:t>6</w:t>
      </w:r>
      <w:r w:rsidRPr="00936161">
        <w:rPr>
          <w:noProof/>
        </w:rPr>
        <w:fldChar w:fldCharType="end"/>
      </w:r>
    </w:p>
    <w:p w:rsidR="00CF04C0" w:rsidRPr="00936161" w:rsidRDefault="00CF04C0" w:rsidP="00CF04C0">
      <w:pPr>
        <w:pStyle w:val="TOC7"/>
        <w:rPr>
          <w:rFonts w:asciiTheme="minorHAnsi" w:eastAsiaTheme="minorEastAsia" w:hAnsiTheme="minorHAnsi" w:cstheme="minorBidi"/>
          <w:noProof/>
          <w:sz w:val="22"/>
          <w:szCs w:val="22"/>
        </w:rPr>
      </w:pPr>
      <w:r w:rsidRPr="00936161">
        <w:t xml:space="preserve">Régimes d'aide à la distribution de fruits et légumes et de lait dans les établissements scolaires </w:t>
      </w:r>
      <w:r w:rsidR="00406877">
        <w:tab/>
      </w:r>
      <w:r w:rsidRPr="00936161">
        <w:rPr>
          <w:noProof/>
        </w:rPr>
        <w:fldChar w:fldCharType="begin"/>
      </w:r>
      <w:r w:rsidRPr="00936161">
        <w:rPr>
          <w:noProof/>
        </w:rPr>
        <w:instrText xml:space="preserve"> PAGEREF \h _Toc426453481 \* MERGEFORMAT </w:instrText>
      </w:r>
      <w:r w:rsidRPr="00936161">
        <w:rPr>
          <w:noProof/>
        </w:rPr>
      </w:r>
      <w:r w:rsidRPr="00936161">
        <w:rPr>
          <w:noProof/>
        </w:rPr>
        <w:fldChar w:fldCharType="separate"/>
      </w:r>
      <w:r w:rsidR="00D553FC">
        <w:rPr>
          <w:noProof/>
        </w:rPr>
        <w:t>7</w:t>
      </w:r>
      <w:r w:rsidRPr="00936161">
        <w:rPr>
          <w:noProof/>
        </w:rPr>
        <w:fldChar w:fldCharType="end"/>
      </w:r>
    </w:p>
    <w:p w:rsidR="00CF04C0" w:rsidRPr="00936161" w:rsidRDefault="00CF04C0" w:rsidP="00406877">
      <w:pPr>
        <w:pStyle w:val="TOC6"/>
        <w:rPr>
          <w:rFonts w:asciiTheme="minorHAnsi" w:eastAsiaTheme="minorEastAsia" w:hAnsiTheme="minorHAnsi" w:cstheme="minorBidi"/>
          <w:noProof/>
          <w:sz w:val="22"/>
          <w:szCs w:val="22"/>
        </w:rPr>
      </w:pPr>
      <w:r w:rsidRPr="00936161">
        <w:t>DIVERS</w:t>
      </w:r>
      <w:r w:rsidR="00406877">
        <w:tab/>
      </w:r>
      <w:r w:rsidRPr="00936161">
        <w:rPr>
          <w:noProof/>
        </w:rPr>
        <w:fldChar w:fldCharType="begin"/>
      </w:r>
      <w:r w:rsidRPr="00936161">
        <w:rPr>
          <w:noProof/>
        </w:rPr>
        <w:instrText xml:space="preserve"> PAGEREF \h _Toc426453482 \* MERGEFORMAT </w:instrText>
      </w:r>
      <w:r w:rsidRPr="00936161">
        <w:rPr>
          <w:noProof/>
        </w:rPr>
      </w:r>
      <w:r w:rsidRPr="00936161">
        <w:rPr>
          <w:noProof/>
        </w:rPr>
        <w:fldChar w:fldCharType="separate"/>
      </w:r>
      <w:r w:rsidR="00D553FC">
        <w:rPr>
          <w:noProof/>
        </w:rPr>
        <w:t>8</w:t>
      </w:r>
      <w:r w:rsidRPr="00936161">
        <w:rPr>
          <w:noProof/>
        </w:rPr>
        <w:fldChar w:fldCharType="end"/>
      </w:r>
    </w:p>
    <w:p w:rsidR="00CF04C0" w:rsidRPr="00936161" w:rsidRDefault="00CF04C0" w:rsidP="006977A1">
      <w:pPr>
        <w:pStyle w:val="TOC9"/>
        <w:numPr>
          <w:ilvl w:val="0"/>
          <w:numId w:val="23"/>
        </w:numPr>
        <w:rPr>
          <w:rFonts w:asciiTheme="minorHAnsi" w:eastAsiaTheme="minorEastAsia" w:hAnsiTheme="minorHAnsi" w:cstheme="minorBidi"/>
          <w:noProof/>
          <w:sz w:val="22"/>
          <w:szCs w:val="22"/>
        </w:rPr>
      </w:pPr>
      <w:r w:rsidRPr="00936161">
        <w:t xml:space="preserve">Recherche sur les sols </w:t>
      </w:r>
      <w:r w:rsidR="00406877">
        <w:tab/>
      </w:r>
      <w:r w:rsidRPr="00936161">
        <w:rPr>
          <w:noProof/>
        </w:rPr>
        <w:fldChar w:fldCharType="begin"/>
      </w:r>
      <w:r w:rsidRPr="00936161">
        <w:rPr>
          <w:noProof/>
        </w:rPr>
        <w:instrText xml:space="preserve"> PAGEREF \h _Toc426453483 \* MERGEFORMAT </w:instrText>
      </w:r>
      <w:r w:rsidRPr="00936161">
        <w:rPr>
          <w:noProof/>
        </w:rPr>
      </w:r>
      <w:r w:rsidRPr="00936161">
        <w:rPr>
          <w:noProof/>
        </w:rPr>
        <w:fldChar w:fldCharType="separate"/>
      </w:r>
      <w:r w:rsidR="00D553FC">
        <w:rPr>
          <w:noProof/>
        </w:rPr>
        <w:t>8</w:t>
      </w:r>
      <w:r w:rsidRPr="00936161">
        <w:rPr>
          <w:noProof/>
        </w:rPr>
        <w:fldChar w:fldCharType="end"/>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Brevets relatifs aux plantes </w:t>
      </w:r>
      <w:r w:rsidR="00406877">
        <w:tab/>
      </w:r>
      <w:r w:rsidRPr="00936161">
        <w:rPr>
          <w:noProof/>
        </w:rPr>
        <w:fldChar w:fldCharType="begin"/>
      </w:r>
      <w:r w:rsidRPr="00936161">
        <w:rPr>
          <w:noProof/>
        </w:rPr>
        <w:instrText xml:space="preserve"> PAGEREF \h _Toc426453484 \* MERGEFORMAT </w:instrText>
      </w:r>
      <w:r w:rsidRPr="00936161">
        <w:rPr>
          <w:noProof/>
        </w:rPr>
      </w:r>
      <w:r w:rsidRPr="00936161">
        <w:rPr>
          <w:noProof/>
        </w:rPr>
        <w:fldChar w:fldCharType="separate"/>
      </w:r>
      <w:r w:rsidR="00D553FC">
        <w:rPr>
          <w:noProof/>
        </w:rPr>
        <w:t>8</w:t>
      </w:r>
      <w:r w:rsidRPr="00936161">
        <w:rPr>
          <w:noProof/>
        </w:rPr>
        <w:fldChar w:fldCharType="end"/>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Protection des cultures </w:t>
      </w:r>
      <w:r w:rsidR="00406877">
        <w:tab/>
      </w:r>
      <w:r w:rsidRPr="00936161">
        <w:rPr>
          <w:noProof/>
        </w:rPr>
        <w:fldChar w:fldCharType="begin"/>
      </w:r>
      <w:r w:rsidRPr="00936161">
        <w:rPr>
          <w:noProof/>
        </w:rPr>
        <w:instrText xml:space="preserve"> PAGEREF \h _Toc426453485 \* MERGEFORMAT </w:instrText>
      </w:r>
      <w:r w:rsidRPr="00936161">
        <w:rPr>
          <w:noProof/>
        </w:rPr>
      </w:r>
      <w:r w:rsidRPr="00936161">
        <w:rPr>
          <w:noProof/>
        </w:rPr>
        <w:fldChar w:fldCharType="separate"/>
      </w:r>
      <w:r w:rsidR="00D553FC">
        <w:rPr>
          <w:noProof/>
        </w:rPr>
        <w:t>9</w:t>
      </w:r>
      <w:r w:rsidRPr="00936161">
        <w:rPr>
          <w:noProof/>
        </w:rPr>
        <w:fldChar w:fldCharType="end"/>
      </w:r>
    </w:p>
    <w:p w:rsidR="00CF04C0" w:rsidRPr="00936161" w:rsidRDefault="00CF04C0" w:rsidP="00406877">
      <w:pPr>
        <w:pStyle w:val="TOC9"/>
        <w:rPr>
          <w:rFonts w:asciiTheme="minorHAnsi" w:eastAsiaTheme="minorEastAsia" w:hAnsiTheme="minorHAnsi" w:cstheme="minorBidi"/>
          <w:noProof/>
          <w:sz w:val="22"/>
          <w:szCs w:val="22"/>
        </w:rPr>
      </w:pPr>
      <w:r w:rsidRPr="00936161">
        <w:t>Forêts</w:t>
      </w:r>
      <w:r w:rsidR="00406877">
        <w:tab/>
      </w:r>
      <w:r w:rsidRPr="00936161">
        <w:rPr>
          <w:noProof/>
        </w:rPr>
        <w:fldChar w:fldCharType="begin"/>
      </w:r>
      <w:r w:rsidRPr="00936161">
        <w:rPr>
          <w:noProof/>
        </w:rPr>
        <w:instrText xml:space="preserve"> PAGEREF \h _Toc426453486 \* MERGEFORMAT </w:instrText>
      </w:r>
      <w:r w:rsidRPr="00936161">
        <w:rPr>
          <w:noProof/>
        </w:rPr>
      </w:r>
      <w:r w:rsidRPr="00936161">
        <w:rPr>
          <w:noProof/>
        </w:rPr>
        <w:fldChar w:fldCharType="separate"/>
      </w:r>
      <w:r w:rsidR="00D553FC">
        <w:rPr>
          <w:noProof/>
        </w:rPr>
        <w:t>9</w:t>
      </w:r>
      <w:r w:rsidRPr="00936161">
        <w:rPr>
          <w:noProof/>
        </w:rPr>
        <w:fldChar w:fldCharType="end"/>
      </w:r>
    </w:p>
    <w:p w:rsidR="00CF04C0" w:rsidRPr="00936161" w:rsidRDefault="00CF04C0" w:rsidP="00CF04C0">
      <w:pPr>
        <w:pStyle w:val="TOC9"/>
      </w:pPr>
      <w:r w:rsidRPr="00936161">
        <w:t xml:space="preserve">Semaine bleue </w:t>
      </w:r>
      <w:r w:rsidR="00406877">
        <w:tab/>
      </w:r>
      <w:r w:rsidRPr="00936161">
        <w:rPr>
          <w:noProof/>
        </w:rPr>
        <w:fldChar w:fldCharType="begin"/>
      </w:r>
      <w:r w:rsidRPr="00936161">
        <w:rPr>
          <w:noProof/>
        </w:rPr>
        <w:instrText xml:space="preserve"> PAGEREF \h _Toc426453487 \* MERGEFORMAT </w:instrText>
      </w:r>
      <w:r w:rsidRPr="00936161">
        <w:rPr>
          <w:noProof/>
        </w:rPr>
      </w:r>
      <w:r w:rsidRPr="00936161">
        <w:rPr>
          <w:noProof/>
        </w:rPr>
        <w:fldChar w:fldCharType="separate"/>
      </w:r>
      <w:r w:rsidR="00D553FC">
        <w:rPr>
          <w:noProof/>
        </w:rPr>
        <w:t>9</w:t>
      </w:r>
      <w:r w:rsidRPr="00936161">
        <w:rPr>
          <w:noProof/>
        </w:rPr>
        <w:fldChar w:fldCharType="end"/>
      </w:r>
    </w:p>
    <w:p w:rsidR="00CF04C0" w:rsidRPr="00936161" w:rsidRDefault="00CF04C0" w:rsidP="00CF04C0">
      <w:pPr>
        <w:pStyle w:val="TOC5"/>
      </w:pPr>
      <w:r w:rsidRPr="00936161">
        <w:t>AUTRES POINTS APPROUVÉS</w:t>
      </w:r>
    </w:p>
    <w:p w:rsidR="00CF04C0" w:rsidRPr="00936161" w:rsidRDefault="00CF04C0" w:rsidP="00CF04C0">
      <w:pPr>
        <w:pStyle w:val="TOC8"/>
        <w:rPr>
          <w:rFonts w:asciiTheme="minorHAnsi" w:eastAsiaTheme="minorEastAsia" w:hAnsiTheme="minorHAnsi" w:cstheme="minorBidi"/>
          <w:i w:val="0"/>
          <w:noProof/>
          <w:sz w:val="22"/>
          <w:szCs w:val="22"/>
        </w:rPr>
      </w:pPr>
      <w:r w:rsidRPr="00936161">
        <w:t>PÊCHE</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Commission générale des pêches pour la Méditerranée - Adoption de la position du Conseil </w:t>
      </w:r>
      <w:r w:rsidR="00406877">
        <w:tab/>
      </w:r>
      <w:r w:rsidRPr="00936161">
        <w:rPr>
          <w:noProof/>
        </w:rPr>
        <w:fldChar w:fldCharType="begin"/>
      </w:r>
      <w:r w:rsidRPr="00936161">
        <w:rPr>
          <w:noProof/>
        </w:rPr>
        <w:instrText xml:space="preserve"> PAGEREF \h _Toc426453489 \* MERGEFORMAT </w:instrText>
      </w:r>
      <w:r w:rsidRPr="00936161">
        <w:rPr>
          <w:noProof/>
        </w:rPr>
      </w:r>
      <w:r w:rsidRPr="00936161">
        <w:rPr>
          <w:noProof/>
        </w:rPr>
        <w:fldChar w:fldCharType="separate"/>
      </w:r>
      <w:r w:rsidR="00D553FC">
        <w:rPr>
          <w:noProof/>
        </w:rPr>
        <w:t>10</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AFFAIRES ÉTRANGÈRES</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Mesures restrictives - Biélorussie </w:t>
      </w:r>
      <w:r w:rsidR="00406877">
        <w:tab/>
      </w:r>
      <w:r w:rsidRPr="00936161">
        <w:rPr>
          <w:noProof/>
        </w:rPr>
        <w:fldChar w:fldCharType="begin"/>
      </w:r>
      <w:r w:rsidRPr="00936161">
        <w:rPr>
          <w:noProof/>
        </w:rPr>
        <w:instrText xml:space="preserve"> PAGEREF \h _Toc426453491 \* MERGEFORMAT </w:instrText>
      </w:r>
      <w:r w:rsidRPr="00936161">
        <w:rPr>
          <w:noProof/>
        </w:rPr>
      </w:r>
      <w:r w:rsidRPr="00936161">
        <w:rPr>
          <w:noProof/>
        </w:rPr>
        <w:fldChar w:fldCharType="separate"/>
      </w:r>
      <w:r w:rsidR="00D553FC">
        <w:rPr>
          <w:noProof/>
        </w:rPr>
        <w:t>10</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ÉLARGISSEMENT</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Relations avec l'ancienne République yougoslave de Macédoine </w:t>
      </w:r>
      <w:r w:rsidR="00406877">
        <w:tab/>
      </w:r>
      <w:r w:rsidRPr="00936161">
        <w:rPr>
          <w:noProof/>
        </w:rPr>
        <w:fldChar w:fldCharType="begin"/>
      </w:r>
      <w:r w:rsidRPr="00936161">
        <w:rPr>
          <w:noProof/>
        </w:rPr>
        <w:instrText xml:space="preserve"> PAGEREF \h _Toc426453493 \* MERGEFORMAT </w:instrText>
      </w:r>
      <w:r w:rsidRPr="00936161">
        <w:rPr>
          <w:noProof/>
        </w:rPr>
      </w:r>
      <w:r w:rsidRPr="00936161">
        <w:rPr>
          <w:noProof/>
        </w:rPr>
        <w:fldChar w:fldCharType="separate"/>
      </w:r>
      <w:r w:rsidR="00D553FC">
        <w:rPr>
          <w:noProof/>
        </w:rPr>
        <w:t>11</w:t>
      </w:r>
      <w:r w:rsidRPr="00936161">
        <w:rPr>
          <w:noProof/>
        </w:rPr>
        <w:fldChar w:fldCharType="end"/>
      </w:r>
    </w:p>
    <w:p w:rsidR="00CF04C0" w:rsidRPr="00936161" w:rsidRDefault="00230F20" w:rsidP="00CF04C0">
      <w:pPr>
        <w:pStyle w:val="TOC8"/>
        <w:rPr>
          <w:rFonts w:asciiTheme="minorHAnsi" w:eastAsiaTheme="minorEastAsia" w:hAnsiTheme="minorHAnsi" w:cstheme="minorBidi"/>
          <w:i w:val="0"/>
          <w:noProof/>
          <w:sz w:val="22"/>
          <w:szCs w:val="22"/>
        </w:rPr>
      </w:pPr>
      <w:r w:rsidRPr="00936161">
        <w:br w:type="page"/>
        <w:t>POLITIQUE DE SÉCURITÉ ET DE DÉFENSE COMMUNE</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EUCAP Sahel Niger </w:t>
      </w:r>
      <w:r w:rsidR="00406877">
        <w:tab/>
      </w:r>
      <w:r w:rsidRPr="00936161">
        <w:rPr>
          <w:noProof/>
        </w:rPr>
        <w:fldChar w:fldCharType="begin"/>
      </w:r>
      <w:r w:rsidRPr="00936161">
        <w:rPr>
          <w:noProof/>
        </w:rPr>
        <w:instrText xml:space="preserve"> PAGEREF \h _Toc426453495 \* MERGEFORMAT </w:instrText>
      </w:r>
      <w:r w:rsidRPr="00936161">
        <w:rPr>
          <w:noProof/>
        </w:rPr>
      </w:r>
      <w:r w:rsidRPr="00936161">
        <w:rPr>
          <w:noProof/>
        </w:rPr>
        <w:fldChar w:fldCharType="separate"/>
      </w:r>
      <w:r w:rsidR="00D553FC">
        <w:rPr>
          <w:noProof/>
        </w:rPr>
        <w:t>11</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AFFAIRES ÉCONOMIQUES ET FINANCIÈRES</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Données relatives au déficit à Valence </w:t>
      </w:r>
      <w:r w:rsidR="00406877">
        <w:tab/>
      </w:r>
      <w:r w:rsidRPr="00936161">
        <w:rPr>
          <w:noProof/>
        </w:rPr>
        <w:fldChar w:fldCharType="begin"/>
      </w:r>
      <w:r w:rsidRPr="00936161">
        <w:rPr>
          <w:noProof/>
        </w:rPr>
        <w:instrText xml:space="preserve"> PAGEREF \h _Toc426453497 \* MERGEFORMAT </w:instrText>
      </w:r>
      <w:r w:rsidRPr="00936161">
        <w:rPr>
          <w:noProof/>
        </w:rPr>
      </w:r>
      <w:r w:rsidRPr="00936161">
        <w:rPr>
          <w:noProof/>
        </w:rPr>
        <w:fldChar w:fldCharType="separate"/>
      </w:r>
      <w:r w:rsidR="00D553FC">
        <w:rPr>
          <w:noProof/>
        </w:rPr>
        <w:t>11</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ESPACE ÉCONOMIQUE EUROPÉEN</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Alignement des normes techniques sur la législation de l'UE </w:t>
      </w:r>
      <w:r w:rsidR="00406877">
        <w:tab/>
      </w:r>
      <w:r w:rsidRPr="00936161">
        <w:rPr>
          <w:noProof/>
        </w:rPr>
        <w:fldChar w:fldCharType="begin"/>
      </w:r>
      <w:r w:rsidRPr="00936161">
        <w:rPr>
          <w:noProof/>
        </w:rPr>
        <w:instrText xml:space="preserve"> PAGEREF \h _Toc426453499 \* MERGEFORMAT </w:instrText>
      </w:r>
      <w:r w:rsidRPr="00936161">
        <w:rPr>
          <w:noProof/>
        </w:rPr>
      </w:r>
      <w:r w:rsidRPr="00936161">
        <w:rPr>
          <w:noProof/>
        </w:rPr>
        <w:fldChar w:fldCharType="separate"/>
      </w:r>
      <w:r w:rsidR="00D553FC">
        <w:rPr>
          <w:noProof/>
        </w:rPr>
        <w:t>11</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POLITIQUE COMMERCIALE</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Accord avec Andorre - Modification des règles d'origine </w:t>
      </w:r>
      <w:r w:rsidR="00406877">
        <w:tab/>
      </w:r>
      <w:r w:rsidRPr="00936161">
        <w:rPr>
          <w:noProof/>
        </w:rPr>
        <w:fldChar w:fldCharType="begin"/>
      </w:r>
      <w:r w:rsidRPr="00936161">
        <w:rPr>
          <w:noProof/>
        </w:rPr>
        <w:instrText xml:space="preserve"> PAGEREF \h _Toc426453501 \* MERGEFORMAT </w:instrText>
      </w:r>
      <w:r w:rsidRPr="00936161">
        <w:rPr>
          <w:noProof/>
        </w:rPr>
      </w:r>
      <w:r w:rsidRPr="00936161">
        <w:rPr>
          <w:noProof/>
        </w:rPr>
        <w:fldChar w:fldCharType="separate"/>
      </w:r>
      <w:r w:rsidR="00D553FC">
        <w:rPr>
          <w:noProof/>
        </w:rPr>
        <w:t>12</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MARCHÉ INTÉRIEUR</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Services de la société de l'information et normalisation - règles codifiées </w:t>
      </w:r>
      <w:r w:rsidR="00406877">
        <w:tab/>
      </w:r>
      <w:r w:rsidRPr="00936161">
        <w:rPr>
          <w:noProof/>
        </w:rPr>
        <w:fldChar w:fldCharType="begin"/>
      </w:r>
      <w:r w:rsidRPr="00936161">
        <w:rPr>
          <w:noProof/>
        </w:rPr>
        <w:instrText xml:space="preserve"> PAGEREF \h _Toc426453503 \* MERGEFORMAT </w:instrText>
      </w:r>
      <w:r w:rsidRPr="00936161">
        <w:rPr>
          <w:noProof/>
        </w:rPr>
      </w:r>
      <w:r w:rsidRPr="00936161">
        <w:rPr>
          <w:noProof/>
        </w:rPr>
        <w:fldChar w:fldCharType="separate"/>
      </w:r>
      <w:r w:rsidR="00D553FC">
        <w:rPr>
          <w:noProof/>
        </w:rPr>
        <w:t>12</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PROPRIÉTÉ INTELLECTUELLE</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Réforme du système de marques </w:t>
      </w:r>
      <w:r w:rsidR="00406877">
        <w:tab/>
      </w:r>
      <w:r w:rsidRPr="00936161">
        <w:rPr>
          <w:noProof/>
        </w:rPr>
        <w:fldChar w:fldCharType="begin"/>
      </w:r>
      <w:r w:rsidRPr="00936161">
        <w:rPr>
          <w:noProof/>
        </w:rPr>
        <w:instrText xml:space="preserve"> PAGEREF \h _Toc426453505 \* MERGEFORMAT </w:instrText>
      </w:r>
      <w:r w:rsidRPr="00936161">
        <w:rPr>
          <w:noProof/>
        </w:rPr>
      </w:r>
      <w:r w:rsidRPr="00936161">
        <w:rPr>
          <w:noProof/>
        </w:rPr>
        <w:fldChar w:fldCharType="separate"/>
      </w:r>
      <w:r w:rsidR="00D553FC">
        <w:rPr>
          <w:noProof/>
        </w:rPr>
        <w:t>12</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CONCURRENCE</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Aides d'État: règlements d'habilitation et de procédure - versions codifiées </w:t>
      </w:r>
      <w:r w:rsidR="00406877">
        <w:tab/>
      </w:r>
      <w:r w:rsidRPr="00936161">
        <w:rPr>
          <w:noProof/>
        </w:rPr>
        <w:fldChar w:fldCharType="begin"/>
      </w:r>
      <w:r w:rsidRPr="00936161">
        <w:rPr>
          <w:noProof/>
        </w:rPr>
        <w:instrText xml:space="preserve"> PAGEREF \h _Toc426453507 \* MERGEFORMAT </w:instrText>
      </w:r>
      <w:r w:rsidRPr="00936161">
        <w:rPr>
          <w:noProof/>
        </w:rPr>
      </w:r>
      <w:r w:rsidRPr="00936161">
        <w:rPr>
          <w:noProof/>
        </w:rPr>
        <w:fldChar w:fldCharType="separate"/>
      </w:r>
      <w:r w:rsidR="00D553FC">
        <w:rPr>
          <w:noProof/>
        </w:rPr>
        <w:t>13</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ENVIRONNEMENT</w:t>
      </w:r>
    </w:p>
    <w:p w:rsidR="00CF04C0" w:rsidRPr="00936161" w:rsidRDefault="00CF04C0" w:rsidP="00CF04C0">
      <w:pPr>
        <w:pStyle w:val="TOC9"/>
        <w:keepNext/>
        <w:rPr>
          <w:rFonts w:asciiTheme="minorHAnsi" w:eastAsiaTheme="minorEastAsia" w:hAnsiTheme="minorHAnsi" w:cstheme="minorBidi"/>
          <w:noProof/>
          <w:sz w:val="22"/>
          <w:szCs w:val="22"/>
        </w:rPr>
      </w:pPr>
      <w:r w:rsidRPr="00936161">
        <w:t xml:space="preserve">Préparer le passage aux biocarburants avancés* </w:t>
      </w:r>
      <w:r w:rsidR="00406877">
        <w:tab/>
      </w:r>
      <w:r w:rsidRPr="00936161">
        <w:rPr>
          <w:noProof/>
        </w:rPr>
        <w:fldChar w:fldCharType="begin"/>
      </w:r>
      <w:r w:rsidRPr="00936161">
        <w:rPr>
          <w:noProof/>
        </w:rPr>
        <w:instrText xml:space="preserve"> PAGEREF \h _Toc426453509 \* MERGEFORMAT </w:instrText>
      </w:r>
      <w:r w:rsidRPr="00936161">
        <w:rPr>
          <w:noProof/>
        </w:rPr>
      </w:r>
      <w:r w:rsidRPr="00936161">
        <w:rPr>
          <w:noProof/>
        </w:rPr>
        <w:fldChar w:fldCharType="separate"/>
      </w:r>
      <w:r w:rsidR="00D553FC">
        <w:rPr>
          <w:noProof/>
        </w:rPr>
        <w:t>13</w:t>
      </w:r>
      <w:r w:rsidRPr="00936161">
        <w:rPr>
          <w:noProof/>
        </w:rPr>
        <w:fldChar w:fldCharType="end"/>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Amendement de Doha au protocole de Kyoto </w:t>
      </w:r>
      <w:r w:rsidR="00406877">
        <w:tab/>
      </w:r>
      <w:r w:rsidRPr="00936161">
        <w:rPr>
          <w:noProof/>
        </w:rPr>
        <w:fldChar w:fldCharType="begin"/>
      </w:r>
      <w:r w:rsidRPr="00936161">
        <w:rPr>
          <w:noProof/>
        </w:rPr>
        <w:instrText xml:space="preserve"> PAGEREF \h _Toc426453510 \* MERGEFORMAT </w:instrText>
      </w:r>
      <w:r w:rsidRPr="00936161">
        <w:rPr>
          <w:noProof/>
        </w:rPr>
      </w:r>
      <w:r w:rsidRPr="00936161">
        <w:rPr>
          <w:noProof/>
        </w:rPr>
        <w:fldChar w:fldCharType="separate"/>
      </w:r>
      <w:r w:rsidR="00D553FC">
        <w:rPr>
          <w:noProof/>
        </w:rPr>
        <w:t>14</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ÉNERGIE</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Exigences relatives à l'écoconception des lampes </w:t>
      </w:r>
      <w:r w:rsidR="00406877">
        <w:tab/>
      </w:r>
      <w:r w:rsidRPr="00936161">
        <w:rPr>
          <w:noProof/>
        </w:rPr>
        <w:fldChar w:fldCharType="begin"/>
      </w:r>
      <w:r w:rsidRPr="00936161">
        <w:rPr>
          <w:noProof/>
        </w:rPr>
        <w:instrText xml:space="preserve"> PAGEREF \h _Toc426453512 \* MERGEFORMAT </w:instrText>
      </w:r>
      <w:r w:rsidRPr="00936161">
        <w:rPr>
          <w:noProof/>
        </w:rPr>
      </w:r>
      <w:r w:rsidRPr="00936161">
        <w:rPr>
          <w:noProof/>
        </w:rPr>
        <w:fldChar w:fldCharType="separate"/>
      </w:r>
      <w:r w:rsidR="00D553FC">
        <w:rPr>
          <w:noProof/>
        </w:rPr>
        <w:t>14</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EMPLOI</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Mobilisation du Fonds européen d'ajustement à la mondialisation en faveur de la Finlande </w:t>
      </w:r>
      <w:r w:rsidR="00406877">
        <w:tab/>
      </w:r>
      <w:r w:rsidRPr="00936161">
        <w:rPr>
          <w:noProof/>
        </w:rPr>
        <w:fldChar w:fldCharType="begin"/>
      </w:r>
      <w:r w:rsidRPr="00936161">
        <w:rPr>
          <w:noProof/>
        </w:rPr>
        <w:instrText xml:space="preserve"> PAGEREF \h _Toc426453514 \* MERGEFORMAT </w:instrText>
      </w:r>
      <w:r w:rsidRPr="00936161">
        <w:rPr>
          <w:noProof/>
        </w:rPr>
      </w:r>
      <w:r w:rsidRPr="00936161">
        <w:rPr>
          <w:noProof/>
        </w:rPr>
        <w:fldChar w:fldCharType="separate"/>
      </w:r>
      <w:r w:rsidR="00D553FC">
        <w:rPr>
          <w:noProof/>
        </w:rPr>
        <w:t>15</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LÉGISLATION ALIMENTAIRE</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Autorisation de certains colorants dans les granules et flocons de pommes de terre séchés </w:t>
      </w:r>
      <w:r w:rsidR="00406877">
        <w:tab/>
      </w:r>
      <w:r w:rsidRPr="00936161">
        <w:rPr>
          <w:noProof/>
        </w:rPr>
        <w:fldChar w:fldCharType="begin"/>
      </w:r>
      <w:r w:rsidRPr="00936161">
        <w:rPr>
          <w:noProof/>
        </w:rPr>
        <w:instrText xml:space="preserve"> PAGEREF \h _Toc426453516 \* MERGEFORMAT </w:instrText>
      </w:r>
      <w:r w:rsidRPr="00936161">
        <w:rPr>
          <w:noProof/>
        </w:rPr>
      </w:r>
      <w:r w:rsidRPr="00936161">
        <w:rPr>
          <w:noProof/>
        </w:rPr>
        <w:fldChar w:fldCharType="separate"/>
      </w:r>
      <w:r w:rsidR="00D553FC">
        <w:rPr>
          <w:noProof/>
        </w:rPr>
        <w:t>15</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TRANSPARENCE</w:t>
      </w:r>
    </w:p>
    <w:p w:rsidR="00CF04C0" w:rsidRPr="00936161" w:rsidRDefault="00CF04C0" w:rsidP="00CF04C0">
      <w:pPr>
        <w:pStyle w:val="TOC9"/>
        <w:rPr>
          <w:rFonts w:asciiTheme="minorHAnsi" w:eastAsiaTheme="minorEastAsia" w:hAnsiTheme="minorHAnsi" w:cstheme="minorBidi"/>
          <w:noProof/>
          <w:sz w:val="22"/>
          <w:szCs w:val="22"/>
        </w:rPr>
      </w:pPr>
      <w:r w:rsidRPr="00936161">
        <w:t xml:space="preserve">Accès aux documents </w:t>
      </w:r>
      <w:r w:rsidR="00406877">
        <w:tab/>
      </w:r>
      <w:r w:rsidRPr="00936161">
        <w:rPr>
          <w:noProof/>
        </w:rPr>
        <w:fldChar w:fldCharType="begin"/>
      </w:r>
      <w:r w:rsidRPr="00936161">
        <w:rPr>
          <w:noProof/>
        </w:rPr>
        <w:instrText xml:space="preserve"> PAGEREF \h _Toc426453518 \* MERGEFORMAT </w:instrText>
      </w:r>
      <w:r w:rsidRPr="00936161">
        <w:rPr>
          <w:noProof/>
        </w:rPr>
      </w:r>
      <w:r w:rsidRPr="00936161">
        <w:rPr>
          <w:noProof/>
        </w:rPr>
        <w:fldChar w:fldCharType="separate"/>
      </w:r>
      <w:r w:rsidR="00D553FC">
        <w:rPr>
          <w:noProof/>
        </w:rPr>
        <w:t>16</w:t>
      </w:r>
      <w:r w:rsidRPr="00936161">
        <w:rPr>
          <w:noProof/>
        </w:rPr>
        <w:fldChar w:fldCharType="end"/>
      </w:r>
    </w:p>
    <w:p w:rsidR="00CF04C0" w:rsidRPr="00936161" w:rsidRDefault="00CF04C0" w:rsidP="00CF04C0">
      <w:pPr>
        <w:pStyle w:val="TOC8"/>
        <w:rPr>
          <w:rFonts w:asciiTheme="minorHAnsi" w:eastAsiaTheme="minorEastAsia" w:hAnsiTheme="minorHAnsi" w:cstheme="minorBidi"/>
          <w:i w:val="0"/>
          <w:noProof/>
          <w:sz w:val="22"/>
          <w:szCs w:val="22"/>
        </w:rPr>
      </w:pPr>
      <w:r w:rsidRPr="00936161">
        <w:t>DÉCISIONS ADOPTÉES SELON LA PROCÉDURE ÉCRITE</w:t>
      </w:r>
    </w:p>
    <w:p w:rsidR="00CF04C0" w:rsidRPr="00936161" w:rsidRDefault="00CF04C0" w:rsidP="00CF04C0">
      <w:pPr>
        <w:pStyle w:val="TOC9"/>
      </w:pPr>
      <w:r w:rsidRPr="00936161">
        <w:t xml:space="preserve">Transparence - Accès aux documents </w:t>
      </w:r>
      <w:r w:rsidR="00406877">
        <w:tab/>
      </w:r>
      <w:r w:rsidRPr="00936161">
        <w:rPr>
          <w:noProof/>
        </w:rPr>
        <w:fldChar w:fldCharType="begin"/>
      </w:r>
      <w:r w:rsidRPr="00936161">
        <w:rPr>
          <w:noProof/>
        </w:rPr>
        <w:instrText xml:space="preserve"> PAGEREF \h _Toc426453520 \* MERGEFORMAT </w:instrText>
      </w:r>
      <w:r w:rsidRPr="00936161">
        <w:rPr>
          <w:noProof/>
        </w:rPr>
      </w:r>
      <w:r w:rsidRPr="00936161">
        <w:rPr>
          <w:noProof/>
        </w:rPr>
        <w:fldChar w:fldCharType="separate"/>
      </w:r>
      <w:r w:rsidR="00D553FC">
        <w:rPr>
          <w:noProof/>
        </w:rPr>
        <w:t>16</w:t>
      </w:r>
      <w:r w:rsidRPr="00936161">
        <w:rPr>
          <w:noProof/>
        </w:rPr>
        <w:fldChar w:fldCharType="end"/>
      </w:r>
    </w:p>
    <w:p w:rsidR="00CF04C0" w:rsidRPr="00936161" w:rsidRDefault="00CF04C0" w:rsidP="00D15446">
      <w:pPr>
        <w:sectPr w:rsidR="00CF04C0" w:rsidRPr="00936161" w:rsidSect="00D553FC">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D15446" w:rsidRPr="00936161" w:rsidRDefault="00E1136A" w:rsidP="00406877">
      <w:pPr>
        <w:pStyle w:val="ItemsDebatedHeading"/>
        <w:spacing w:line="216" w:lineRule="auto"/>
      </w:pPr>
      <w:r w:rsidRPr="00936161">
        <w:t>POINTS AYANT FAIT L'OBJET D'UN DÉBAT</w:t>
      </w:r>
    </w:p>
    <w:p w:rsidR="007340CA" w:rsidRPr="00936161" w:rsidRDefault="007B4D94" w:rsidP="00406877">
      <w:pPr>
        <w:pStyle w:val="ItemDebated"/>
        <w:spacing w:line="216" w:lineRule="auto"/>
      </w:pPr>
      <w:bookmarkStart w:id="6" w:name="_Toc426453477"/>
      <w:r w:rsidRPr="00936161">
        <w:t>PROGRAMME DE TRAVAIL DE LA PRÉSIDENCE</w:t>
      </w:r>
      <w:bookmarkEnd w:id="6"/>
    </w:p>
    <w:p w:rsidR="009C0741" w:rsidRPr="00936161" w:rsidRDefault="009C0741" w:rsidP="00406877">
      <w:pPr>
        <w:widowControl w:val="0"/>
        <w:spacing w:line="216" w:lineRule="auto"/>
      </w:pPr>
      <w:r w:rsidRPr="00936161">
        <w:t>Lors d'une session publique, la présidence luxembourgeoise a présenté son programme de travail dans les secteurs de l'agriculture et de la pêche pour les six prochains mois. La présidence estime que la durabilité doit constituer le principe fondamental du développement futur de l'agriculture européenne. Ce principe doit être appliqué en tenant dûment compt</w:t>
      </w:r>
      <w:r w:rsidR="00406877">
        <w:t>e de la dimension économique et </w:t>
      </w:r>
      <w:r w:rsidRPr="00936161">
        <w:t>sociale ainsi que des aspects sanitaires et environnementaux qui y sont liés</w:t>
      </w:r>
      <w:r w:rsidR="00406877">
        <w:t xml:space="preserve"> </w:t>
      </w:r>
      <w:r w:rsidRPr="00936161">
        <w:t>(</w:t>
      </w:r>
      <w:hyperlink r:id="rId19" w:tooltip="http://data.consilium.europa.eu/doc/document/ST-10690-2015-INIT/fr/pdf">
        <w:r w:rsidRPr="00406877">
          <w:rPr>
            <w:rStyle w:val="Hyperlink"/>
            <w:color w:val="0000FF"/>
          </w:rPr>
          <w:t>10690/</w:t>
        </w:r>
        <w:r w:rsidRPr="00406877">
          <w:rPr>
            <w:rStyle w:val="Hyperlink"/>
            <w:color w:val="0000FF"/>
          </w:rPr>
          <w:t>1</w:t>
        </w:r>
        <w:r w:rsidRPr="00406877">
          <w:rPr>
            <w:rStyle w:val="Hyperlink"/>
            <w:color w:val="0000FF"/>
          </w:rPr>
          <w:t>5</w:t>
        </w:r>
      </w:hyperlink>
      <w:r w:rsidRPr="00936161">
        <w:t>).</w:t>
      </w:r>
    </w:p>
    <w:p w:rsidR="009C0741" w:rsidRPr="00936161" w:rsidRDefault="009C0741" w:rsidP="00406877">
      <w:pPr>
        <w:widowControl w:val="0"/>
        <w:spacing w:line="216" w:lineRule="auto"/>
      </w:pPr>
      <w:r w:rsidRPr="00936161">
        <w:t>Compte tenu de ce qui précède, les priorités de la présidence en matière de politique agricole consisteront notamment à:</w:t>
      </w:r>
    </w:p>
    <w:p w:rsidR="009C0741" w:rsidRPr="00936161" w:rsidRDefault="009C0741" w:rsidP="00406877">
      <w:pPr>
        <w:widowControl w:val="0"/>
        <w:numPr>
          <w:ilvl w:val="0"/>
          <w:numId w:val="1"/>
        </w:numPr>
        <w:spacing w:before="0" w:after="0" w:line="216" w:lineRule="auto"/>
        <w:ind w:left="567" w:hanging="567"/>
      </w:pPr>
      <w:r w:rsidRPr="00936161">
        <w:t xml:space="preserve">privilégier la </w:t>
      </w:r>
      <w:r w:rsidRPr="00936161">
        <w:rPr>
          <w:b/>
        </w:rPr>
        <w:t>simplification</w:t>
      </w:r>
      <w:r w:rsidRPr="00936161">
        <w:t xml:space="preserve"> effective </w:t>
      </w:r>
      <w:r w:rsidRPr="00936161">
        <w:rPr>
          <w:b/>
        </w:rPr>
        <w:t>de la</w:t>
      </w:r>
      <w:r w:rsidR="00406877">
        <w:rPr>
          <w:b/>
        </w:rPr>
        <w:t xml:space="preserve"> </w:t>
      </w:r>
      <w:r w:rsidRPr="00936161">
        <w:rPr>
          <w:b/>
        </w:rPr>
        <w:t>politique agricole commune</w:t>
      </w:r>
      <w:r w:rsidRPr="00936161">
        <w:t xml:space="preserve"> (PAC) </w:t>
      </w:r>
      <w:r w:rsidRPr="00936161">
        <w:rPr>
          <w:b/>
        </w:rPr>
        <w:t>réformée</w:t>
      </w:r>
      <w:r w:rsidR="00406877">
        <w:t>, et </w:t>
      </w:r>
      <w:r w:rsidRPr="00936161">
        <w:t>veiller à ce que le Conseil soit pleinement associé à ce processus;</w:t>
      </w:r>
    </w:p>
    <w:p w:rsidR="009C0741" w:rsidRPr="00936161" w:rsidRDefault="009C0741" w:rsidP="00406877">
      <w:pPr>
        <w:widowControl w:val="0"/>
        <w:numPr>
          <w:ilvl w:val="0"/>
          <w:numId w:val="1"/>
        </w:numPr>
        <w:spacing w:before="0" w:after="0" w:line="216" w:lineRule="auto"/>
        <w:ind w:left="567" w:hanging="567"/>
      </w:pPr>
      <w:r w:rsidRPr="00936161">
        <w:t>entamer les négociations avec le Parlement européen sur l'</w:t>
      </w:r>
      <w:r w:rsidRPr="00936161">
        <w:rPr>
          <w:b/>
        </w:rPr>
        <w:t>agriculture biologique</w:t>
      </w:r>
      <w:r w:rsidR="00406877">
        <w:t>, afin </w:t>
      </w:r>
      <w:r w:rsidRPr="00936161">
        <w:t>d'établir un cadre réglementaire adapté aux nouveaux défis;</w:t>
      </w:r>
    </w:p>
    <w:p w:rsidR="009C0741" w:rsidRPr="00936161" w:rsidRDefault="009C0741" w:rsidP="00406877">
      <w:pPr>
        <w:widowControl w:val="0"/>
        <w:numPr>
          <w:ilvl w:val="0"/>
          <w:numId w:val="1"/>
        </w:numPr>
        <w:spacing w:before="0" w:after="0" w:line="216" w:lineRule="auto"/>
        <w:ind w:left="567" w:hanging="567"/>
      </w:pPr>
      <w:r w:rsidRPr="00936161">
        <w:t>suivre l'</w:t>
      </w:r>
      <w:r w:rsidRPr="00936161">
        <w:rPr>
          <w:b/>
        </w:rPr>
        <w:t>évolution du marché</w:t>
      </w:r>
      <w:r w:rsidRPr="00936161">
        <w:t>, y compris l'interdiction imposée par la Russie sur les importations agricoles et l'expiration des quotas laitiers, et accorder une attention particulière aux effets sur les agriculteurs;</w:t>
      </w:r>
    </w:p>
    <w:p w:rsidR="00B97242" w:rsidRPr="00936161" w:rsidRDefault="00BB333F" w:rsidP="00406877">
      <w:pPr>
        <w:widowControl w:val="0"/>
        <w:numPr>
          <w:ilvl w:val="0"/>
          <w:numId w:val="1"/>
        </w:numPr>
        <w:spacing w:before="0" w:after="0" w:line="216" w:lineRule="auto"/>
        <w:ind w:left="567" w:hanging="567"/>
      </w:pPr>
      <w:r w:rsidRPr="00936161">
        <w:t xml:space="preserve">reprendre l'examen des propositions relatives aux </w:t>
      </w:r>
      <w:r w:rsidRPr="00936161">
        <w:rPr>
          <w:b/>
        </w:rPr>
        <w:t>régimes d'aide à la distribution de fruits et légumes et de lait dans les établissements scolaires</w:t>
      </w:r>
      <w:r w:rsidRPr="00936161">
        <w:t xml:space="preserve"> apr</w:t>
      </w:r>
      <w:r w:rsidR="00406877">
        <w:t>ès l'évaluation réalisée par la </w:t>
      </w:r>
      <w:r w:rsidRPr="00936161">
        <w:t>Commission.</w:t>
      </w:r>
    </w:p>
    <w:p w:rsidR="009C0741" w:rsidRPr="00936161" w:rsidRDefault="009C0741" w:rsidP="00406877">
      <w:pPr>
        <w:widowControl w:val="0"/>
        <w:spacing w:line="216" w:lineRule="auto"/>
        <w:ind w:left="567" w:hanging="567"/>
      </w:pPr>
      <w:r w:rsidRPr="00936161">
        <w:t>Les priorités en matière de politique de la pêche consisteront principalement à:</w:t>
      </w:r>
    </w:p>
    <w:p w:rsidR="009C0741" w:rsidRPr="00936161" w:rsidRDefault="009C0741" w:rsidP="00406877">
      <w:pPr>
        <w:widowControl w:val="0"/>
        <w:numPr>
          <w:ilvl w:val="0"/>
          <w:numId w:val="1"/>
        </w:numPr>
        <w:spacing w:before="0" w:after="0" w:line="216" w:lineRule="auto"/>
        <w:ind w:left="567" w:hanging="567"/>
        <w:rPr>
          <w:b/>
          <w:bCs/>
        </w:rPr>
      </w:pPr>
      <w:r w:rsidRPr="00936161">
        <w:t xml:space="preserve">organiser une discussion approfondie sur les </w:t>
      </w:r>
      <w:r w:rsidRPr="00936161">
        <w:rPr>
          <w:b/>
        </w:rPr>
        <w:t>données scien</w:t>
      </w:r>
      <w:r w:rsidR="00406877">
        <w:rPr>
          <w:b/>
        </w:rPr>
        <w:t>tifiques relatives à l'état des </w:t>
      </w:r>
      <w:r w:rsidRPr="00936161">
        <w:rPr>
          <w:b/>
        </w:rPr>
        <w:t>stocks de poissons</w:t>
      </w:r>
      <w:r w:rsidRPr="00936161">
        <w:t xml:space="preserve"> pour que des décisions motivées et transparentes puissent être prises en la matière;</w:t>
      </w:r>
    </w:p>
    <w:p w:rsidR="009C0741" w:rsidRPr="00936161" w:rsidRDefault="009C0741" w:rsidP="002821A0">
      <w:pPr>
        <w:widowControl w:val="0"/>
        <w:numPr>
          <w:ilvl w:val="0"/>
          <w:numId w:val="1"/>
        </w:numPr>
        <w:spacing w:before="0" w:after="0"/>
        <w:ind w:left="567" w:hanging="567"/>
      </w:pPr>
      <w:r w:rsidRPr="00936161">
        <w:t xml:space="preserve">tenter de parvenir à un accord sur la question de la </w:t>
      </w:r>
      <w:r w:rsidRPr="00936161">
        <w:rPr>
          <w:b/>
        </w:rPr>
        <w:t>pêche en eau profonde</w:t>
      </w:r>
      <w:r w:rsidRPr="00936161">
        <w:t>, en garantissant l'exploitation durable de ces stocks de poissons;</w:t>
      </w:r>
    </w:p>
    <w:p w:rsidR="009C0741" w:rsidRPr="00936161" w:rsidRDefault="009C0741" w:rsidP="002821A0">
      <w:pPr>
        <w:widowControl w:val="0"/>
        <w:numPr>
          <w:ilvl w:val="0"/>
          <w:numId w:val="2"/>
        </w:numPr>
        <w:spacing w:before="0" w:after="0"/>
        <w:ind w:left="567" w:hanging="567"/>
      </w:pPr>
      <w:r w:rsidRPr="00936161">
        <w:t xml:space="preserve">faire avancer les négociations sur le </w:t>
      </w:r>
      <w:r w:rsidRPr="00936161">
        <w:rPr>
          <w:b/>
        </w:rPr>
        <w:t>plan pluriannuel de gestion pour la mer Baltique</w:t>
      </w:r>
      <w:r w:rsidR="00406877">
        <w:t>, afin </w:t>
      </w:r>
      <w:r w:rsidRPr="00936161">
        <w:t>d'assurer une gestion durable des ressources halieutiques dans cette région;</w:t>
      </w:r>
    </w:p>
    <w:p w:rsidR="009C0741" w:rsidRPr="00936161" w:rsidRDefault="009C0741" w:rsidP="002821A0">
      <w:pPr>
        <w:widowControl w:val="0"/>
        <w:numPr>
          <w:ilvl w:val="0"/>
          <w:numId w:val="2"/>
        </w:numPr>
        <w:spacing w:before="0" w:after="0"/>
        <w:ind w:left="567" w:hanging="567"/>
      </w:pPr>
      <w:r w:rsidRPr="00936161">
        <w:t>poursuivre l'</w:t>
      </w:r>
      <w:r w:rsidRPr="00936161">
        <w:rPr>
          <w:b/>
        </w:rPr>
        <w:t>alignement de plusieurs règlements existants</w:t>
      </w:r>
      <w:r w:rsidR="00406877">
        <w:t xml:space="preserve"> sur le traité de Lisbonne, en </w:t>
      </w:r>
      <w:r w:rsidRPr="00936161">
        <w:t xml:space="preserve">accordant une attention particulière à la </w:t>
      </w:r>
      <w:r w:rsidRPr="00936161">
        <w:rPr>
          <w:b/>
        </w:rPr>
        <w:t>pêche illicite et non réglementée</w:t>
      </w:r>
      <w:r w:rsidR="00406877">
        <w:t xml:space="preserve"> et à la </w:t>
      </w:r>
      <w:r w:rsidRPr="00936161">
        <w:rPr>
          <w:b/>
        </w:rPr>
        <w:t>reconstitution des stocks d'anguilles européennes</w:t>
      </w:r>
      <w:r w:rsidRPr="00936161">
        <w:t>.</w:t>
      </w:r>
    </w:p>
    <w:p w:rsidR="009C0741" w:rsidRPr="00936161" w:rsidRDefault="009C0741" w:rsidP="009C0741">
      <w:pPr>
        <w:widowControl w:val="0"/>
        <w:spacing w:line="280" w:lineRule="atLeast"/>
        <w:ind w:left="567" w:hanging="567"/>
      </w:pPr>
      <w:r w:rsidRPr="00936161">
        <w:t>En ce qui concerne les questions alimentaires et vétérinaires, la présidence entend:</w:t>
      </w:r>
    </w:p>
    <w:p w:rsidR="009C0741" w:rsidRPr="00936161" w:rsidRDefault="009C0741" w:rsidP="002821A0">
      <w:pPr>
        <w:widowControl w:val="0"/>
        <w:numPr>
          <w:ilvl w:val="0"/>
          <w:numId w:val="3"/>
        </w:numPr>
        <w:spacing w:before="0" w:after="0"/>
        <w:ind w:left="567" w:hanging="567"/>
      </w:pPr>
      <w:r w:rsidRPr="00936161">
        <w:t xml:space="preserve">entamer les travaux sur la </w:t>
      </w:r>
      <w:r w:rsidRPr="00936161">
        <w:rPr>
          <w:b/>
        </w:rPr>
        <w:t xml:space="preserve">révision de la procédure d'autorisation pour les organismes génétiquement modifiés </w:t>
      </w:r>
      <w:r w:rsidRPr="00936161">
        <w:t>présents dans les denrées alimentaires et les aliments pour animaux;</w:t>
      </w:r>
    </w:p>
    <w:p w:rsidR="009C0741" w:rsidRPr="00936161" w:rsidRDefault="009C0741" w:rsidP="002821A0">
      <w:pPr>
        <w:widowControl w:val="0"/>
        <w:numPr>
          <w:ilvl w:val="0"/>
          <w:numId w:val="3"/>
        </w:numPr>
        <w:spacing w:before="0" w:after="0"/>
        <w:ind w:left="567" w:hanging="567"/>
      </w:pPr>
      <w:r w:rsidRPr="00936161">
        <w:t xml:space="preserve">s'employer à parvenir à un accord en première lecture avec le Parlement sur la proposition législative concernant </w:t>
      </w:r>
      <w:r w:rsidRPr="00936161">
        <w:rPr>
          <w:b/>
        </w:rPr>
        <w:t>les mesures de protection cont</w:t>
      </w:r>
      <w:r w:rsidR="00406877">
        <w:rPr>
          <w:b/>
        </w:rPr>
        <w:t>re les organismes nuisibles aux </w:t>
      </w:r>
      <w:r w:rsidRPr="00936161">
        <w:rPr>
          <w:b/>
        </w:rPr>
        <w:t>végétaux</w:t>
      </w:r>
      <w:r w:rsidRPr="00936161">
        <w:t xml:space="preserve"> (santé des végétaux);</w:t>
      </w:r>
    </w:p>
    <w:p w:rsidR="009C0741" w:rsidRPr="00936161" w:rsidRDefault="009C0741" w:rsidP="002821A0">
      <w:pPr>
        <w:widowControl w:val="0"/>
        <w:numPr>
          <w:ilvl w:val="0"/>
          <w:numId w:val="3"/>
        </w:numPr>
        <w:spacing w:before="0" w:after="0"/>
        <w:ind w:left="567" w:hanging="567"/>
      </w:pPr>
      <w:r w:rsidRPr="00936161">
        <w:t>finaliser une approche plus intégrée et horizontale concernant les </w:t>
      </w:r>
      <w:r w:rsidRPr="00936161">
        <w:rPr>
          <w:b/>
        </w:rPr>
        <w:t xml:space="preserve">contrôles officiels </w:t>
      </w:r>
      <w:r w:rsidR="00406877">
        <w:t>afin de </w:t>
      </w:r>
      <w:r w:rsidRPr="00936161">
        <w:t>dégager un compromis entre les États membres en vue d'e</w:t>
      </w:r>
      <w:r w:rsidR="00406877">
        <w:t>ntamer les négociations avec le </w:t>
      </w:r>
      <w:r w:rsidRPr="00936161">
        <w:t>Parlement sur cette question;</w:t>
      </w:r>
    </w:p>
    <w:p w:rsidR="009C0741" w:rsidRPr="00936161" w:rsidRDefault="009C0741" w:rsidP="002821A0">
      <w:pPr>
        <w:widowControl w:val="0"/>
        <w:numPr>
          <w:ilvl w:val="0"/>
          <w:numId w:val="3"/>
        </w:numPr>
        <w:spacing w:before="0" w:after="0"/>
        <w:ind w:left="567" w:hanging="567"/>
      </w:pPr>
      <w:r w:rsidRPr="00936161">
        <w:t xml:space="preserve">s'efforcer de parvenir à un accord avec le Parlement européen sur la proposition législative relative aux </w:t>
      </w:r>
      <w:r w:rsidRPr="00936161">
        <w:rPr>
          <w:b/>
        </w:rPr>
        <w:t xml:space="preserve">conditions zootechniques et généalogiques </w:t>
      </w:r>
      <w:r w:rsidR="00406877">
        <w:rPr>
          <w:b/>
        </w:rPr>
        <w:t>applicables aux échanges et aux </w:t>
      </w:r>
      <w:r w:rsidRPr="00936161">
        <w:rPr>
          <w:b/>
        </w:rPr>
        <w:t xml:space="preserve">importations dans l'Union d'animaux reproducteurs et de leurs produits germinaux </w:t>
      </w:r>
      <w:r w:rsidRPr="00936161">
        <w:t xml:space="preserve">et sur la finalisation du dossier relatif aux </w:t>
      </w:r>
      <w:r w:rsidRPr="00936161">
        <w:rPr>
          <w:b/>
        </w:rPr>
        <w:t>aliments médicamenteux pour animaux</w:t>
      </w:r>
      <w:r w:rsidRPr="00936161">
        <w:t>;</w:t>
      </w:r>
    </w:p>
    <w:p w:rsidR="00406877" w:rsidRDefault="009C0741" w:rsidP="002821A0">
      <w:pPr>
        <w:widowControl w:val="0"/>
        <w:numPr>
          <w:ilvl w:val="0"/>
          <w:numId w:val="3"/>
        </w:numPr>
        <w:spacing w:before="0" w:after="0"/>
        <w:ind w:left="567" w:hanging="567"/>
      </w:pPr>
      <w:r w:rsidRPr="00936161">
        <w:t xml:space="preserve">poursuivre les travaux sur les </w:t>
      </w:r>
      <w:r w:rsidRPr="00936161">
        <w:rPr>
          <w:b/>
        </w:rPr>
        <w:t>médicaments à usage vétérinaire</w:t>
      </w:r>
      <w:r w:rsidRPr="00936161">
        <w:t>, en mettant particulièrement l'accent sur la lutte contre la résistance aux antimicrobiens.</w:t>
      </w:r>
    </w:p>
    <w:p w:rsidR="007340CA" w:rsidRPr="00406877" w:rsidRDefault="00406877" w:rsidP="00406877">
      <w:pPr>
        <w:rPr>
          <w:b/>
          <w:bCs/>
          <w:u w:val="single"/>
        </w:rPr>
      </w:pPr>
      <w:r>
        <w:br w:type="page"/>
      </w:r>
      <w:bookmarkStart w:id="7" w:name="_Toc426453478"/>
      <w:r w:rsidR="007B4D94" w:rsidRPr="00406877">
        <w:rPr>
          <w:b/>
          <w:bCs/>
          <w:u w:val="single"/>
        </w:rPr>
        <w:t>AGRICULTURE</w:t>
      </w:r>
      <w:bookmarkEnd w:id="7"/>
    </w:p>
    <w:p w:rsidR="007B4D94" w:rsidRPr="00936161" w:rsidRDefault="007B4D94" w:rsidP="00406877">
      <w:pPr>
        <w:pStyle w:val="Sub-itemDebated"/>
      </w:pPr>
      <w:bookmarkStart w:id="8" w:name="_Toc426453479"/>
      <w:r w:rsidRPr="00936161">
        <w:t>Restriction de l'utilisation de denrées alimentaires et d'aliments pour animaux génétiquement modifiés</w:t>
      </w:r>
      <w:bookmarkEnd w:id="8"/>
    </w:p>
    <w:p w:rsidR="009C0741" w:rsidRPr="00936161" w:rsidRDefault="009C0741" w:rsidP="00406877">
      <w:pPr>
        <w:spacing w:line="280" w:lineRule="atLeast"/>
      </w:pPr>
      <w:r w:rsidRPr="00936161">
        <w:t>La Commission a présenté aux ministres:</w:t>
      </w:r>
    </w:p>
    <w:p w:rsidR="009C0741" w:rsidRPr="00936161" w:rsidRDefault="009C0741" w:rsidP="00406877">
      <w:pPr>
        <w:numPr>
          <w:ilvl w:val="0"/>
          <w:numId w:val="6"/>
        </w:numPr>
        <w:spacing w:after="120" w:line="280" w:lineRule="atLeast"/>
      </w:pPr>
      <w:r w:rsidRPr="00936161">
        <w:t>une communication intitulée "Réexamen du processus décisionnel relatif aux organismes génétiquement modifiés (OGM)" (</w:t>
      </w:r>
      <w:hyperlink r:id="rId20" w:tooltip="http://data.consilium.europa.eu/doc/document/ST-8344-2015-INIT/fr/pdf">
        <w:r w:rsidRPr="00406877">
          <w:rPr>
            <w:rStyle w:val="Hyperlink"/>
            <w:color w:val="0000FF"/>
          </w:rPr>
          <w:t>8344/15</w:t>
        </w:r>
      </w:hyperlink>
      <w:r w:rsidRPr="00936161">
        <w:t>);</w:t>
      </w:r>
    </w:p>
    <w:p w:rsidR="009C0741" w:rsidRPr="00936161" w:rsidRDefault="009C0741" w:rsidP="00406877">
      <w:pPr>
        <w:numPr>
          <w:ilvl w:val="0"/>
          <w:numId w:val="6"/>
        </w:numPr>
        <w:spacing w:after="120" w:line="280" w:lineRule="atLeast"/>
      </w:pPr>
      <w:r w:rsidRPr="00936161">
        <w:t>une proposition de règlement en ce qui concerne la possibilité pour les États m</w:t>
      </w:r>
      <w:r w:rsidR="00406877">
        <w:t>embres de </w:t>
      </w:r>
      <w:r w:rsidRPr="00936161">
        <w:t>restreindre ou d'interdire sur leur territoire l'utilisa</w:t>
      </w:r>
      <w:r w:rsidR="00406877">
        <w:t>tion de denrées alimentaires et </w:t>
      </w:r>
      <w:r w:rsidRPr="00936161">
        <w:t>d'aliments pour animaux génétiquement modifiés (</w:t>
      </w:r>
      <w:hyperlink r:id="rId21" w:tooltip="http://data.consilium.europa.eu/doc/document/ST-8356-2015-INIT/fr/pdf">
        <w:r w:rsidRPr="00406877">
          <w:rPr>
            <w:rStyle w:val="Hyperlink"/>
            <w:color w:val="0000FF"/>
          </w:rPr>
          <w:t>8356/15</w:t>
        </w:r>
      </w:hyperlink>
      <w:r w:rsidRPr="00936161">
        <w:t>).</w:t>
      </w:r>
    </w:p>
    <w:p w:rsidR="009C0741" w:rsidRPr="00936161" w:rsidRDefault="009C0741" w:rsidP="00406877">
      <w:pPr>
        <w:spacing w:line="280" w:lineRule="atLeast"/>
      </w:pPr>
      <w:r w:rsidRPr="00936161">
        <w:t>Les ministres ont ensuite procédé à un échange de vues à ce sujet sur la base d'un questionnaire élaboré par la présidence</w:t>
      </w:r>
      <w:r w:rsidR="00406877">
        <w:t xml:space="preserve"> </w:t>
      </w:r>
      <w:r w:rsidRPr="00936161">
        <w:t>(</w:t>
      </w:r>
      <w:hyperlink r:id="rId22" w:tooltip="http://data.consilium.europa.eu/doc/document/ST-10569-2015-INIT/fr/pdf">
        <w:r w:rsidRPr="00406877">
          <w:rPr>
            <w:rStyle w:val="Hyperlink"/>
            <w:color w:val="0000FF"/>
          </w:rPr>
          <w:t>10569/15</w:t>
        </w:r>
      </w:hyperlink>
      <w:r w:rsidRPr="00936161">
        <w:t>).</w:t>
      </w:r>
    </w:p>
    <w:p w:rsidR="009C0741" w:rsidRPr="00936161" w:rsidRDefault="009C0741" w:rsidP="00406877">
      <w:pPr>
        <w:spacing w:line="280" w:lineRule="atLeast"/>
      </w:pPr>
      <w:r w:rsidRPr="00936161">
        <w:t>La plupart d'entre eux ont émis des doutes quant à l'option de refus proposée et ont estimé qu'elle ne leur offrirait pas une solution réalisable et juridiquement solide. Ils ont par exemple fait observer que le terme "utilisation" (d'un OGM) figurant dans la proposition n'est pas suffisamment défini et qu'il pourrait conduire à différentes interprétations.</w:t>
      </w:r>
    </w:p>
    <w:p w:rsidR="009C0741" w:rsidRPr="00936161" w:rsidRDefault="009C0741" w:rsidP="00406877">
      <w:pPr>
        <w:spacing w:line="280" w:lineRule="atLeast"/>
      </w:pPr>
      <w:r w:rsidRPr="00936161">
        <w:t xml:space="preserve">De nombreuses délégations ont insisté sur le fait que le nouveau </w:t>
      </w:r>
      <w:r w:rsidR="00406877">
        <w:t>processus pourrait affaiblir le </w:t>
      </w:r>
      <w:r w:rsidRPr="00936161">
        <w:t>marché unique et ont indiqué qu'il risquait d'être contraire au</w:t>
      </w:r>
      <w:r w:rsidR="00406877">
        <w:t>x engagements internationaux de </w:t>
      </w:r>
      <w:r w:rsidRPr="00936161">
        <w:t>l'UE. Un certain nombre de ministres ont déploré le fait qu'une analyse d'impact n'ait pas été réalisée en vue d'évaluer les conséquences de la proposition.</w:t>
      </w:r>
    </w:p>
    <w:p w:rsidR="009C0741" w:rsidRPr="00936161" w:rsidRDefault="009C0741" w:rsidP="00406877">
      <w:pPr>
        <w:spacing w:line="280" w:lineRule="atLeast"/>
      </w:pPr>
      <w:r w:rsidRPr="00936161">
        <w:t>La présidence a chargé les instances préparatoires du Conseil d'exa</w:t>
      </w:r>
      <w:r w:rsidR="00406877">
        <w:t>miner les aspects techniques de </w:t>
      </w:r>
      <w:r w:rsidRPr="00936161">
        <w:t>la proposition en se fondant sur d'autres analyses fournies par la Commission.</w:t>
      </w:r>
    </w:p>
    <w:p w:rsidR="009C0741" w:rsidRPr="00936161" w:rsidRDefault="009C0741" w:rsidP="00406877">
      <w:pPr>
        <w:spacing w:line="280" w:lineRule="atLeast"/>
        <w:rPr>
          <w:b/>
          <w:bCs/>
          <w:i/>
          <w:iCs/>
        </w:rPr>
      </w:pPr>
      <w:r w:rsidRPr="00936161">
        <w:rPr>
          <w:b/>
          <w:i/>
        </w:rPr>
        <w:t>Contexte</w:t>
      </w:r>
    </w:p>
    <w:p w:rsidR="009C0741" w:rsidRPr="00936161" w:rsidRDefault="009C0741" w:rsidP="00406877">
      <w:pPr>
        <w:spacing w:line="280" w:lineRule="atLeast"/>
      </w:pPr>
      <w:r w:rsidRPr="00936161">
        <w:t xml:space="preserve">La communication souligne la nécessité d'adapter le cadre juridique applicable aux OGM afin de mieux permettre aux gouvernements nationaux de faire part de leur position quant à leur utilisation. Elle relève également qu'en mars 2015 le Conseil et le Parlement ont approuvé </w:t>
      </w:r>
      <w:r w:rsidR="00406877">
        <w:t>une modification du </w:t>
      </w:r>
      <w:r w:rsidRPr="00936161">
        <w:t xml:space="preserve">cadre juridique applicable aux OGM pour permettre aux </w:t>
      </w:r>
      <w:r w:rsidR="00406877">
        <w:t>États membres de restreindre ou </w:t>
      </w:r>
      <w:r w:rsidRPr="00936161">
        <w:t>d'interdire sur leur territoire la culture d'OGM autorisés (</w:t>
      </w:r>
      <w:hyperlink r:id="rId23">
        <w:r w:rsidRPr="00406877">
          <w:rPr>
            <w:rStyle w:val="Hyperlink"/>
            <w:color w:val="0000FF"/>
          </w:rPr>
          <w:t>directive (UE) 2015/412</w:t>
        </w:r>
      </w:hyperlink>
      <w:r w:rsidR="00406877">
        <w:t>). La </w:t>
      </w:r>
      <w:r w:rsidRPr="00936161">
        <w:t>communication conclut qu'il convient d'étendre cette appro</w:t>
      </w:r>
      <w:r w:rsidR="00406877">
        <w:t>che aux denrées alimentaires et </w:t>
      </w:r>
      <w:r w:rsidRPr="00936161">
        <w:t>aliments pour animaux génétiquement modifiés.</w:t>
      </w:r>
    </w:p>
    <w:p w:rsidR="009C0741" w:rsidRPr="00936161" w:rsidRDefault="00EB33B7" w:rsidP="00406877">
      <w:pPr>
        <w:spacing w:line="280" w:lineRule="atLeast"/>
      </w:pPr>
      <w:r w:rsidRPr="00936161">
        <w:br w:type="page"/>
        <w:t xml:space="preserve">Dans ce cadre, le règlement proposé vise à parvenir à un équilibre entre le maintien d'un régime d'autorisation de l'UE et la liberté pour les États membres de décider </w:t>
      </w:r>
      <w:r w:rsidR="00406877">
        <w:t>de l'utilisation d'OGM sur leur </w:t>
      </w:r>
      <w:r w:rsidRPr="00936161">
        <w:t>territoire. L'actuel système de gestion des risques unique associé au régime d'autorisation ne serait pas modifié, car il veille à ce que le même niveau de protectio</w:t>
      </w:r>
      <w:r w:rsidR="00406877">
        <w:t>n s'applique dans l'ensemble de </w:t>
      </w:r>
      <w:r w:rsidRPr="00936161">
        <w:t>l'UE. Toutefois, la modification proposée signifierait que, dès lors que l'utilisation d'un OGM est autorisée pour l'alimentation humaine ou animale dans l'UE, les États membres pourraient décider de refuser d'autoriser sur leur territoire l'utilisation dans la c</w:t>
      </w:r>
      <w:r w:rsidR="00406877">
        <w:t>haîne alimentaire de cet OGM en </w:t>
      </w:r>
      <w:r w:rsidRPr="00936161">
        <w:t>particulier. Les mesures de sortie devraient se fonder sur des m</w:t>
      </w:r>
      <w:r w:rsidR="00406877">
        <w:t>otifs légitimes autres que ceux </w:t>
      </w:r>
      <w:r w:rsidRPr="00936161">
        <w:t>examinés au niveau de l'UE (à savoir les risques pour la santé humaine ou animale ou pour l'environnement) et être conformes à la législation de l'UE, qui inclut les principes du marché intérieur, et aux obligations internationales de l'UE.</w:t>
      </w:r>
    </w:p>
    <w:p w:rsidR="007B4D94" w:rsidRPr="00936161" w:rsidRDefault="007B4D94" w:rsidP="007B4D94">
      <w:pPr>
        <w:pStyle w:val="Sub-itemDebated"/>
      </w:pPr>
      <w:bookmarkStart w:id="9" w:name="_Toc426453480"/>
      <w:r w:rsidRPr="00936161">
        <w:t>Évolution du marché</w:t>
      </w:r>
      <w:bookmarkEnd w:id="9"/>
    </w:p>
    <w:p w:rsidR="009C0741" w:rsidRPr="00936161" w:rsidRDefault="009C0741" w:rsidP="005353E0">
      <w:pPr>
        <w:spacing w:line="280" w:lineRule="atLeast"/>
      </w:pPr>
      <w:r w:rsidRPr="00936161">
        <w:t>Le Conseil a été informé par la Commission de l'évolution du marché et, en particulier, de l'impact qu'a, pour le marché de l'UE, l'interdiction d'importation des produits agricoles de l'UE qui a été décrétée en août 2014 par la Russie et a été prolongée récemment (</w:t>
      </w:r>
      <w:hyperlink r:id="rId24" w:tooltip="http://data.consilium.europa.eu/doc/document/ST-10613-2015-INIT/FR/pdf">
        <w:r w:rsidRPr="00406877">
          <w:rPr>
            <w:rStyle w:val="Hyperlink"/>
            <w:color w:val="0000FF"/>
          </w:rPr>
          <w:t>10613/15</w:t>
        </w:r>
      </w:hyperlink>
      <w:r w:rsidRPr="00936161">
        <w:t>).</w:t>
      </w:r>
    </w:p>
    <w:p w:rsidR="009C0741" w:rsidRPr="00936161" w:rsidRDefault="009C0741" w:rsidP="005353E0">
      <w:pPr>
        <w:spacing w:line="280" w:lineRule="atLeast"/>
      </w:pPr>
      <w:r w:rsidRPr="00936161">
        <w:t>En outre, les délégations bulgare, tchèque, hongroise, polonaise, roumaine, slovène et slovaque ont fait part de la situation préoccupante du marché des produits laitiers (</w:t>
      </w:r>
      <w:hyperlink r:id="rId25" w:tooltip="http://data.consilium.europa.eu/doc/document/ST-10707-2015-INIT/en/pdf">
        <w:r w:rsidRPr="00406877">
          <w:rPr>
            <w:rStyle w:val="Hyperlink"/>
            <w:color w:val="0000FF"/>
          </w:rPr>
          <w:t>10707/15</w:t>
        </w:r>
      </w:hyperlink>
      <w:r w:rsidRPr="00936161">
        <w:t>) et la délégation autrichienne a informé les ministres des difficultés rencontrées par le secteur de la viande porcine dans l'UE (</w:t>
      </w:r>
      <w:hyperlink r:id="rId26">
        <w:r w:rsidRPr="00406877">
          <w:rPr>
            <w:rStyle w:val="Hyperlink"/>
            <w:color w:val="0000FF"/>
          </w:rPr>
          <w:t>10711/15</w:t>
        </w:r>
      </w:hyperlink>
      <w:r w:rsidRPr="00936161">
        <w:t>).</w:t>
      </w:r>
    </w:p>
    <w:p w:rsidR="009C0741" w:rsidRPr="00936161" w:rsidRDefault="009C0741" w:rsidP="009C0741">
      <w:pPr>
        <w:spacing w:line="280" w:lineRule="atLeast"/>
      </w:pPr>
      <w:r w:rsidRPr="00936161">
        <w:t xml:space="preserve">Au cours de l'échange de vues qui a suivi entre les ministres, de </w:t>
      </w:r>
      <w:r w:rsidR="00406877">
        <w:t>nombreux États membres ont fait </w:t>
      </w:r>
      <w:r w:rsidRPr="00936161">
        <w:t>part de leurs préoccupations concernant les conséquences pour le</w:t>
      </w:r>
      <w:r w:rsidR="00406877">
        <w:t>s secteurs les plus touchés par </w:t>
      </w:r>
      <w:r w:rsidRPr="00936161">
        <w:t>l'embargo, notamment le secteur des fruits et légumes. Certaines délégations ont noté que l'interdiction imposée par la Russie n'est pas la seule cause de la s</w:t>
      </w:r>
      <w:r w:rsidR="00406877">
        <w:t>ituation économique difficile à </w:t>
      </w:r>
      <w:r w:rsidRPr="00936161">
        <w:t>laquelle sont confrontés les secteurs du lait et de la viande porcine dans l'UE, où la pression sur les prix est considérable. Un certain nombre de ministres ont demandé qu'il soit fait davantage pour les secteurs concernés, en étendant le champ d'application de certaines</w:t>
      </w:r>
      <w:r w:rsidR="00406877">
        <w:t xml:space="preserve"> mesures et en diversifiant les </w:t>
      </w:r>
      <w:r w:rsidRPr="00936161">
        <w:t>instruments utilisés.</w:t>
      </w:r>
    </w:p>
    <w:p w:rsidR="009C0741" w:rsidRPr="00936161" w:rsidRDefault="00253BFC" w:rsidP="005353E0">
      <w:pPr>
        <w:spacing w:line="280" w:lineRule="atLeast"/>
      </w:pPr>
      <w:r w:rsidRPr="00936161">
        <w:t>À l'instar de la délégation italienne, un certain nombre de délégations ont fait remarquer que l'avenir du secteur du sucre devrait également être au centre de l'attention de l'UE (</w:t>
      </w:r>
      <w:hyperlink r:id="rId27" w:tooltip="http://data.consilium.europa.eu/doc/document/ST-10710-2015-INIT/en/pdf">
        <w:r w:rsidRPr="00406877">
          <w:rPr>
            <w:rStyle w:val="Hyperlink"/>
            <w:color w:val="0000FF"/>
          </w:rPr>
          <w:t>10710/15</w:t>
        </w:r>
      </w:hyperlink>
      <w:r w:rsidRPr="00936161">
        <w:t>). Elles veulent un "atterrissage en douceur" lorsque le régime des quotas prendra fin, ce qui est prévu pour 2017.</w:t>
      </w:r>
    </w:p>
    <w:p w:rsidR="009C0741" w:rsidRPr="00936161" w:rsidRDefault="009C0741" w:rsidP="004A6FBD">
      <w:pPr>
        <w:spacing w:line="280" w:lineRule="atLeast"/>
      </w:pPr>
      <w:r w:rsidRPr="00936161">
        <w:t>La Commission a annoncé des mesures de marché en faveur des fruits et légumes et du lait, destinées à atténuer la pression sur les prix et les effets de l'interdicti</w:t>
      </w:r>
      <w:r w:rsidR="00406877">
        <w:t>on imposée par la Russie. En ce </w:t>
      </w:r>
      <w:r w:rsidRPr="00936161">
        <w:t>qui concerne la viande porcine, la Commission a rappelé</w:t>
      </w:r>
      <w:r w:rsidR="00406877">
        <w:t xml:space="preserve"> que les mesures temporaires de </w:t>
      </w:r>
      <w:r w:rsidRPr="00936161">
        <w:t>stockage privé ont été mises en œuvre en mars et s'est déclarée dis</w:t>
      </w:r>
      <w:r w:rsidR="00406877">
        <w:t>posée à évaluer la situation du </w:t>
      </w:r>
      <w:r w:rsidRPr="00936161">
        <w:t>marché.</w:t>
      </w:r>
    </w:p>
    <w:p w:rsidR="009C0741" w:rsidRPr="00936161" w:rsidRDefault="00EB33B7" w:rsidP="009C0741">
      <w:pPr>
        <w:spacing w:line="280" w:lineRule="atLeast"/>
        <w:rPr>
          <w:b/>
          <w:bCs/>
          <w:i/>
          <w:iCs/>
        </w:rPr>
      </w:pPr>
      <w:r w:rsidRPr="00936161">
        <w:br w:type="page"/>
      </w:r>
      <w:r w:rsidRPr="00936161">
        <w:rPr>
          <w:b/>
          <w:i/>
        </w:rPr>
        <w:t>Contexte</w:t>
      </w:r>
    </w:p>
    <w:p w:rsidR="009C0741" w:rsidRPr="00936161" w:rsidRDefault="009C0741" w:rsidP="005353E0">
      <w:pPr>
        <w:spacing w:line="280" w:lineRule="atLeast"/>
      </w:pPr>
      <w:r w:rsidRPr="00936161">
        <w:t>L'interdiction imposée par la Russie s'applique aux fruits et légumes, au lait et aux produits laitiers et aux viandes bovine, porcine et de volaille. En 2014, pour pallier cette interdiction, la Commission a déclenché des mesures d'urgence de soutien au marché pour les fruits, les légumes et les produits laitiers, tout en libérant aussi des fonds pour des programmes de promotion au titre de la politique agricole commune (PAC) afin de rechercher de nouveaux débouchés. Ces mesures ont été pour partie prolongées en 2015.</w:t>
      </w:r>
    </w:p>
    <w:p w:rsidR="009C0741" w:rsidRPr="00936161" w:rsidRDefault="009C0741" w:rsidP="005353E0">
      <w:pPr>
        <w:spacing w:line="280" w:lineRule="atLeast"/>
      </w:pPr>
      <w:r w:rsidRPr="00936161">
        <w:t>À la suite de la décision des ministres des affaires étrangères de l'UE de proroger de six mois, jusqu'au 31 janvier 2016, les sanctions actuelles à l'encontre de la Russie, les autorités russes ont décidé de maintenir l'interdiction frappant les produits agricoles de l'UE pour une année supplémentaire.</w:t>
      </w:r>
    </w:p>
    <w:p w:rsidR="007B4D94" w:rsidRPr="00936161" w:rsidRDefault="007B4D94" w:rsidP="007B4D94">
      <w:pPr>
        <w:pStyle w:val="Sub-itemDebated"/>
      </w:pPr>
      <w:bookmarkStart w:id="10" w:name="_Toc426453481"/>
      <w:r w:rsidRPr="00936161">
        <w:t>Régimes d'aide à la distribution de fruits et légumes et de lait dans les établissements scolaires</w:t>
      </w:r>
      <w:bookmarkEnd w:id="10"/>
    </w:p>
    <w:p w:rsidR="009C0741" w:rsidRPr="00936161" w:rsidRDefault="009C0741" w:rsidP="005353E0">
      <w:pPr>
        <w:spacing w:line="280" w:lineRule="atLeast"/>
      </w:pPr>
      <w:r w:rsidRPr="00936161">
        <w:t>Le Conseil a été informé par la Commission de l'état d'avancement de l'évaluation des programmes de distribution de fruits et légumes et de lait dans les établissements scolaires (</w:t>
      </w:r>
      <w:hyperlink r:id="rId28" w:tooltip="http://data.consilium.europa.eu/doc/document/ST-10620-2015-INIT/fr/pdf">
        <w:r w:rsidRPr="00406877">
          <w:rPr>
            <w:rStyle w:val="Hyperlink"/>
            <w:color w:val="0000FF"/>
          </w:rPr>
          <w:t>10620/15</w:t>
        </w:r>
      </w:hyperlink>
      <w:r w:rsidRPr="00936161">
        <w:t>).</w:t>
      </w:r>
    </w:p>
    <w:p w:rsidR="009C0741" w:rsidRPr="00936161" w:rsidRDefault="009C0741" w:rsidP="005353E0">
      <w:pPr>
        <w:spacing w:line="280" w:lineRule="atLeast"/>
      </w:pPr>
      <w:r w:rsidRPr="00936161">
        <w:t>De nombreux États membres sont favorables à la poursuite des pro</w:t>
      </w:r>
      <w:r w:rsidR="00406877">
        <w:t>grammes, ainsi qu'il ressort de </w:t>
      </w:r>
      <w:r w:rsidRPr="00936161">
        <w:t>l'évaluation réalisée par la Commission sur les programmes existants au regard de la subsidiarité, de la proportionnalité et des objectifs en matière de meilleure régl</w:t>
      </w:r>
      <w:r w:rsidR="00406877">
        <w:t>ementation, dans le cadre de la </w:t>
      </w:r>
      <w:r w:rsidRPr="00936161">
        <w:t>simplification de la PAC. L'une des principales conclusi</w:t>
      </w:r>
      <w:r w:rsidR="00406877">
        <w:t>ons de l'évaluation est que ces </w:t>
      </w:r>
      <w:r w:rsidRPr="00936161">
        <w:t>programmes à destination des écoles sont adaptés à leur obje</w:t>
      </w:r>
      <w:r w:rsidR="00406877">
        <w:t>ctif, qui consiste à offrir aux </w:t>
      </w:r>
      <w:r w:rsidRPr="00936161">
        <w:t>enfants une alimentation de meilleure qualité, et qu'ils stimulen</w:t>
      </w:r>
      <w:r w:rsidR="00406877">
        <w:t>t la consommation de fruits, de </w:t>
      </w:r>
      <w:r w:rsidRPr="00936161">
        <w:t>légumes et de lait frais. L'évaluation a également révélé que certains ajustements seraient nécessaires pour garantir la rentabilité des programmes. Dans le prolongement de cette évaluation, la Commission a demandé au Conseil de réexaminer les propositions.</w:t>
      </w:r>
    </w:p>
    <w:p w:rsidR="009C0741" w:rsidRPr="00936161" w:rsidRDefault="004A6FBD" w:rsidP="004A6FBD">
      <w:pPr>
        <w:spacing w:line="280" w:lineRule="atLeast"/>
      </w:pPr>
      <w:r w:rsidRPr="00936161">
        <w:t>La plupart des États membres se sont montrés favorables à la</w:t>
      </w:r>
      <w:r w:rsidR="00406877">
        <w:t xml:space="preserve"> reprise de l'examen au sein du </w:t>
      </w:r>
      <w:r w:rsidRPr="00936161">
        <w:t>Conseil. Toutefois, certaines délégations ont fait observer que le problème de la base juridique des propositions n'est pas résolu.</w:t>
      </w:r>
    </w:p>
    <w:p w:rsidR="009C0741" w:rsidRPr="00936161" w:rsidRDefault="009C0741" w:rsidP="009C0741">
      <w:pPr>
        <w:spacing w:line="280" w:lineRule="atLeast"/>
        <w:rPr>
          <w:b/>
          <w:bCs/>
          <w:i/>
          <w:iCs/>
        </w:rPr>
      </w:pPr>
      <w:r w:rsidRPr="00936161">
        <w:rPr>
          <w:b/>
          <w:i/>
        </w:rPr>
        <w:t>Contexte</w:t>
      </w:r>
    </w:p>
    <w:p w:rsidR="009C0741" w:rsidRPr="00936161" w:rsidRDefault="009C0741" w:rsidP="009C0741">
      <w:pPr>
        <w:spacing w:line="280" w:lineRule="atLeast"/>
      </w:pPr>
      <w:r w:rsidRPr="00936161">
        <w:t xml:space="preserve">Le programme en faveur de la consommation de fruits et légumes </w:t>
      </w:r>
      <w:r w:rsidR="00406877">
        <w:t>et le programme en faveur de la </w:t>
      </w:r>
      <w:r w:rsidRPr="00936161">
        <w:t>consommation de lait à l'école sont actuellement deux programmes distincts, dans le cadre desquels une aide de l'UE est allouée aux États membres pour la distribution de fruits, de légumes, de lait et de produits laitiers dans les établissements scolaires. En janvier 2014, la Commission a adopté deux propositions fusionnant ces programmes, dont l'une</w:t>
      </w:r>
      <w:r w:rsidR="00406877">
        <w:t xml:space="preserve"> modifie le règlement relatif à </w:t>
      </w:r>
      <w:r w:rsidRPr="00936161">
        <w:t>l</w:t>
      </w:r>
      <w:r w:rsidR="00406877">
        <w:t>a </w:t>
      </w:r>
      <w:r w:rsidRPr="00936161">
        <w:t>nouvelle organisation commune des marchés (OCM unique) dans le cadre de la politique agricole commune (PAC) réformée (</w:t>
      </w:r>
      <w:hyperlink r:id="rId29" w:tooltip="http://data.consilium.europa.eu/doc/document/ST-5958-2014-INIT/fr/pdf">
        <w:r w:rsidRPr="00406877">
          <w:rPr>
            <w:rStyle w:val="Hyperlink"/>
            <w:color w:val="0000FF"/>
          </w:rPr>
          <w:t>5958/14</w:t>
        </w:r>
      </w:hyperlink>
      <w:r w:rsidRPr="00936161">
        <w:t>) et l'autre modifie le règ</w:t>
      </w:r>
      <w:r w:rsidR="00406877">
        <w:t>lement relatif à la fixation de </w:t>
      </w:r>
      <w:r w:rsidRPr="00936161">
        <w:t>certaines aides et restitutions (</w:t>
      </w:r>
      <w:hyperlink r:id="rId30" w:tooltip="http://data.consilium.europa.eu/doc/document/ST-6054-2014-INIT/fr/pdf">
        <w:r w:rsidRPr="00406877">
          <w:rPr>
            <w:rStyle w:val="Hyperlink"/>
            <w:color w:val="0000FF"/>
          </w:rPr>
          <w:t>6054/14</w:t>
        </w:r>
      </w:hyperlink>
      <w:r w:rsidRPr="00936161">
        <w:t>).</w:t>
      </w:r>
    </w:p>
    <w:p w:rsidR="009C0741" w:rsidRPr="00936161" w:rsidRDefault="00EB33B7" w:rsidP="005353E0">
      <w:pPr>
        <w:spacing w:line="280" w:lineRule="atLeast"/>
      </w:pPr>
      <w:r w:rsidRPr="00936161">
        <w:br w:type="page"/>
        <w:t xml:space="preserve">Les propositions ont été examinées sous les présidences grecque et </w:t>
      </w:r>
      <w:r w:rsidR="00406877">
        <w:t>italienne. En novembre 2014, le </w:t>
      </w:r>
      <w:r w:rsidRPr="00936161">
        <w:t>Conseil a adressé une lettre à la Commission (</w:t>
      </w:r>
      <w:hyperlink r:id="rId31" w:tooltip="http://data.consilium.europa.eu/doc/document/ST-14533-2014-INIT/fr/pdf">
        <w:r w:rsidRPr="00406877">
          <w:rPr>
            <w:rStyle w:val="Hyperlink"/>
            <w:color w:val="0000FF"/>
          </w:rPr>
          <w:t>14533/14</w:t>
        </w:r>
      </w:hyperlink>
      <w:r w:rsidRPr="00936161">
        <w:t>), lui demandant de changer la base juridique de la proposition, au motif que les dispositions relatives à la fixation du niveau des aides devraient être fondées sur l'article 43, paragraphe 3, du TFUE (compétence du Conseil). Dans l'attente de la réponse de la Commission, l'examen technique des propositions a été suspendu au sein du Conseil.</w:t>
      </w:r>
    </w:p>
    <w:p w:rsidR="009C0741" w:rsidRPr="00936161" w:rsidRDefault="009C0741" w:rsidP="005353E0">
      <w:pPr>
        <w:spacing w:line="280" w:lineRule="atLeast"/>
      </w:pPr>
      <w:r w:rsidRPr="00936161">
        <w:t>Le programme de travail de la Commission pour 2015, qui a été publié peu de temps après l'envoi de la lettre en question, fait figurer ce dossier au nombre des propositions susceptibles d'être retirées. Dans ce contexte, la Commission a évalué les program</w:t>
      </w:r>
      <w:r w:rsidR="00406877">
        <w:t>mes existants et recommandé aux </w:t>
      </w:r>
      <w:r w:rsidRPr="00936161">
        <w:t>co</w:t>
      </w:r>
      <w:r w:rsidRPr="00936161">
        <w:noBreakHyphen/>
        <w:t>législateurs de suspendre leurs travaux sur les propositions modificatrices, dont l'avenir est lié aux résultats de cette évaluation.</w:t>
      </w:r>
    </w:p>
    <w:p w:rsidR="009C0741" w:rsidRPr="00936161" w:rsidRDefault="009C0741" w:rsidP="005353E0">
      <w:pPr>
        <w:spacing w:line="280" w:lineRule="atLeast"/>
      </w:pPr>
      <w:r w:rsidRPr="00936161">
        <w:t>Le Parlement européen n'a pas suivi la recommandation de la Com</w:t>
      </w:r>
      <w:r w:rsidR="00406877">
        <w:t>mission de mettre le dossier en </w:t>
      </w:r>
      <w:r w:rsidRPr="00936161">
        <w:t>suspens et a adopté sa position en première lecture le 27 mai 2015.</w:t>
      </w:r>
    </w:p>
    <w:p w:rsidR="007340CA" w:rsidRPr="00936161" w:rsidRDefault="007340CA" w:rsidP="007340CA">
      <w:pPr>
        <w:pStyle w:val="ItemDebated"/>
      </w:pPr>
      <w:bookmarkStart w:id="11" w:name="_Toc426453482"/>
      <w:r w:rsidRPr="00936161">
        <w:t>DIVERS</w:t>
      </w:r>
      <w:bookmarkEnd w:id="11"/>
    </w:p>
    <w:p w:rsidR="007B4D94" w:rsidRPr="00936161" w:rsidRDefault="007B4D94" w:rsidP="002821A0">
      <w:pPr>
        <w:pStyle w:val="Sub-sub-itemDebated"/>
        <w:numPr>
          <w:ilvl w:val="0"/>
          <w:numId w:val="7"/>
        </w:numPr>
      </w:pPr>
      <w:bookmarkStart w:id="12" w:name="_Toc426453483"/>
      <w:r w:rsidRPr="00936161">
        <w:t>Recherche sur les sols</w:t>
      </w:r>
      <w:bookmarkEnd w:id="12"/>
    </w:p>
    <w:p w:rsidR="009C0741" w:rsidRPr="00936161" w:rsidRDefault="009C0741" w:rsidP="005353E0">
      <w:r w:rsidRPr="00936161">
        <w:t>La délégation française a présenté une initiative portant su</w:t>
      </w:r>
      <w:r w:rsidR="00406877">
        <w:t>r un programme international de </w:t>
      </w:r>
      <w:r w:rsidRPr="00936161">
        <w:t>recherche, baptisé "4 pour 1000", dont l'objectif est de développe</w:t>
      </w:r>
      <w:r w:rsidR="00406877">
        <w:t>r la recherche agronomique afin </w:t>
      </w:r>
      <w:r w:rsidRPr="00936161">
        <w:t>d'améliorer les stocks de matière organique des sols de 4 pour 1000 par an (</w:t>
      </w:r>
      <w:hyperlink r:id="rId32" w:tooltip="http://data.consilium.europa.eu/doc/document/ST-10709-2015-INIT/en/pdf">
        <w:r w:rsidRPr="00406877">
          <w:rPr>
            <w:rStyle w:val="Hyperlink"/>
            <w:color w:val="0000FF"/>
          </w:rPr>
          <w:t>10709/15</w:t>
        </w:r>
      </w:hyperlink>
      <w:r w:rsidRPr="00936161">
        <w:t>).</w:t>
      </w:r>
    </w:p>
    <w:p w:rsidR="009C0741" w:rsidRPr="00936161" w:rsidRDefault="009C0741" w:rsidP="005353E0">
      <w:r w:rsidRPr="00936161">
        <w:t>De nombreux États membres ont soutenu cette initiative, la jugeant p</w:t>
      </w:r>
      <w:r w:rsidR="00406877">
        <w:t>articulièrement pertinente dans </w:t>
      </w:r>
      <w:r w:rsidRPr="00936161">
        <w:t>le cadre de la 21</w:t>
      </w:r>
      <w:r w:rsidRPr="00936161">
        <w:rPr>
          <w:vertAlign w:val="superscript"/>
        </w:rPr>
        <w:t>e</w:t>
      </w:r>
      <w:r w:rsidRPr="00936161">
        <w:t xml:space="preserve"> conférence des parties sur le changement clima</w:t>
      </w:r>
      <w:r w:rsidR="00406877">
        <w:t>tique, qui se tiendra à Paris à </w:t>
      </w:r>
      <w:r w:rsidRPr="00936161">
        <w:t>la fin de l'année. Ils ont souligné l'importance des sols pour garantir la sécurité alimentaire.</w:t>
      </w:r>
    </w:p>
    <w:p w:rsidR="009C0741" w:rsidRPr="00936161" w:rsidRDefault="009C0741" w:rsidP="009C0741">
      <w:pPr>
        <w:pStyle w:val="Sub-sub-itemDebated"/>
      </w:pPr>
      <w:bookmarkStart w:id="13" w:name="_Toc426453484"/>
      <w:r w:rsidRPr="00936161">
        <w:t>Brevets relatifs aux plantes</w:t>
      </w:r>
      <w:bookmarkEnd w:id="13"/>
    </w:p>
    <w:p w:rsidR="009C0741" w:rsidRPr="00936161" w:rsidRDefault="009C0741" w:rsidP="009C0741">
      <w:r w:rsidRPr="00936161">
        <w:t>Le Conseil a été informé par la délégation néerlandaise de la façon dont les droits d'obtention végétale pourraient être affectés par une récente décision de l'Office européen des brevets étendant la possibilité de breveter certaines variétés de plantes (</w:t>
      </w:r>
      <w:hyperlink r:id="rId33" w:tooltip="http://data.consilium.europa.eu/doc/document/ST-10505-2015-INIT/en/pdf">
        <w:r w:rsidRPr="00406877">
          <w:rPr>
            <w:rStyle w:val="Hyperlink"/>
            <w:color w:val="0000FF"/>
          </w:rPr>
          <w:t>10505/15</w:t>
        </w:r>
      </w:hyperlink>
      <w:r w:rsidRPr="00936161">
        <w:t>). La délégation néerlandaise a déploré cette décision.</w:t>
      </w:r>
    </w:p>
    <w:p w:rsidR="009C0741" w:rsidRPr="00936161" w:rsidRDefault="005C28E6" w:rsidP="005353E0">
      <w:r w:rsidRPr="00936161">
        <w:t>Plusieurs États membres ont soutenu la position de la délégation néerlandaise, estimant que cela pourrait avoir une incidence sur la production et la sécurité alimentaires en bloquant l'innovation.</w:t>
      </w:r>
    </w:p>
    <w:p w:rsidR="009C0741" w:rsidRPr="00936161" w:rsidRDefault="00EB33B7" w:rsidP="009C0741">
      <w:pPr>
        <w:pStyle w:val="Sub-sub-itemDebated"/>
      </w:pPr>
      <w:r w:rsidRPr="00936161">
        <w:br w:type="page"/>
      </w:r>
      <w:bookmarkStart w:id="14" w:name="_Toc426453485"/>
      <w:r w:rsidRPr="00936161">
        <w:t>Protection des cultures</w:t>
      </w:r>
      <w:bookmarkEnd w:id="14"/>
    </w:p>
    <w:p w:rsidR="009C0741" w:rsidRPr="00936161" w:rsidRDefault="009C0741" w:rsidP="005353E0">
      <w:r w:rsidRPr="00936161">
        <w:t>La délégation néerlandaise a fourni aux ministres des détails sur une initiative visant à réduire l'utilisation de pesticides dangereux et à accélérer la transition vers une utilisation des produits phytosanitaires compatible avec le développement durable (</w:t>
      </w:r>
      <w:hyperlink r:id="rId34" w:tooltip="http://data.consilium.europa.eu/doc/document/ST-10655-2015-INIT/en/pdf">
        <w:r w:rsidRPr="00406877">
          <w:rPr>
            <w:rStyle w:val="Hyperlink"/>
            <w:color w:val="0000FF"/>
          </w:rPr>
          <w:t>10655/15</w:t>
        </w:r>
      </w:hyperlink>
      <w:r w:rsidRPr="00936161">
        <w:t>).</w:t>
      </w:r>
    </w:p>
    <w:p w:rsidR="009C0741" w:rsidRPr="00936161" w:rsidRDefault="009C0741" w:rsidP="005353E0">
      <w:r w:rsidRPr="00936161">
        <w:t xml:space="preserve">Un grand nombre de membres du Conseil ont appuyé la proposition de la délégation </w:t>
      </w:r>
      <w:r w:rsidR="00406877">
        <w:t>néerlandaise et </w:t>
      </w:r>
      <w:r w:rsidRPr="00936161">
        <w:t>souligné l'importance de cette question.</w:t>
      </w:r>
    </w:p>
    <w:p w:rsidR="007B4D94" w:rsidRPr="00936161" w:rsidRDefault="007B4D94" w:rsidP="007B4D94">
      <w:pPr>
        <w:pStyle w:val="Sub-sub-itemDebated"/>
      </w:pPr>
      <w:bookmarkStart w:id="15" w:name="_Toc426453486"/>
      <w:r w:rsidRPr="00936161">
        <w:t>Forêts</w:t>
      </w:r>
      <w:bookmarkEnd w:id="15"/>
    </w:p>
    <w:p w:rsidR="009C0741" w:rsidRPr="00936161" w:rsidRDefault="009C0741" w:rsidP="005353E0">
      <w:r w:rsidRPr="00936161">
        <w:t>La délégation slovène a informé les ministres des résultats de la</w:t>
      </w:r>
      <w:r w:rsidR="00406877">
        <w:t xml:space="preserve"> conférence de l'ASEM (Dialogue </w:t>
      </w:r>
      <w:r w:rsidRPr="00936161">
        <w:t>Europe-Asie) sur la gestion et l'exploitation durables des forêts qui a eu lieu à Ljubljana, du 24 au 27 mai 2015 (</w:t>
      </w:r>
      <w:hyperlink r:id="rId35" w:tooltip="http://data.consilium.europa.eu/doc/document/ST-10657-2015-INIT/en/pdf">
        <w:r w:rsidRPr="00406877">
          <w:rPr>
            <w:rStyle w:val="Hyperlink"/>
            <w:color w:val="0000FF"/>
          </w:rPr>
          <w:t>10657/15</w:t>
        </w:r>
      </w:hyperlink>
      <w:r w:rsidRPr="00936161">
        <w:t>).</w:t>
      </w:r>
    </w:p>
    <w:p w:rsidR="00642D61" w:rsidRPr="00936161" w:rsidRDefault="007B4D94" w:rsidP="009C0741">
      <w:pPr>
        <w:pStyle w:val="Sub-sub-itemDebated"/>
      </w:pPr>
      <w:bookmarkStart w:id="16" w:name="_Toc426453487"/>
      <w:r w:rsidRPr="00936161">
        <w:t>Semaine bleue</w:t>
      </w:r>
      <w:bookmarkEnd w:id="16"/>
    </w:p>
    <w:p w:rsidR="009C0741" w:rsidRPr="00936161" w:rsidRDefault="009C0741" w:rsidP="005353E0">
      <w:pPr>
        <w:spacing w:line="280" w:lineRule="atLeast"/>
      </w:pPr>
      <w:r w:rsidRPr="00936161">
        <w:t>La délégation portugaise a présenté les principales questions sur lesquelles a porté la réunion ministérielle qui s'est tenue le 5 juin au cours de la Semaine bleue (</w:t>
      </w:r>
      <w:hyperlink r:id="rId36" w:tooltip="http://data.consilium.europa.eu/doc/document/ST-10698-2015-INIT/en/pdf">
        <w:r w:rsidRPr="00406877">
          <w:rPr>
            <w:rStyle w:val="Hyperlink"/>
            <w:color w:val="0000FF"/>
          </w:rPr>
          <w:t>10698/15</w:t>
        </w:r>
      </w:hyperlink>
      <w:r w:rsidR="00406877">
        <w:t>). L'objectif de cet </w:t>
      </w:r>
      <w:r w:rsidRPr="00936161">
        <w:t>événement était de promouvoir à la fois la préservation des océans et la croissance de l'économie bleue.</w:t>
      </w:r>
    </w:p>
    <w:p w:rsidR="009C0741" w:rsidRPr="00936161" w:rsidRDefault="009C0741" w:rsidP="00642D61">
      <w:pPr>
        <w:sectPr w:rsidR="009C0741" w:rsidRPr="00936161" w:rsidSect="00D553FC">
          <w:footnotePr>
            <w:numRestart w:val="eachPage"/>
          </w:footnotePr>
          <w:pgSz w:w="11907" w:h="16840" w:code="9"/>
          <w:pgMar w:top="1134" w:right="1134" w:bottom="1134" w:left="1134" w:header="567" w:footer="567" w:gutter="0"/>
          <w:cols w:space="708"/>
          <w:docGrid w:linePitch="360"/>
        </w:sectPr>
      </w:pPr>
    </w:p>
    <w:p w:rsidR="00D15446" w:rsidRPr="00936161" w:rsidRDefault="00E1136A" w:rsidP="00E1136A">
      <w:pPr>
        <w:pStyle w:val="ItemsApprovedHeading"/>
      </w:pPr>
      <w:r w:rsidRPr="00936161">
        <w:t>AUTRES POINTS APPROUVÉS</w:t>
      </w:r>
    </w:p>
    <w:p w:rsidR="00D31686" w:rsidRPr="00936161" w:rsidRDefault="00D31686" w:rsidP="00D31686">
      <w:pPr>
        <w:pStyle w:val="ItemApproved"/>
      </w:pPr>
      <w:r w:rsidRPr="00936161">
        <w:t>PÊCHE</w:t>
      </w:r>
    </w:p>
    <w:p w:rsidR="00321ED6" w:rsidRPr="00936161" w:rsidRDefault="00321ED6" w:rsidP="00321ED6">
      <w:pPr>
        <w:pStyle w:val="Sub-itemApproved"/>
      </w:pPr>
      <w:bookmarkStart w:id="17" w:name="_Toc426453489"/>
      <w:r w:rsidRPr="00936161">
        <w:t>Commission générale des pêches pour la Méditerranée - Adoption de la position du Conseil</w:t>
      </w:r>
      <w:bookmarkEnd w:id="17"/>
    </w:p>
    <w:p w:rsidR="00321ED6" w:rsidRPr="00936161" w:rsidRDefault="00321ED6" w:rsidP="005353E0">
      <w:r w:rsidRPr="00936161">
        <w:t xml:space="preserve">Le Conseil a adopté sa position en première lecture sur une modification du </w:t>
      </w:r>
      <w:hyperlink r:id="rId37">
        <w:r w:rsidR="00406877">
          <w:rPr>
            <w:rStyle w:val="Hyperlink"/>
            <w:color w:val="0000FF"/>
          </w:rPr>
          <w:t>règlement (UE) n° </w:t>
        </w:r>
        <w:r w:rsidRPr="00406877">
          <w:rPr>
            <w:rStyle w:val="Hyperlink"/>
            <w:color w:val="0000FF"/>
          </w:rPr>
          <w:t>1343/2011</w:t>
        </w:r>
      </w:hyperlink>
      <w:r w:rsidRPr="00936161">
        <w:t xml:space="preserve"> concernant certaines dispositions relatives à la pêche dans la zone couverte par l'accord de la CGPM (Commission générale des pêches pour la Méditerranée), le Royaume-Uni s'étant abstenu (</w:t>
      </w:r>
      <w:hyperlink r:id="rId38" w:tooltip="http://data.consilium.europa.eu/doc/document/ST-8806-2015-INIT/fr/pdf">
        <w:r w:rsidRPr="00406877">
          <w:rPr>
            <w:rStyle w:val="Hyperlink"/>
            <w:i/>
            <w:color w:val="0000FF"/>
          </w:rPr>
          <w:t>8806/15</w:t>
        </w:r>
      </w:hyperlink>
      <w:r w:rsidRPr="00936161">
        <w:t>).</w:t>
      </w:r>
    </w:p>
    <w:p w:rsidR="00321ED6" w:rsidRPr="00936161" w:rsidRDefault="00321ED6" w:rsidP="00321ED6">
      <w:r w:rsidRPr="00936161">
        <w:t>La proposition vise à transposer en droit de l'UE un certain no</w:t>
      </w:r>
      <w:r w:rsidR="00406877">
        <w:t>mbre de mesures adoptées par la </w:t>
      </w:r>
      <w:r w:rsidRPr="00936161">
        <w:t>CGPM lors de ses sessions annuelles de 2011, 2012 et 2013. L</w:t>
      </w:r>
      <w:r w:rsidR="00406877">
        <w:t>'UE, tout comme la Bulgarie, la </w:t>
      </w:r>
      <w:r w:rsidRPr="00936161">
        <w:t>Croatie, Chypre, la France, la Grèce, l'Italie, Malte, la Roumanie, la Slovénie et l'Espagne, est partie contractante à la CGPM, une organisation régionale de gesti</w:t>
      </w:r>
      <w:r w:rsidR="00406877">
        <w:t>on des pêches (ORGP) établie au </w:t>
      </w:r>
      <w:r w:rsidRPr="00936161">
        <w:t>titre de l'acte constitutif de la FAO. La CGPM peut, sur la base d'</w:t>
      </w:r>
      <w:r w:rsidR="00406877">
        <w:t>avis scientifiques, adopter des </w:t>
      </w:r>
      <w:r w:rsidRPr="00936161">
        <w:t>recommandations et des résolutions destinées à promouvoir le développement, la conservation, la gestion rationnelle et la meilleure utilisation des stocks de ressour</w:t>
      </w:r>
      <w:r w:rsidR="00406877">
        <w:t>ces aquatiques vivantes dans la </w:t>
      </w:r>
      <w:r w:rsidRPr="00936161">
        <w:t xml:space="preserve">Méditerranée et la mer Noire à des niveaux considérés comme ayant un caractère durable et présentant un faible risque. Étant donné que les recommandations adoptées par la CGPM sont contraignantes pour ses parties contractantes, elles devraient être transposées dans le droit de l'UE. La dernière transposition des décisions de la CGPM a eu lieu par l'adoption du </w:t>
      </w:r>
      <w:hyperlink r:id="rId39">
        <w:r w:rsidRPr="00406877">
          <w:rPr>
            <w:rStyle w:val="Hyperlink"/>
            <w:color w:val="0000FF"/>
          </w:rPr>
          <w:t>règlement (UE) n° 1343/2011</w:t>
        </w:r>
      </w:hyperlink>
      <w:r w:rsidRPr="00936161">
        <w:t>. L'acte législatif en question sera modifié par la présent</w:t>
      </w:r>
      <w:r w:rsidR="00406877">
        <w:t>e proposition en y insérant les </w:t>
      </w:r>
      <w:r w:rsidRPr="00936161">
        <w:t>mesures à transposer.</w:t>
      </w:r>
    </w:p>
    <w:p w:rsidR="00321ED6" w:rsidRPr="00936161" w:rsidRDefault="00321ED6" w:rsidP="00406877">
      <w:r w:rsidRPr="00936161">
        <w:t>La position du Parlement européen a été approuvée par la Commissi</w:t>
      </w:r>
      <w:r w:rsidR="00406877">
        <w:t>on de la pêche du PE lors de sa</w:t>
      </w:r>
      <w:r w:rsidR="00406877">
        <w:rPr>
          <w:lang w:val="fr-BE"/>
        </w:rPr>
        <w:t> </w:t>
      </w:r>
      <w:r w:rsidRPr="00936161">
        <w:t>réunion du 11 mai 2015. Après l'adoption de la position du Conseil, le Parlement européen devrait préparer l'adoption du même texte en deuxième lecture anticipée.</w:t>
      </w:r>
    </w:p>
    <w:p w:rsidR="004F6064" w:rsidRPr="00936161" w:rsidRDefault="004F6064" w:rsidP="004F6064">
      <w:pPr>
        <w:pStyle w:val="ItemApproved"/>
      </w:pPr>
      <w:r w:rsidRPr="00936161">
        <w:t>AFFAIRES ÉTRANGÈRES</w:t>
      </w:r>
    </w:p>
    <w:p w:rsidR="004F6064" w:rsidRPr="00936161" w:rsidRDefault="004F6064" w:rsidP="004F6064">
      <w:pPr>
        <w:pStyle w:val="Sub-itemApproved"/>
      </w:pPr>
      <w:bookmarkStart w:id="18" w:name="_Toc426453491"/>
      <w:r w:rsidRPr="00936161">
        <w:t>Mesures restrictives - Biélorussie</w:t>
      </w:r>
      <w:bookmarkEnd w:id="18"/>
    </w:p>
    <w:p w:rsidR="004F6064" w:rsidRPr="00936161" w:rsidRDefault="004F6064" w:rsidP="005353E0">
      <w:r w:rsidRPr="00936161">
        <w:t>Le Conseil a modifié la liste des personnes et entités faisant l'o</w:t>
      </w:r>
      <w:r w:rsidR="00406877">
        <w:t>bjet de mesures restrictives, y </w:t>
      </w:r>
      <w:r w:rsidRPr="00936161">
        <w:t xml:space="preserve">compris une interdiction de pénétrer sur le territoire de l'Union et un </w:t>
      </w:r>
      <w:r w:rsidR="00406877">
        <w:t>gel des avoirs, à l'encontre du </w:t>
      </w:r>
      <w:r w:rsidRPr="00936161">
        <w:t>régime biélorusse. Ces sanctions ont été imposées et sont maintenues compte tenu de la violation persistante des droits de l'homme, des principes démocratiques et de l'État de droit.</w:t>
      </w:r>
    </w:p>
    <w:p w:rsidR="004F6064" w:rsidRPr="00936161" w:rsidRDefault="004F6064" w:rsidP="005353E0">
      <w:r w:rsidRPr="00936161">
        <w:t xml:space="preserve">Ce réexamen actualise la liste des personnes et entités visées, le Conseil estimant qu'il n'y avait plus de raison de maintenir deux personnes et quatre entités sur la liste des personnes et entités faisant l'objet de mesures restrictives. Cette décision ne traduit en aucun cas une quelconque modification de la politique de l'UE à l'égard de la Biélorussie, définie dans les conclusions du Conseil du 15 octobre 2012: l'UE maintient le contact avec la Biélorussie tout en adoptant un point de vue critique à l'égard de ce pays, le but étant de promouvoir le respect des droits de l'homme, </w:t>
      </w:r>
      <w:r w:rsidR="00406877">
        <w:t>de l'État de droit et </w:t>
      </w:r>
      <w:r w:rsidRPr="00936161">
        <w:t>des principes démocratiques en Biélorussie.</w:t>
      </w:r>
    </w:p>
    <w:p w:rsidR="004F6064" w:rsidRPr="00936161" w:rsidRDefault="004F6064" w:rsidP="006977A1">
      <w:pPr>
        <w:pStyle w:val="ItemApproved"/>
        <w:pageBreakBefore/>
      </w:pPr>
      <w:r w:rsidRPr="00936161">
        <w:t>ÉLARGISSEMENT</w:t>
      </w:r>
    </w:p>
    <w:p w:rsidR="004F6064" w:rsidRPr="00936161" w:rsidRDefault="004F6064" w:rsidP="004F6064">
      <w:pPr>
        <w:pStyle w:val="Sub-itemApproved"/>
      </w:pPr>
      <w:bookmarkStart w:id="19" w:name="_Toc426453493"/>
      <w:r w:rsidRPr="00936161">
        <w:t xml:space="preserve">Relations avec l'ancienne République yougoslave de Macédoine </w:t>
      </w:r>
      <w:bookmarkEnd w:id="19"/>
    </w:p>
    <w:p w:rsidR="004F6064" w:rsidRPr="00936161" w:rsidRDefault="004F6064" w:rsidP="004F6064">
      <w:r w:rsidRPr="00936161">
        <w:t>Le Conseil a adopté la position de l'UE à l'occasion de la</w:t>
      </w:r>
      <w:r w:rsidR="00406877">
        <w:t xml:space="preserve"> douzième réunion du Conseil de </w:t>
      </w:r>
      <w:r w:rsidRPr="00936161">
        <w:t>stabilisation et d'association entre l'UE et l'ancienne République</w:t>
      </w:r>
      <w:r w:rsidR="00406877">
        <w:t xml:space="preserve"> yougoslave de Macédoine. Cette </w:t>
      </w:r>
      <w:r w:rsidRPr="00936161">
        <w:t>réunion s'est tenue à Bruxelles le 20 juillet 2015.</w:t>
      </w:r>
    </w:p>
    <w:p w:rsidR="004F6064" w:rsidRPr="00936161" w:rsidRDefault="004F6064" w:rsidP="004F6064">
      <w:pPr>
        <w:pStyle w:val="ItemApproved"/>
      </w:pPr>
      <w:r w:rsidRPr="00936161">
        <w:t>POLITIQUE DE SÉCURITÉ ET DE DÉFENSE COMMUNE</w:t>
      </w:r>
    </w:p>
    <w:p w:rsidR="004F6064" w:rsidRPr="00936161" w:rsidRDefault="004F6064" w:rsidP="005353E0">
      <w:pPr>
        <w:pStyle w:val="Sub-itemApproved"/>
      </w:pPr>
      <w:bookmarkStart w:id="20" w:name="_Toc426453495"/>
      <w:r w:rsidRPr="00936161">
        <w:t>EUCAP Sahel Niger</w:t>
      </w:r>
      <w:bookmarkEnd w:id="20"/>
    </w:p>
    <w:p w:rsidR="004F6064" w:rsidRPr="00936161" w:rsidRDefault="004F6064" w:rsidP="004F6064">
      <w:pPr>
        <w:rPr>
          <w:rFonts w:asciiTheme="majorBidi" w:hAnsiTheme="majorBidi" w:cstheme="majorBidi"/>
        </w:rPr>
      </w:pPr>
      <w:r w:rsidRPr="00936161">
        <w:rPr>
          <w:rFonts w:asciiTheme="majorBidi" w:hAnsiTheme="majorBidi" w:cstheme="majorBidi"/>
        </w:rPr>
        <w:t xml:space="preserve">Le Conseil a adopté le montant de référence financière de 9 800 000 </w:t>
      </w:r>
      <w:r w:rsidR="00406877">
        <w:rPr>
          <w:rFonts w:asciiTheme="majorBidi" w:hAnsiTheme="majorBidi" w:cstheme="majorBidi"/>
        </w:rPr>
        <w:t>EUR destiné à couvrir les </w:t>
      </w:r>
      <w:r w:rsidRPr="00936161">
        <w:rPr>
          <w:rFonts w:asciiTheme="majorBidi" w:hAnsiTheme="majorBidi" w:cstheme="majorBidi"/>
        </w:rPr>
        <w:t xml:space="preserve">dépenses liées à l'EUCAP Sahel Niger pour la période </w:t>
      </w:r>
      <w:r w:rsidR="00406877">
        <w:rPr>
          <w:rFonts w:asciiTheme="majorBidi" w:hAnsiTheme="majorBidi" w:cstheme="majorBidi"/>
        </w:rPr>
        <w:t>allant du 16 juillet 2015 au 15 </w:t>
      </w:r>
      <w:r w:rsidRPr="00936161">
        <w:rPr>
          <w:rFonts w:asciiTheme="majorBidi" w:hAnsiTheme="majorBidi" w:cstheme="majorBidi"/>
        </w:rPr>
        <w:t>juillet 2016. Cette décision fait suite à l'accord intervenu au se</w:t>
      </w:r>
      <w:r w:rsidR="00406877">
        <w:rPr>
          <w:rFonts w:asciiTheme="majorBidi" w:hAnsiTheme="majorBidi" w:cstheme="majorBidi"/>
        </w:rPr>
        <w:t>in du Conseil le 13 mai 2015 en </w:t>
      </w:r>
      <w:r w:rsidRPr="00936161">
        <w:rPr>
          <w:rFonts w:asciiTheme="majorBidi" w:hAnsiTheme="majorBidi" w:cstheme="majorBidi"/>
        </w:rPr>
        <w:t>vue de renforcer la mission civile EUCAP Sahel Niger dans le cadre des actions de l'Union européenne visant à prévenir l'immigration clandestine.</w:t>
      </w:r>
    </w:p>
    <w:p w:rsidR="004F6064" w:rsidRPr="00936161" w:rsidRDefault="004F6064" w:rsidP="005353E0">
      <w:pPr>
        <w:rPr>
          <w:rFonts w:asciiTheme="majorBidi" w:hAnsiTheme="majorBidi" w:cstheme="majorBidi"/>
        </w:rPr>
      </w:pPr>
      <w:r w:rsidRPr="00936161">
        <w:rPr>
          <w:rFonts w:asciiTheme="majorBidi" w:hAnsiTheme="majorBidi" w:cstheme="majorBidi"/>
        </w:rPr>
        <w:t xml:space="preserve">Voir: </w:t>
      </w:r>
      <w:hyperlink r:id="rId40">
        <w:r w:rsidRPr="00406877">
          <w:rPr>
            <w:rStyle w:val="Hyperlink"/>
            <w:rFonts w:asciiTheme="majorBidi" w:hAnsiTheme="majorBidi" w:cstheme="majorBidi"/>
            <w:color w:val="0000FF"/>
          </w:rPr>
          <w:t>communiqué de presse</w:t>
        </w:r>
      </w:hyperlink>
      <w:r w:rsidR="00406877">
        <w:rPr>
          <w:rStyle w:val="Hyperlink"/>
          <w:rFonts w:asciiTheme="majorBidi" w:hAnsiTheme="majorBidi" w:cstheme="majorBidi"/>
          <w:color w:val="0000FF"/>
        </w:rPr>
        <w:t xml:space="preserve"> </w:t>
      </w:r>
      <w:r w:rsidRPr="00936161">
        <w:rPr>
          <w:rFonts w:asciiTheme="majorBidi" w:hAnsiTheme="majorBidi" w:cstheme="majorBidi"/>
        </w:rPr>
        <w:t>du 13 mai sur le renforcement d'EUCAP Sahel Niger</w:t>
      </w:r>
    </w:p>
    <w:p w:rsidR="004F6064" w:rsidRPr="00936161" w:rsidRDefault="004F6064" w:rsidP="004F6064">
      <w:pPr>
        <w:pStyle w:val="ItemApproved"/>
      </w:pPr>
      <w:r w:rsidRPr="00936161">
        <w:t>AFFAIRES ÉCONOMIQUES ET FINANCIÈRES</w:t>
      </w:r>
    </w:p>
    <w:p w:rsidR="004F6064" w:rsidRPr="00936161" w:rsidRDefault="004F6064" w:rsidP="004F6064">
      <w:pPr>
        <w:pStyle w:val="Sub-itemApproved"/>
        <w:rPr>
          <w:rFonts w:eastAsia="Calibri"/>
        </w:rPr>
      </w:pPr>
      <w:bookmarkStart w:id="21" w:name="_Toc426453497"/>
      <w:r w:rsidRPr="00936161">
        <w:t>Données relatives au déficit à Valence</w:t>
      </w:r>
      <w:bookmarkEnd w:id="21"/>
    </w:p>
    <w:p w:rsidR="004F6064" w:rsidRPr="00936161" w:rsidRDefault="004F6064" w:rsidP="005353E0">
      <w:pPr>
        <w:rPr>
          <w:rFonts w:asciiTheme="majorBidi" w:hAnsiTheme="majorBidi" w:cstheme="majorBidi"/>
        </w:rPr>
      </w:pPr>
      <w:r w:rsidRPr="00936161">
        <w:rPr>
          <w:rFonts w:asciiTheme="majorBidi" w:hAnsiTheme="majorBidi" w:cstheme="majorBidi"/>
        </w:rPr>
        <w:t>Le Conseil a infligé à l'Espagne une amende de 18,93 millions d'eur</w:t>
      </w:r>
      <w:r w:rsidR="00406877">
        <w:rPr>
          <w:rFonts w:asciiTheme="majorBidi" w:hAnsiTheme="majorBidi" w:cstheme="majorBidi"/>
        </w:rPr>
        <w:t>os en raison de la manipulation </w:t>
      </w:r>
      <w:r w:rsidRPr="00936161">
        <w:rPr>
          <w:rFonts w:asciiTheme="majorBidi" w:hAnsiTheme="majorBidi" w:cstheme="majorBidi"/>
        </w:rPr>
        <w:t>des données relatives au déficit dans la Communauté autonome de Valence (Comunidad Valenciana).</w:t>
      </w:r>
    </w:p>
    <w:p w:rsidR="004F6064" w:rsidRPr="00936161" w:rsidRDefault="004F6064" w:rsidP="004F6064">
      <w:pPr>
        <w:rPr>
          <w:rFonts w:asciiTheme="majorBidi" w:hAnsiTheme="majorBidi" w:cstheme="majorBidi"/>
        </w:rPr>
      </w:pPr>
      <w:r w:rsidRPr="00936161">
        <w:rPr>
          <w:rFonts w:asciiTheme="majorBidi" w:hAnsiTheme="majorBidi" w:cstheme="majorBidi"/>
        </w:rPr>
        <w:t xml:space="preserve">Voir le </w:t>
      </w:r>
      <w:hyperlink r:id="rId41">
        <w:r w:rsidRPr="00406877">
          <w:rPr>
            <w:rStyle w:val="Hyperlink"/>
            <w:rFonts w:asciiTheme="majorBidi" w:hAnsiTheme="majorBidi" w:cstheme="majorBidi"/>
            <w:color w:val="0000FF"/>
          </w:rPr>
          <w:t>communiqué de presse</w:t>
        </w:r>
      </w:hyperlink>
    </w:p>
    <w:p w:rsidR="004F6064" w:rsidRPr="00936161" w:rsidRDefault="004F6064" w:rsidP="004F6064">
      <w:pPr>
        <w:pStyle w:val="ItemApproved"/>
      </w:pPr>
      <w:r w:rsidRPr="00936161">
        <w:t>ESPACE ÉCONOMIQUE EUROPÉEN</w:t>
      </w:r>
    </w:p>
    <w:p w:rsidR="004F6064" w:rsidRPr="00936161" w:rsidRDefault="004F6064" w:rsidP="004F6064">
      <w:pPr>
        <w:pStyle w:val="Sub-itemApproved"/>
      </w:pPr>
      <w:bookmarkStart w:id="22" w:name="_Toc426453499"/>
      <w:r w:rsidRPr="00936161">
        <w:t>Alignement des normes techniques sur la législation de l'UE</w:t>
      </w:r>
      <w:bookmarkEnd w:id="22"/>
    </w:p>
    <w:p w:rsidR="004F6064" w:rsidRPr="00936161" w:rsidRDefault="004F6064" w:rsidP="005353E0">
      <w:pPr>
        <w:pStyle w:val="PointManual"/>
        <w:spacing w:before="0" w:after="0" w:line="240" w:lineRule="auto"/>
        <w:ind w:left="0" w:firstLine="0"/>
      </w:pPr>
      <w:r w:rsidRPr="00936161">
        <w:t>Le Conseil a adopté une décision relative à la position à adopter au nom de l'UE, au sein du Comité mixte de l'EEE, sur une modification de l'annexe II de l'accord EEE.</w:t>
      </w:r>
    </w:p>
    <w:p w:rsidR="004F6064" w:rsidRPr="00936161" w:rsidRDefault="004F6064" w:rsidP="005353E0">
      <w:pPr>
        <w:spacing w:before="0" w:after="0"/>
        <w:rPr>
          <w:b/>
          <w:bCs/>
          <w:i/>
          <w:iCs/>
          <w:u w:val="single"/>
        </w:rPr>
      </w:pPr>
      <w:r w:rsidRPr="00936161">
        <w:t>Cette modification aligne l'annexe II (Réglementations techniques, normes, essais et certification) sur la législation concernée de l'UE (</w:t>
      </w:r>
      <w:hyperlink r:id="rId42" w:tooltip="http://data.consilium.europa.eu/doc/document/ST-8589-2015-INIT/fr/pdf">
        <w:r w:rsidRPr="00406877">
          <w:rPr>
            <w:rStyle w:val="Hyperlink"/>
            <w:noProof/>
            <w:color w:val="0000FF"/>
          </w:rPr>
          <w:t>8589/15</w:t>
        </w:r>
      </w:hyperlink>
      <w:r w:rsidRPr="00936161">
        <w:t>).</w:t>
      </w:r>
    </w:p>
    <w:p w:rsidR="004F6064" w:rsidRPr="00936161" w:rsidRDefault="002821A0" w:rsidP="004F6064">
      <w:pPr>
        <w:pStyle w:val="ItemApproved"/>
      </w:pPr>
      <w:r w:rsidRPr="00936161">
        <w:br w:type="page"/>
        <w:t>POLITIQUE COMMERCIALE</w:t>
      </w:r>
    </w:p>
    <w:p w:rsidR="004F6064" w:rsidRPr="00936161" w:rsidRDefault="004F6064" w:rsidP="004F6064">
      <w:pPr>
        <w:pStyle w:val="Sub-itemApproved"/>
      </w:pPr>
      <w:bookmarkStart w:id="23" w:name="_Toc426453501"/>
      <w:r w:rsidRPr="00936161">
        <w:t>Accord avec Andorre - Modification des règles d'origine</w:t>
      </w:r>
      <w:bookmarkEnd w:id="23"/>
    </w:p>
    <w:p w:rsidR="004F6064" w:rsidRPr="00936161" w:rsidRDefault="004F6064" w:rsidP="005353E0">
      <w:pPr>
        <w:pStyle w:val="PointManual"/>
        <w:spacing w:before="0" w:after="0" w:line="240" w:lineRule="auto"/>
        <w:ind w:left="0" w:firstLine="0"/>
      </w:pPr>
      <w:r w:rsidRPr="00936161">
        <w:t>Le Conseil a adopté une décision sur la position à adopter au nom de l'UE au sein du Comité mixte en ce qui concerne le remplacement de l'appendice de l'accord CEE/Andorre par un nouvel appendice.</w:t>
      </w:r>
    </w:p>
    <w:p w:rsidR="004F6064" w:rsidRPr="00936161" w:rsidRDefault="004F6064" w:rsidP="005353E0">
      <w:pPr>
        <w:pStyle w:val="PointManual"/>
        <w:spacing w:before="0" w:after="0" w:line="240" w:lineRule="auto"/>
        <w:ind w:left="0" w:firstLine="0"/>
      </w:pPr>
      <w:r w:rsidRPr="00936161">
        <w:t>Le nouvel appendice prend en compte les modifications apporté</w:t>
      </w:r>
      <w:r w:rsidR="00406877">
        <w:t>es aux règles d'origine dans la </w:t>
      </w:r>
      <w:r w:rsidRPr="00936161">
        <w:t>région pan-euro-méditerranéenne par la convention régionale sur les règles d'origine préférentielles pan-euro-méditerranéennes (</w:t>
      </w:r>
      <w:hyperlink r:id="rId43" w:tooltip="http://data.consilium.europa.eu/doc/document/ST-9477-2015-INIT/fr/pdf">
        <w:r w:rsidRPr="00406877">
          <w:rPr>
            <w:rStyle w:val="Hyperlink"/>
            <w:color w:val="0000FF"/>
          </w:rPr>
          <w:t>9477/15</w:t>
        </w:r>
      </w:hyperlink>
      <w:r w:rsidRPr="00936161">
        <w:t>).</w:t>
      </w:r>
    </w:p>
    <w:p w:rsidR="004F6064" w:rsidRPr="00936161" w:rsidRDefault="004F6064" w:rsidP="004F6064">
      <w:pPr>
        <w:pStyle w:val="ItemApproved"/>
      </w:pPr>
      <w:r w:rsidRPr="00936161">
        <w:t>MARCHÉ INTÉRIEUR</w:t>
      </w:r>
    </w:p>
    <w:p w:rsidR="004F6064" w:rsidRPr="00936161" w:rsidRDefault="004F6064" w:rsidP="004F6064">
      <w:pPr>
        <w:pStyle w:val="Sub-itemApproved"/>
      </w:pPr>
      <w:bookmarkStart w:id="24" w:name="_Toc426453503"/>
      <w:r w:rsidRPr="00936161">
        <w:t>Services de la société de l'information et normalisation - règles codifiées</w:t>
      </w:r>
      <w:bookmarkEnd w:id="24"/>
    </w:p>
    <w:p w:rsidR="004F6064" w:rsidRPr="00936161" w:rsidRDefault="004F6064" w:rsidP="004F6064">
      <w:pPr>
        <w:rPr>
          <w:b/>
          <w:bCs/>
        </w:rPr>
      </w:pPr>
      <w:r w:rsidRPr="00936161">
        <w:t xml:space="preserve">Le Conseil a adopté une </w:t>
      </w:r>
      <w:hyperlink r:id="rId44">
        <w:r w:rsidRPr="00406877">
          <w:rPr>
            <w:rStyle w:val="Hyperlink"/>
            <w:color w:val="0000FF"/>
          </w:rPr>
          <w:t>version codifiée</w:t>
        </w:r>
      </w:hyperlink>
      <w:r w:rsidRPr="00936161">
        <w:t xml:space="preserve"> d'une directive prévoyant une procédure d'information dans le domaine des réglementations techniques et des règles relative</w:t>
      </w:r>
      <w:r w:rsidR="00406877">
        <w:t>s aux services de la société de </w:t>
      </w:r>
      <w:r w:rsidRPr="00936161">
        <w:t>l'information.</w:t>
      </w:r>
    </w:p>
    <w:p w:rsidR="004F6064" w:rsidRPr="00936161" w:rsidRDefault="004F6064" w:rsidP="004F6064">
      <w:r w:rsidRPr="00936161">
        <w:t>La version codifiée vise à améliorer la clarté et la rationalité jur</w:t>
      </w:r>
      <w:r w:rsidR="00406877">
        <w:t>idiques de la directive tout en </w:t>
      </w:r>
      <w:r w:rsidRPr="00936161">
        <w:t>préservant totalement sa substance. Aucune modification de fond n'est apportée aux dispositions de la version codifiée.</w:t>
      </w:r>
    </w:p>
    <w:p w:rsidR="004F6064" w:rsidRPr="00936161" w:rsidRDefault="004F6064" w:rsidP="004F6064">
      <w:pPr>
        <w:pStyle w:val="ItemApproved"/>
      </w:pPr>
      <w:r w:rsidRPr="00936161">
        <w:t>PROPRIÉTÉ INTELLECTUELLE</w:t>
      </w:r>
    </w:p>
    <w:p w:rsidR="004F6064" w:rsidRPr="00936161" w:rsidRDefault="004F6064" w:rsidP="004F6064">
      <w:pPr>
        <w:pStyle w:val="Sub-itemApproved"/>
      </w:pPr>
      <w:bookmarkStart w:id="25" w:name="_Toc426453505"/>
      <w:r w:rsidRPr="00936161">
        <w:t>Réforme du système de marques</w:t>
      </w:r>
      <w:bookmarkEnd w:id="25"/>
    </w:p>
    <w:p w:rsidR="004F6064" w:rsidRPr="00936161" w:rsidRDefault="004F6064" w:rsidP="004F6064">
      <w:pPr>
        <w:shd w:val="clear" w:color="auto" w:fill="FFFFFF"/>
        <w:rPr>
          <w:rFonts w:asciiTheme="majorBidi" w:hAnsiTheme="majorBidi" w:cstheme="majorBidi"/>
        </w:rPr>
      </w:pPr>
      <w:r w:rsidRPr="00936161">
        <w:rPr>
          <w:rFonts w:asciiTheme="majorBidi" w:hAnsiTheme="majorBidi" w:cstheme="majorBidi"/>
        </w:rPr>
        <w:t>Le Conseil a confirmé l'accord politique intervenu en ce qui co</w:t>
      </w:r>
      <w:r w:rsidR="00406877">
        <w:rPr>
          <w:rFonts w:asciiTheme="majorBidi" w:hAnsiTheme="majorBidi" w:cstheme="majorBidi"/>
        </w:rPr>
        <w:t>ncerne la réforme du système de </w:t>
      </w:r>
      <w:r w:rsidRPr="00936161">
        <w:rPr>
          <w:rFonts w:asciiTheme="majorBidi" w:hAnsiTheme="majorBidi" w:cstheme="majorBidi"/>
        </w:rPr>
        <w:t xml:space="preserve">marques européen </w:t>
      </w:r>
      <w:r w:rsidRPr="00936161">
        <w:t>(</w:t>
      </w:r>
      <w:hyperlink r:id="rId45" w:tooltip="http://data.consilium.europa.eu/doc/document/ST-9957-2015-ADD-1/fr/pdf">
        <w:r w:rsidRPr="00406877">
          <w:rPr>
            <w:rStyle w:val="Hyperlink"/>
            <w:rFonts w:asciiTheme="majorBidi" w:hAnsiTheme="majorBidi" w:cstheme="majorBidi"/>
            <w:color w:val="0000FF"/>
          </w:rPr>
          <w:t>projet de règlement</w:t>
        </w:r>
      </w:hyperlink>
      <w:r w:rsidRPr="00936161">
        <w:t xml:space="preserve"> - </w:t>
      </w:r>
      <w:hyperlink r:id="rId46" w:tooltip="http://data.consilium.europa.eu/doc/document/ST-9957-2015-ADD-2/fr/pdf">
        <w:r w:rsidRPr="00406877">
          <w:rPr>
            <w:rStyle w:val="Hyperlink"/>
            <w:rFonts w:asciiTheme="majorBidi" w:hAnsiTheme="majorBidi" w:cstheme="majorBidi"/>
            <w:color w:val="0000FF"/>
          </w:rPr>
          <w:t>projet de directive</w:t>
        </w:r>
      </w:hyperlink>
      <w:r w:rsidRPr="00936161">
        <w:t xml:space="preserve"> - </w:t>
      </w:r>
      <w:hyperlink r:id="rId47" w:tooltip="http://data.consilium.europa.eu/doc/document/ST-9957-2015-INIT/fr/pdf">
        <w:r w:rsidRPr="00406877">
          <w:rPr>
            <w:rStyle w:val="Hyperlink"/>
            <w:rFonts w:asciiTheme="majorBidi" w:hAnsiTheme="majorBidi" w:cstheme="majorBidi"/>
            <w:color w:val="0000FF"/>
          </w:rPr>
          <w:t>déclarations</w:t>
        </w:r>
      </w:hyperlink>
      <w:r w:rsidRPr="00936161">
        <w:t>).</w:t>
      </w:r>
    </w:p>
    <w:p w:rsidR="004F6064" w:rsidRPr="00936161" w:rsidRDefault="004F6064" w:rsidP="004F6064">
      <w:pPr>
        <w:shd w:val="clear" w:color="auto" w:fill="FFFFFF"/>
        <w:rPr>
          <w:rFonts w:asciiTheme="majorBidi" w:hAnsiTheme="majorBidi" w:cstheme="majorBidi"/>
        </w:rPr>
      </w:pPr>
      <w:r w:rsidRPr="00936161">
        <w:rPr>
          <w:rFonts w:asciiTheme="majorBidi" w:hAnsiTheme="majorBidi" w:cstheme="majorBidi"/>
        </w:rPr>
        <w:t>La réforme du système actuel améliorera les conditions d'innovati</w:t>
      </w:r>
      <w:r w:rsidR="00406877">
        <w:rPr>
          <w:rFonts w:asciiTheme="majorBidi" w:hAnsiTheme="majorBidi" w:cstheme="majorBidi"/>
        </w:rPr>
        <w:t>on des entreprises et les </w:t>
      </w:r>
      <w:r w:rsidRPr="00936161">
        <w:rPr>
          <w:rFonts w:asciiTheme="majorBidi" w:hAnsiTheme="majorBidi" w:cstheme="majorBidi"/>
        </w:rPr>
        <w:t>possibilités de bénéficier d'une protection plus efficace des m</w:t>
      </w:r>
      <w:r w:rsidR="00406877">
        <w:rPr>
          <w:rFonts w:asciiTheme="majorBidi" w:hAnsiTheme="majorBidi" w:cstheme="majorBidi"/>
        </w:rPr>
        <w:t>arques contre la contrefaçon, y </w:t>
      </w:r>
      <w:r w:rsidRPr="00936161">
        <w:rPr>
          <w:rFonts w:asciiTheme="majorBidi" w:hAnsiTheme="majorBidi" w:cstheme="majorBidi"/>
        </w:rPr>
        <w:t>compris les imitations de produits transitant par le territoire de l'UE.</w:t>
      </w:r>
    </w:p>
    <w:p w:rsidR="004F6064" w:rsidRPr="00936161" w:rsidRDefault="00E77DC6" w:rsidP="005353E0">
      <w:pPr>
        <w:shd w:val="clear" w:color="auto" w:fill="FFFFFF"/>
        <w:rPr>
          <w:rFonts w:asciiTheme="majorBidi" w:hAnsiTheme="majorBidi" w:cstheme="majorBidi"/>
        </w:rPr>
      </w:pPr>
      <w:r w:rsidRPr="00936161">
        <w:rPr>
          <w:rFonts w:asciiTheme="majorBidi" w:hAnsiTheme="majorBidi" w:cstheme="majorBidi"/>
        </w:rPr>
        <w:t>Le nouveau cadre juridique vise également à faire en sorte que le</w:t>
      </w:r>
      <w:r w:rsidR="00406877">
        <w:rPr>
          <w:rFonts w:asciiTheme="majorBidi" w:hAnsiTheme="majorBidi" w:cstheme="majorBidi"/>
        </w:rPr>
        <w:t>s systèmes d'enregistrement des </w:t>
      </w:r>
      <w:r w:rsidRPr="00936161">
        <w:rPr>
          <w:rFonts w:asciiTheme="majorBidi" w:hAnsiTheme="majorBidi" w:cstheme="majorBidi"/>
        </w:rPr>
        <w:t>marques dans l'ensemble de l'Union européenne soient plus acc</w:t>
      </w:r>
      <w:r w:rsidR="00406877">
        <w:rPr>
          <w:rFonts w:asciiTheme="majorBidi" w:hAnsiTheme="majorBidi" w:cstheme="majorBidi"/>
        </w:rPr>
        <w:t>essibles et plus efficaces pour </w:t>
      </w:r>
      <w:r w:rsidRPr="00936161">
        <w:rPr>
          <w:rFonts w:asciiTheme="majorBidi" w:hAnsiTheme="majorBidi" w:cstheme="majorBidi"/>
        </w:rPr>
        <w:t>les entreprises, en ce qu'ils permettront de réduire les coûts et la</w:t>
      </w:r>
      <w:r w:rsidR="00406877">
        <w:rPr>
          <w:rFonts w:asciiTheme="majorBidi" w:hAnsiTheme="majorBidi" w:cstheme="majorBidi"/>
        </w:rPr>
        <w:t xml:space="preserve"> complexité tout en offrant une </w:t>
      </w:r>
      <w:r w:rsidRPr="00936161">
        <w:rPr>
          <w:rFonts w:asciiTheme="majorBidi" w:hAnsiTheme="majorBidi" w:cstheme="majorBidi"/>
        </w:rPr>
        <w:t>rapidité, une prévisibilité et une sécurité juridique accrues.</w:t>
      </w:r>
    </w:p>
    <w:p w:rsidR="004F6064" w:rsidRPr="00936161" w:rsidRDefault="00EB33B7" w:rsidP="004F6064">
      <w:pPr>
        <w:shd w:val="clear" w:color="auto" w:fill="FFFFFF"/>
        <w:rPr>
          <w:rFonts w:asciiTheme="majorBidi" w:hAnsiTheme="majorBidi" w:cstheme="majorBidi"/>
        </w:rPr>
      </w:pPr>
      <w:r w:rsidRPr="00936161">
        <w:br w:type="page"/>
      </w:r>
      <w:r w:rsidRPr="00936161">
        <w:rPr>
          <w:rFonts w:asciiTheme="majorBidi" w:hAnsiTheme="majorBidi" w:cstheme="majorBidi"/>
        </w:rPr>
        <w:t>L'accord politique fait suite au compromis intervenu avec le Parlement européen le</w:t>
      </w:r>
      <w:r w:rsidRPr="00936161">
        <w:t xml:space="preserve"> </w:t>
      </w:r>
      <w:hyperlink r:id="rId48">
        <w:r w:rsidRPr="00406877">
          <w:rPr>
            <w:rStyle w:val="Hyperlink"/>
            <w:rFonts w:asciiTheme="majorBidi" w:hAnsiTheme="majorBidi" w:cstheme="majorBidi"/>
            <w:color w:val="0000FF"/>
          </w:rPr>
          <w:t>21 avril 2015</w:t>
        </w:r>
      </w:hyperlink>
      <w:r w:rsidRPr="00936161">
        <w:t>.</w:t>
      </w:r>
      <w:r w:rsidRPr="00936161">
        <w:rPr>
          <w:rFonts w:asciiTheme="majorBidi" w:hAnsiTheme="majorBidi" w:cstheme="majorBidi"/>
        </w:rPr>
        <w:t xml:space="preserve"> Ce compromis a été approuvé par le Comité des représentants permanents le</w:t>
      </w:r>
      <w:r w:rsidRPr="00936161">
        <w:t xml:space="preserve"> </w:t>
      </w:r>
      <w:hyperlink r:id="rId49">
        <w:r w:rsidRPr="00406877">
          <w:rPr>
            <w:rStyle w:val="Hyperlink"/>
            <w:rFonts w:asciiTheme="majorBidi" w:hAnsiTheme="majorBidi" w:cstheme="majorBidi"/>
            <w:color w:val="0000FF"/>
          </w:rPr>
          <w:t>10 juin 2015</w:t>
        </w:r>
      </w:hyperlink>
      <w:r w:rsidRPr="00936161">
        <w:t>.</w:t>
      </w:r>
    </w:p>
    <w:p w:rsidR="004F6064" w:rsidRPr="00936161" w:rsidRDefault="004F6064" w:rsidP="004F6064">
      <w:pPr>
        <w:shd w:val="clear" w:color="auto" w:fill="FFFFFF"/>
        <w:rPr>
          <w:rFonts w:asciiTheme="majorBidi" w:hAnsiTheme="majorBidi" w:cstheme="majorBidi"/>
        </w:rPr>
      </w:pPr>
      <w:r w:rsidRPr="00936161">
        <w:rPr>
          <w:rFonts w:asciiTheme="majorBidi" w:hAnsiTheme="majorBidi" w:cstheme="majorBidi"/>
        </w:rPr>
        <w:t>Les textes juridiques feront l'objet d'une mise au point par les juristes-linguistes avant l'adoption formelle de la position du Conseil en première lecture. Ensuite, l</w:t>
      </w:r>
      <w:r w:rsidR="00406877">
        <w:rPr>
          <w:rFonts w:asciiTheme="majorBidi" w:hAnsiTheme="majorBidi" w:cstheme="majorBidi"/>
        </w:rPr>
        <w:t>es textes seront mis au vote en </w:t>
      </w:r>
      <w:r w:rsidRPr="00936161">
        <w:rPr>
          <w:rFonts w:asciiTheme="majorBidi" w:hAnsiTheme="majorBidi" w:cstheme="majorBidi"/>
        </w:rPr>
        <w:t>deuxième lecture lors d'une séance plénière du Parlement europée</w:t>
      </w:r>
      <w:r w:rsidR="00406877">
        <w:rPr>
          <w:rFonts w:asciiTheme="majorBidi" w:hAnsiTheme="majorBidi" w:cstheme="majorBidi"/>
        </w:rPr>
        <w:t>n. Enfin, ils seront publiés au </w:t>
      </w:r>
      <w:r w:rsidRPr="00936161">
        <w:rPr>
          <w:rFonts w:asciiTheme="majorBidi" w:hAnsiTheme="majorBidi" w:cstheme="majorBidi"/>
        </w:rPr>
        <w:t>Journal officiel de l'Union européenne.</w:t>
      </w:r>
    </w:p>
    <w:p w:rsidR="004F6064" w:rsidRPr="00936161" w:rsidRDefault="004F6064" w:rsidP="004F6064">
      <w:pPr>
        <w:pStyle w:val="ItemApproved"/>
      </w:pPr>
      <w:r w:rsidRPr="00936161">
        <w:t>CONCURRENCE</w:t>
      </w:r>
    </w:p>
    <w:p w:rsidR="004F6064" w:rsidRPr="00936161" w:rsidRDefault="00E77DC6" w:rsidP="004F6064">
      <w:pPr>
        <w:pStyle w:val="Sub-itemApproved"/>
      </w:pPr>
      <w:bookmarkStart w:id="26" w:name="_Toc426453507"/>
      <w:r w:rsidRPr="00936161">
        <w:t xml:space="preserve">Aides d'État: règlements d'habilitation et de procédure - versions codifiées </w:t>
      </w:r>
      <w:bookmarkEnd w:id="26"/>
    </w:p>
    <w:p w:rsidR="004F6064" w:rsidRPr="00936161" w:rsidRDefault="004F6064" w:rsidP="004F6064">
      <w:r w:rsidRPr="00936161">
        <w:t xml:space="preserve">Le Conseil a adopté la version codifiée du </w:t>
      </w:r>
      <w:hyperlink r:id="rId50">
        <w:r w:rsidRPr="00406877">
          <w:rPr>
            <w:rStyle w:val="Hyperlink"/>
            <w:noProof/>
            <w:color w:val="0000FF"/>
          </w:rPr>
          <w:t>règlement d'habilitation</w:t>
        </w:r>
      </w:hyperlink>
      <w:r w:rsidRPr="00936161">
        <w:t xml:space="preserve"> et du </w:t>
      </w:r>
      <w:hyperlink r:id="rId51">
        <w:r w:rsidRPr="00406877">
          <w:rPr>
            <w:rStyle w:val="Hyperlink"/>
            <w:color w:val="0000FF"/>
          </w:rPr>
          <w:t>règlement de procédure</w:t>
        </w:r>
      </w:hyperlink>
      <w:r w:rsidRPr="00936161">
        <w:t>.</w:t>
      </w:r>
    </w:p>
    <w:p w:rsidR="004F6064" w:rsidRPr="00936161" w:rsidRDefault="004F6064" w:rsidP="004F6064">
      <w:r w:rsidRPr="00936161">
        <w:t>La version codifiée vise à améliorer la clarté et la rationalité ju</w:t>
      </w:r>
      <w:r w:rsidR="00406877">
        <w:t>ridiques des règlements tout en </w:t>
      </w:r>
      <w:r w:rsidRPr="00936161">
        <w:t>préservant totalement leur substance. Aucune modifica</w:t>
      </w:r>
      <w:r w:rsidR="00406877">
        <w:t>tion de fond n'est apportée aux </w:t>
      </w:r>
      <w:r w:rsidRPr="00936161">
        <w:t>dispositions de la version codifiée.</w:t>
      </w:r>
    </w:p>
    <w:p w:rsidR="004F6064" w:rsidRPr="00936161" w:rsidRDefault="00E77DC6" w:rsidP="004F6064">
      <w:pPr>
        <w:rPr>
          <w:noProof/>
        </w:rPr>
      </w:pPr>
      <w:r w:rsidRPr="00936161">
        <w:t xml:space="preserve">Le règlement d'habilitation sur l'application des articles 107 et 108 </w:t>
      </w:r>
      <w:r w:rsidR="00406877">
        <w:t>du traité sur le fonctionnement </w:t>
      </w:r>
      <w:r w:rsidRPr="00936161">
        <w:t>de l'UE permet à la Commission d'exempter cer</w:t>
      </w:r>
      <w:r w:rsidR="00406877">
        <w:t>taines catégories d'aides de </w:t>
      </w:r>
      <w:r w:rsidRPr="00936161">
        <w:t>l'obligation de notification.</w:t>
      </w:r>
    </w:p>
    <w:p w:rsidR="004F6064" w:rsidRPr="00936161" w:rsidRDefault="00E77DC6" w:rsidP="004F6064">
      <w:pPr>
        <w:rPr>
          <w:noProof/>
        </w:rPr>
      </w:pPr>
      <w:r w:rsidRPr="00936161">
        <w:t>Le règlement de procédure, qui porte sur le traitement des plaintes et les outils de collecte d'information sur les marchés, fixe les modalités d'application de</w:t>
      </w:r>
      <w:r w:rsidR="00406877">
        <w:t xml:space="preserve"> l'article 108 du traité sur le </w:t>
      </w:r>
      <w:r w:rsidRPr="00936161">
        <w:t>fonctionnement de l'UE.</w:t>
      </w:r>
    </w:p>
    <w:p w:rsidR="004F6064" w:rsidRPr="00936161" w:rsidRDefault="004F6064" w:rsidP="004F6064">
      <w:pPr>
        <w:pStyle w:val="ItemApproved"/>
      </w:pPr>
      <w:r w:rsidRPr="00936161">
        <w:t>ENVIRONNEMENT</w:t>
      </w:r>
    </w:p>
    <w:p w:rsidR="004F6064" w:rsidRPr="00936161" w:rsidRDefault="004F6064" w:rsidP="004F6064">
      <w:pPr>
        <w:pStyle w:val="Sub-itemApproved"/>
      </w:pPr>
      <w:bookmarkStart w:id="27" w:name="_Toc426453509"/>
      <w:r w:rsidRPr="00936161">
        <w:t>Préparer le passage aux biocarburants avancés*</w:t>
      </w:r>
      <w:bookmarkEnd w:id="27"/>
    </w:p>
    <w:p w:rsidR="005353E0" w:rsidRPr="00936161" w:rsidRDefault="004F6064" w:rsidP="002821A0">
      <w:pPr>
        <w:pStyle w:val="Default"/>
        <w:rPr>
          <w:rFonts w:asciiTheme="majorBidi" w:hAnsiTheme="majorBidi" w:cstheme="majorBidi"/>
        </w:rPr>
      </w:pPr>
      <w:r w:rsidRPr="00406877">
        <w:rPr>
          <w:rFonts w:asciiTheme="majorBidi" w:hAnsiTheme="majorBidi" w:cstheme="majorBidi"/>
        </w:rPr>
        <w:t>Le Conseil a adopté la directive relative aux biocarburants et aux changements indirects dans l'affectation des sols (CIAS)</w:t>
      </w:r>
      <w:r w:rsidRPr="00936161">
        <w:t xml:space="preserve"> (</w:t>
      </w:r>
      <w:hyperlink r:id="rId52">
        <w:r w:rsidRPr="00406877">
          <w:rPr>
            <w:rStyle w:val="Hyperlink"/>
            <w:rFonts w:asciiTheme="majorBidi" w:hAnsiTheme="majorBidi" w:cstheme="majorBidi"/>
            <w:color w:val="0000FF"/>
          </w:rPr>
          <w:t xml:space="preserve">PE-CONS 28/15 </w:t>
        </w:r>
      </w:hyperlink>
      <w:r w:rsidRPr="00936161">
        <w:t xml:space="preserve">+ </w:t>
      </w:r>
      <w:hyperlink r:id="rId53" w:tooltip="http://data.consilium.europa.eu/doc/document/ST-10390-2015-ADD-1-REV-2/fr/pdf">
        <w:r w:rsidRPr="00406877">
          <w:rPr>
            <w:rStyle w:val="Hyperlink"/>
            <w:rFonts w:asciiTheme="majorBidi" w:hAnsiTheme="majorBidi" w:cstheme="majorBidi"/>
            <w:color w:val="0000FF"/>
          </w:rPr>
          <w:t>10390/15 ADD 1 REV 2</w:t>
        </w:r>
      </w:hyperlink>
      <w:r w:rsidRPr="00936161">
        <w:t>).</w:t>
      </w:r>
    </w:p>
    <w:p w:rsidR="004F6064" w:rsidRPr="00936161" w:rsidRDefault="004F6064" w:rsidP="005353E0">
      <w:pPr>
        <w:pStyle w:val="Default"/>
        <w:rPr>
          <w:rFonts w:asciiTheme="majorBidi" w:hAnsiTheme="majorBidi" w:cstheme="majorBidi"/>
        </w:rPr>
      </w:pPr>
      <w:r w:rsidRPr="00936161">
        <w:rPr>
          <w:rFonts w:asciiTheme="majorBidi" w:hAnsiTheme="majorBidi" w:cstheme="majorBidi"/>
        </w:rPr>
        <w:t>Le Conseil a approuvé l'amendement du Parlement européen qui reflète l'accord de compromis intervenu entre les trois institutions.</w:t>
      </w:r>
    </w:p>
    <w:p w:rsidR="004F6064" w:rsidRPr="00936161" w:rsidRDefault="004F6064" w:rsidP="005353E0">
      <w:pPr>
        <w:pStyle w:val="Default"/>
        <w:rPr>
          <w:rFonts w:asciiTheme="majorBidi" w:hAnsiTheme="majorBidi" w:cstheme="majorBidi"/>
        </w:rPr>
      </w:pPr>
      <w:r w:rsidRPr="00936161">
        <w:rPr>
          <w:rFonts w:asciiTheme="majorBidi" w:hAnsiTheme="majorBidi" w:cstheme="majorBidi"/>
        </w:rPr>
        <w:t>La nouvelle directive modifie la directive de 2009 sur les énergies renouvela</w:t>
      </w:r>
      <w:r w:rsidR="00406877">
        <w:rPr>
          <w:rFonts w:asciiTheme="majorBidi" w:hAnsiTheme="majorBidi" w:cstheme="majorBidi"/>
        </w:rPr>
        <w:t>bles et la directive de </w:t>
      </w:r>
      <w:r w:rsidRPr="00936161">
        <w:rPr>
          <w:rFonts w:asciiTheme="majorBidi" w:hAnsiTheme="majorBidi" w:cstheme="majorBidi"/>
        </w:rPr>
        <w:t>1998 concernant la qualité des carburants. La directive v</w:t>
      </w:r>
      <w:r w:rsidR="00406877">
        <w:rPr>
          <w:rFonts w:asciiTheme="majorBidi" w:hAnsiTheme="majorBidi" w:cstheme="majorBidi"/>
        </w:rPr>
        <w:t>ise principalement à entamer la </w:t>
      </w:r>
      <w:r w:rsidRPr="00936161">
        <w:rPr>
          <w:rFonts w:asciiTheme="majorBidi" w:hAnsiTheme="majorBidi" w:cstheme="majorBidi"/>
        </w:rPr>
        <w:t>transition des biocarburants conventionnels vers des biocarburants qui assurent des réductions importantes d'émissions de gaz à effet de serre et à établir un cadre législatif clair pour la production de biocarburants, tout en protégeant les investissements déjà réalisés dans ce secteur.</w:t>
      </w:r>
    </w:p>
    <w:p w:rsidR="00EB33B7" w:rsidRPr="00936161" w:rsidRDefault="004F6064" w:rsidP="00EB33B7">
      <w:pPr>
        <w:rPr>
          <w:rStyle w:val="Hyperlink"/>
          <w:rFonts w:asciiTheme="majorBidi" w:hAnsiTheme="majorBidi" w:cstheme="majorBidi"/>
        </w:rPr>
      </w:pPr>
      <w:r w:rsidRPr="00936161">
        <w:rPr>
          <w:rFonts w:asciiTheme="majorBidi" w:hAnsiTheme="majorBidi" w:cstheme="majorBidi"/>
          <w:color w:val="000000"/>
        </w:rPr>
        <w:t xml:space="preserve">Communiqué de presse, 28 avril 2015: </w:t>
      </w:r>
      <w:hyperlink r:id="rId54">
        <w:r w:rsidRPr="00406877">
          <w:rPr>
            <w:rStyle w:val="Hyperlink"/>
            <w:rFonts w:asciiTheme="majorBidi" w:hAnsiTheme="majorBidi" w:cstheme="majorBidi"/>
            <w:color w:val="0000FF"/>
          </w:rPr>
          <w:t xml:space="preserve">Préparer le passage aux biocarburants avancés </w:t>
        </w:r>
      </w:hyperlink>
    </w:p>
    <w:p w:rsidR="004F6064" w:rsidRPr="00936161" w:rsidRDefault="00EB33B7" w:rsidP="004F6064">
      <w:pPr>
        <w:pStyle w:val="Sub-itemApproved"/>
        <w:rPr>
          <w:rFonts w:eastAsiaTheme="minorHAnsi"/>
        </w:rPr>
      </w:pPr>
      <w:r w:rsidRPr="00936161">
        <w:br w:type="page"/>
      </w:r>
      <w:bookmarkStart w:id="28" w:name="_Toc426453510"/>
      <w:r w:rsidRPr="00936161">
        <w:t>Amendement de Doha au protocole de Kyoto</w:t>
      </w:r>
      <w:bookmarkEnd w:id="28"/>
    </w:p>
    <w:p w:rsidR="004F6064" w:rsidRPr="00936161" w:rsidRDefault="004F6064" w:rsidP="004F6064">
      <w:pPr>
        <w:spacing w:before="0" w:after="0"/>
        <w:rPr>
          <w:rFonts w:eastAsiaTheme="minorHAnsi" w:cstheme="minorBidi"/>
          <w:szCs w:val="22"/>
        </w:rPr>
      </w:pPr>
      <w:r w:rsidRPr="00936161">
        <w:t>Le Conseil a adopté:</w:t>
      </w:r>
    </w:p>
    <w:p w:rsidR="004F6064" w:rsidRPr="00936161" w:rsidRDefault="004F6064" w:rsidP="002821A0">
      <w:pPr>
        <w:numPr>
          <w:ilvl w:val="0"/>
          <w:numId w:val="5"/>
        </w:numPr>
        <w:spacing w:before="0" w:after="0"/>
        <w:ind w:left="924" w:hanging="357"/>
        <w:rPr>
          <w:rFonts w:eastAsiaTheme="minorHAnsi" w:cstheme="minorBidi"/>
          <w:szCs w:val="22"/>
        </w:rPr>
      </w:pPr>
      <w:r w:rsidRPr="00936161">
        <w:tab/>
        <w:t>une décision relative à la conclusion, au nom de l'Union</w:t>
      </w:r>
      <w:r w:rsidR="00406877">
        <w:t xml:space="preserve"> européenne, de l'amendement de </w:t>
      </w:r>
      <w:r w:rsidRPr="00936161">
        <w:t>Doha au protocole de Kyoto à la convention-</w:t>
      </w:r>
      <w:r w:rsidR="00406877">
        <w:t>cadre des Nations unies sur les </w:t>
      </w:r>
      <w:r w:rsidRPr="00936161">
        <w:t>changements climatiques (CCNUCC) et à l'exécutio</w:t>
      </w:r>
      <w:r w:rsidR="00406877">
        <w:t>n conjointe des engagements qui </w:t>
      </w:r>
      <w:r w:rsidRPr="00936161">
        <w:t>en découlent (</w:t>
      </w:r>
      <w:hyperlink r:id="rId55" w:tooltip="http://data.consilium.europa.eu/doc/document/ST-10400-2014-REV-5/fr/pdf">
        <w:r w:rsidRPr="00406877">
          <w:rPr>
            <w:rStyle w:val="Hyperlink"/>
            <w:rFonts w:eastAsiaTheme="minorHAnsi" w:cstheme="minorBidi"/>
            <w:color w:val="0000FF"/>
          </w:rPr>
          <w:t>10400/5/14 REV 5</w:t>
        </w:r>
      </w:hyperlink>
      <w:r w:rsidRPr="00936161">
        <w:t>).</w:t>
      </w:r>
    </w:p>
    <w:p w:rsidR="00EB33B7" w:rsidRPr="00936161" w:rsidRDefault="004F6064" w:rsidP="00EB33B7">
      <w:pPr>
        <w:numPr>
          <w:ilvl w:val="0"/>
          <w:numId w:val="5"/>
        </w:numPr>
        <w:spacing w:before="0" w:after="0"/>
        <w:ind w:left="924" w:hanging="357"/>
        <w:rPr>
          <w:rFonts w:eastAsiaTheme="minorHAnsi" w:cstheme="minorBidi"/>
          <w:szCs w:val="22"/>
        </w:rPr>
      </w:pPr>
      <w:r w:rsidRPr="00936161">
        <w:tab/>
        <w:t xml:space="preserve">une décision relative à la conclusion de l'accord entre l'Union européenne et ses États membres, d'une part, et l'Islande, d'autre part, concernant la </w:t>
      </w:r>
      <w:r w:rsidR="00406877">
        <w:t>participation de l'Islande à </w:t>
      </w:r>
      <w:r w:rsidRPr="00936161">
        <w:t>l'exécution conjointe des engagements de l'Union euro</w:t>
      </w:r>
      <w:r w:rsidR="00406877">
        <w:t>péenne, de ses États membres et </w:t>
      </w:r>
      <w:r w:rsidRPr="00936161">
        <w:t>de l'Islande au cours de la deuxième période d'engagement du protocole de Kyoto (</w:t>
      </w:r>
      <w:hyperlink r:id="rId56" w:tooltip="http://data.consilium.europa.eu/doc/document/ST-10883-2014-REV-5/fr/pdf">
        <w:r w:rsidRPr="00406877">
          <w:rPr>
            <w:rStyle w:val="Hyperlink"/>
            <w:rFonts w:eastAsiaTheme="minorHAnsi" w:cstheme="minorBidi"/>
            <w:color w:val="0000FF"/>
          </w:rPr>
          <w:t>10883/5/14 REV 5</w:t>
        </w:r>
      </w:hyperlink>
      <w:r w:rsidRPr="00936161">
        <w:t>).</w:t>
      </w:r>
    </w:p>
    <w:p w:rsidR="00EB33B7" w:rsidRPr="00936161" w:rsidRDefault="00EB33B7" w:rsidP="005353E0">
      <w:pPr>
        <w:spacing w:before="0" w:after="0"/>
        <w:rPr>
          <w:rFonts w:eastAsiaTheme="minorHAnsi" w:cstheme="minorBidi"/>
          <w:szCs w:val="22"/>
        </w:rPr>
      </w:pPr>
      <w:r w:rsidRPr="00936161">
        <w:t>Le Conseil a également décidé d'informer le Parlement eur</w:t>
      </w:r>
      <w:r w:rsidR="00406877">
        <w:t>opéen de l'adoption de ces deux </w:t>
      </w:r>
      <w:r w:rsidRPr="00936161">
        <w:t>décisions et de les publier, ainsi que l'accord concernant la</w:t>
      </w:r>
      <w:r w:rsidR="00406877">
        <w:t xml:space="preserve"> participation de l'Islande, au </w:t>
      </w:r>
      <w:r w:rsidRPr="00936161">
        <w:t>Journal officiel.</w:t>
      </w:r>
    </w:p>
    <w:p w:rsidR="004F6064" w:rsidRPr="00936161" w:rsidRDefault="004F6064" w:rsidP="005353E0">
      <w:pPr>
        <w:spacing w:before="0" w:after="0"/>
        <w:rPr>
          <w:rFonts w:eastAsiaTheme="minorHAnsi" w:cstheme="minorBidi"/>
          <w:szCs w:val="22"/>
        </w:rPr>
      </w:pPr>
      <w:r w:rsidRPr="00936161">
        <w:t>Le protocole de Kyoto et entré en vigueur en 2005 et définit d</w:t>
      </w:r>
      <w:r w:rsidR="00406877">
        <w:t>es engagements de réduction des </w:t>
      </w:r>
      <w:r w:rsidRPr="00936161">
        <w:t>émissions juridiquement contraignants pour la période de 2008 à 2012, pour les parties énumérées dans son annexe B.</w:t>
      </w:r>
    </w:p>
    <w:p w:rsidR="004F6064" w:rsidRPr="00936161" w:rsidRDefault="004F6064" w:rsidP="005353E0">
      <w:pPr>
        <w:spacing w:before="0" w:after="0"/>
        <w:rPr>
          <w:rFonts w:eastAsiaTheme="minorHAnsi" w:cstheme="minorBidi"/>
          <w:szCs w:val="22"/>
        </w:rPr>
      </w:pPr>
      <w:r w:rsidRPr="00936161">
        <w:t>L'amendement de Doha établit une deuxième période d'engagement du protocole de Kyoto, de 2013 à 2020, et modifie l'annexe B. Il impose de nouveaux engagements</w:t>
      </w:r>
      <w:r w:rsidR="00406877">
        <w:t xml:space="preserve"> juridiquement contraignants en </w:t>
      </w:r>
      <w:r w:rsidRPr="00936161">
        <w:t>matière d'atténuation et précise les mesures de mise en œuvre.</w:t>
      </w:r>
    </w:p>
    <w:p w:rsidR="004F6064" w:rsidRPr="00936161" w:rsidRDefault="004F6064" w:rsidP="004F6064">
      <w:pPr>
        <w:pStyle w:val="ItemApproved"/>
        <w:rPr>
          <w:rFonts w:asciiTheme="minorBidi" w:hAnsiTheme="minorBidi"/>
          <w:sz w:val="22"/>
        </w:rPr>
      </w:pPr>
      <w:r w:rsidRPr="00936161">
        <w:t>ÉNERGIE</w:t>
      </w:r>
    </w:p>
    <w:p w:rsidR="004F6064" w:rsidRPr="00936161" w:rsidRDefault="004F6064" w:rsidP="004F6064">
      <w:pPr>
        <w:pStyle w:val="Sub-itemApproved"/>
      </w:pPr>
      <w:bookmarkStart w:id="29" w:name="_Toc426453512"/>
      <w:r w:rsidRPr="00936161">
        <w:t>Exigences relatives à l'écoconception des lampes</w:t>
      </w:r>
      <w:bookmarkEnd w:id="29"/>
    </w:p>
    <w:p w:rsidR="004F6064" w:rsidRPr="00936161" w:rsidRDefault="004F6064" w:rsidP="005353E0">
      <w:pPr>
        <w:rPr>
          <w:rFonts w:asciiTheme="majorBidi" w:hAnsiTheme="majorBidi" w:cstheme="majorBidi"/>
          <w:i/>
          <w:iCs/>
        </w:rPr>
      </w:pPr>
      <w:r w:rsidRPr="00936161">
        <w:rPr>
          <w:rFonts w:asciiTheme="majorBidi" w:hAnsiTheme="majorBidi" w:cstheme="majorBidi"/>
        </w:rPr>
        <w:t>Le Conseil a décidé de ne pas s'opposer à l'adoption du règlement de la Commission (</w:t>
      </w:r>
      <w:hyperlink r:id="rId57" w:tooltip="http://data.consilium.europa.eu/doc/document/ST-8756-2015-INIT/fr/pdf">
        <w:r w:rsidRPr="00406877">
          <w:rPr>
            <w:rStyle w:val="Hyperlink"/>
            <w:rFonts w:asciiTheme="majorBidi" w:hAnsiTheme="majorBidi" w:cstheme="majorBidi"/>
            <w:i/>
            <w:color w:val="0000FF"/>
          </w:rPr>
          <w:t>8756/15</w:t>
        </w:r>
      </w:hyperlink>
      <w:r w:rsidRPr="00936161">
        <w:t xml:space="preserve">) </w:t>
      </w:r>
      <w:r w:rsidR="00406877">
        <w:rPr>
          <w:rFonts w:asciiTheme="majorBidi" w:hAnsiTheme="majorBidi" w:cstheme="majorBidi"/>
        </w:rPr>
        <w:t>en </w:t>
      </w:r>
      <w:r w:rsidRPr="00936161">
        <w:rPr>
          <w:rFonts w:asciiTheme="majorBidi" w:hAnsiTheme="majorBidi" w:cstheme="majorBidi"/>
        </w:rPr>
        <w:t>ce qui concerne les exigences relatives à l'écoconception</w:t>
      </w:r>
    </w:p>
    <w:p w:rsidR="004F6064" w:rsidRPr="00936161" w:rsidRDefault="004F6064" w:rsidP="002821A0">
      <w:pPr>
        <w:pStyle w:val="ListParagraph"/>
        <w:numPr>
          <w:ilvl w:val="0"/>
          <w:numId w:val="4"/>
        </w:numPr>
        <w:spacing w:line="240" w:lineRule="auto"/>
        <w:rPr>
          <w:rFonts w:asciiTheme="majorBidi" w:hAnsiTheme="majorBidi" w:cstheme="majorBidi"/>
          <w:szCs w:val="24"/>
        </w:rPr>
      </w:pPr>
      <w:r w:rsidRPr="00936161">
        <w:t xml:space="preserve">des lampes à usage domestique non dirigées (modifiant le </w:t>
      </w:r>
      <w:hyperlink r:id="rId58">
        <w:r w:rsidRPr="00406877">
          <w:rPr>
            <w:rStyle w:val="Hyperlink"/>
            <w:rFonts w:asciiTheme="majorBidi" w:hAnsiTheme="majorBidi" w:cstheme="majorBidi"/>
            <w:color w:val="0000FF"/>
          </w:rPr>
          <w:t>règlement (CE) n° 244/2009</w:t>
        </w:r>
      </w:hyperlink>
      <w:r w:rsidRPr="00936161">
        <w:t>);</w:t>
      </w:r>
    </w:p>
    <w:p w:rsidR="004F6064" w:rsidRPr="00936161" w:rsidRDefault="004F6064" w:rsidP="002821A0">
      <w:pPr>
        <w:pStyle w:val="ListParagraph"/>
        <w:numPr>
          <w:ilvl w:val="0"/>
          <w:numId w:val="4"/>
        </w:numPr>
        <w:spacing w:line="240" w:lineRule="auto"/>
        <w:rPr>
          <w:rFonts w:asciiTheme="majorBidi" w:hAnsiTheme="majorBidi" w:cstheme="majorBidi"/>
          <w:szCs w:val="24"/>
        </w:rPr>
      </w:pPr>
      <w:r w:rsidRPr="00936161">
        <w:t>des lampes fluorescentes sans ballast intégré, des lampes à dé</w:t>
      </w:r>
      <w:r w:rsidR="00406877">
        <w:t>charge à haute intensité, ainsi </w:t>
      </w:r>
      <w:r w:rsidRPr="00936161">
        <w:t xml:space="preserve">que des ballasts et des luminaires qui peuvent faire fonctionner ces lampes (modifiant le </w:t>
      </w:r>
      <w:hyperlink r:id="rId59">
        <w:r w:rsidRPr="00406877">
          <w:rPr>
            <w:rStyle w:val="Hyperlink"/>
            <w:rFonts w:asciiTheme="majorBidi" w:hAnsiTheme="majorBidi" w:cstheme="majorBidi"/>
            <w:color w:val="0000FF"/>
          </w:rPr>
          <w:t>règlement (CE) n° 245/2009</w:t>
        </w:r>
      </w:hyperlink>
      <w:r w:rsidRPr="00936161">
        <w:t>);</w:t>
      </w:r>
    </w:p>
    <w:p w:rsidR="004F6064" w:rsidRPr="00936161" w:rsidRDefault="00E77DC6" w:rsidP="002821A0">
      <w:pPr>
        <w:pStyle w:val="ListParagraph"/>
        <w:numPr>
          <w:ilvl w:val="0"/>
          <w:numId w:val="4"/>
        </w:numPr>
        <w:spacing w:line="240" w:lineRule="auto"/>
        <w:rPr>
          <w:rFonts w:asciiTheme="majorBidi" w:hAnsiTheme="majorBidi" w:cstheme="majorBidi"/>
          <w:szCs w:val="24"/>
        </w:rPr>
      </w:pPr>
      <w:r w:rsidRPr="00936161">
        <w:t xml:space="preserve">des lampes dirigées, des lampes à diodes électroluminescentes et des équipements correspondants (modifiant le </w:t>
      </w:r>
      <w:hyperlink r:id="rId60">
        <w:r w:rsidRPr="00406877">
          <w:rPr>
            <w:rStyle w:val="Hyperlink"/>
            <w:rFonts w:asciiTheme="majorBidi" w:hAnsiTheme="majorBidi" w:cstheme="majorBidi"/>
            <w:color w:val="0000FF"/>
          </w:rPr>
          <w:t>règlement (UE) n° 1194/2012</w:t>
        </w:r>
      </w:hyperlink>
      <w:r w:rsidRPr="00936161">
        <w:t>).</w:t>
      </w:r>
    </w:p>
    <w:p w:rsidR="004F6064" w:rsidRPr="00936161" w:rsidRDefault="004F6064" w:rsidP="004F6064">
      <w:pPr>
        <w:rPr>
          <w:rFonts w:asciiTheme="majorBidi" w:hAnsiTheme="majorBidi" w:cstheme="majorBidi"/>
        </w:rPr>
      </w:pPr>
      <w:r w:rsidRPr="00936161">
        <w:rPr>
          <w:rFonts w:asciiTheme="majorBidi" w:hAnsiTheme="majorBidi" w:cstheme="majorBidi"/>
        </w:rPr>
        <w:t>Les actes de la Commission sont soumis à la procédure dite de réglementation avec contrôle</w:t>
      </w:r>
      <w:r w:rsidRPr="00936161">
        <w:rPr>
          <w:rStyle w:val="FootnoteReference"/>
          <w:rFonts w:asciiTheme="majorBidi" w:hAnsiTheme="majorBidi" w:cstheme="majorBidi"/>
        </w:rPr>
        <w:footnoteReference w:id="1"/>
      </w:r>
      <w:r w:rsidRPr="00936161">
        <w:rPr>
          <w:rFonts w:asciiTheme="majorBidi" w:hAnsiTheme="majorBidi" w:cstheme="majorBidi"/>
        </w:rPr>
        <w:t>. Cela signifie que, le Conseil ayant donné son accord, la Commission peut à présent les adopter, à moins que le Parlement européen ne s'y oppose.</w:t>
      </w:r>
    </w:p>
    <w:p w:rsidR="004F6064" w:rsidRPr="00936161" w:rsidRDefault="00CE6113" w:rsidP="004F6064">
      <w:pPr>
        <w:pStyle w:val="ItemApproved"/>
      </w:pPr>
      <w:r w:rsidRPr="00936161">
        <w:br w:type="page"/>
        <w:t>EMPLOI</w:t>
      </w:r>
    </w:p>
    <w:p w:rsidR="004F6064" w:rsidRPr="00936161" w:rsidRDefault="004F6064" w:rsidP="004F6064">
      <w:pPr>
        <w:pStyle w:val="Sub-itemApproved"/>
      </w:pPr>
      <w:bookmarkStart w:id="30" w:name="_Toc426453514"/>
      <w:r w:rsidRPr="00936161">
        <w:t>Mobilisation du Fonds européen d'ajustement à la mondialisation en faveur de la Finlande</w:t>
      </w:r>
      <w:bookmarkEnd w:id="30"/>
    </w:p>
    <w:p w:rsidR="004F6064" w:rsidRPr="00936161" w:rsidRDefault="004F6064" w:rsidP="005353E0">
      <w:r w:rsidRPr="00936161">
        <w:t>Le Conseil a adopté trois décisions mobilisant 1,37 millions d'euros au titre du Fonds européen d'ajustement à la mondialisation (FEM), en vue d'apporter un soutien aux 568 travailleurs licenciés chez Broadcom Communications Finland et deux de ses fournisseurs ou producteurs en aval.</w:t>
      </w:r>
    </w:p>
    <w:p w:rsidR="004F6064" w:rsidRPr="00936161" w:rsidRDefault="004F6064" w:rsidP="004F6064">
      <w:r w:rsidRPr="00936161">
        <w:t>Le FEM aide les travailleurs à retrouver un emploi et à développer de nouvelles compétences lorsqu'ils ont perdu leur emploi par suite d'une modification de la structure du commerce mondial, par exemple lorsqu'une grande entreprise ferme ou qu'une usine est déplacée à l'extérieur de l'UE, ou à la suite d'une crise financière et économique mondiale. L'aide octroyée par le FEM consiste à cofinancer des mesures telles que l'aide à la recherche d'emploi, l'orientation professionnelle, la formation et le recyclage personnalisés, le parrainage et la promotion de l'esprit d'entreprise. Elle consiste également en un soutien individuel, ponctuel et limité dans le temps, tel que des allocations de recherche d'emploi, des allocations de mobilité et des allocations destinées aux personnes participant à des activités d'apprentissage et de formation tout au long de la vie.</w:t>
      </w:r>
    </w:p>
    <w:p w:rsidR="004F6064" w:rsidRPr="00936161" w:rsidRDefault="004F6064" w:rsidP="004F6064">
      <w:pPr>
        <w:pStyle w:val="ItemApproved"/>
      </w:pPr>
      <w:r w:rsidRPr="00936161">
        <w:t>LÉGISLATION ALIMENTAIRE</w:t>
      </w:r>
    </w:p>
    <w:p w:rsidR="004F6064" w:rsidRPr="00936161" w:rsidRDefault="004F6064" w:rsidP="004F6064">
      <w:pPr>
        <w:pStyle w:val="Sub-itemApproved"/>
      </w:pPr>
      <w:bookmarkStart w:id="31" w:name="_Toc426453516"/>
      <w:r w:rsidRPr="00936161">
        <w:t>Autorisation de certains colorants dans les granules et flocons de pommes de terre séchés</w:t>
      </w:r>
      <w:bookmarkEnd w:id="31"/>
    </w:p>
    <w:p w:rsidR="004F6064" w:rsidRPr="00936161" w:rsidRDefault="004F6064" w:rsidP="004F6064">
      <w:r w:rsidRPr="00936161">
        <w:t>Le Conseil a décidé de ne pas s'opposer à l'adoption d'un règlement de la Commission concernant l'utilisation de certains colorants dans les granules et flocons de pommes de terre séchés (</w:t>
      </w:r>
      <w:hyperlink r:id="rId61" w:tooltip="http://data.consilium.europa.eu/doc/document/ST-9533-2015-INIT/fr/pdf">
        <w:r w:rsidRPr="00406877">
          <w:rPr>
            <w:rStyle w:val="Hyperlink"/>
            <w:i/>
            <w:color w:val="0000FF"/>
          </w:rPr>
          <w:t>9533/15</w:t>
        </w:r>
      </w:hyperlink>
      <w:r w:rsidRPr="00936161">
        <w:t>). Le règlement autorise l'utilisation de riboflavines (E 101) et de</w:t>
      </w:r>
      <w:r w:rsidR="00406877">
        <w:t xml:space="preserve"> caroténoïdes (E 160a) dans les </w:t>
      </w:r>
      <w:r w:rsidRPr="00936161">
        <w:t>granules et flocons de pommes de terre séchés pour redonner un aspect visuellement acceptable au produit final destiné à la consommation.</w:t>
      </w:r>
    </w:p>
    <w:p w:rsidR="004F6064" w:rsidRPr="00936161" w:rsidRDefault="004F6064" w:rsidP="00406877">
      <w:r w:rsidRPr="00936161">
        <w:t>Ce règlement de la Commission est soumis à la procédure dite de réglementation avec contrôle. Cela signifie que, le Conseil ayant donné son accord, la Commi</w:t>
      </w:r>
      <w:r w:rsidR="00406877">
        <w:t>ssion peut à présent adopter le</w:t>
      </w:r>
      <w:r w:rsidR="00406877">
        <w:rPr>
          <w:lang w:val="fr-BE"/>
        </w:rPr>
        <w:t> </w:t>
      </w:r>
      <w:r w:rsidRPr="00936161">
        <w:t>règlement/la décision/la directive, à moins que le Parlement européen ne s'y oppose.</w:t>
      </w:r>
    </w:p>
    <w:p w:rsidR="004F6064" w:rsidRPr="00936161" w:rsidRDefault="00CE6113" w:rsidP="002821A0">
      <w:pPr>
        <w:pStyle w:val="ItemApproved"/>
        <w:spacing w:before="120"/>
      </w:pPr>
      <w:r w:rsidRPr="00936161">
        <w:br w:type="page"/>
      </w:r>
      <w:bookmarkStart w:id="32" w:name="ControlPages"/>
      <w:bookmarkEnd w:id="32"/>
      <w:r w:rsidRPr="00936161">
        <w:t>TRANSPARENCE</w:t>
      </w:r>
    </w:p>
    <w:p w:rsidR="004F6064" w:rsidRPr="00936161" w:rsidRDefault="004F6064" w:rsidP="002821A0">
      <w:pPr>
        <w:pStyle w:val="Sub-itemApproved"/>
        <w:spacing w:before="120" w:line="240" w:lineRule="exact"/>
      </w:pPr>
      <w:bookmarkStart w:id="33" w:name="_Toc426453518"/>
      <w:r w:rsidRPr="00936161">
        <w:t>Accès aux documents</w:t>
      </w:r>
      <w:bookmarkEnd w:id="33"/>
    </w:p>
    <w:p w:rsidR="002821A0" w:rsidRPr="00936161" w:rsidRDefault="004F6064" w:rsidP="00EB33B7">
      <w:pPr>
        <w:pStyle w:val="EndnoteText"/>
        <w:suppressAutoHyphens/>
      </w:pPr>
      <w:r w:rsidRPr="00936161">
        <w:t>Le 13 juillet 2015, le Conseil a approuvé:</w:t>
      </w:r>
    </w:p>
    <w:p w:rsidR="004F6064" w:rsidRPr="00936161" w:rsidRDefault="004F6064" w:rsidP="00EB33B7">
      <w:pPr>
        <w:pStyle w:val="EndnoteText"/>
        <w:suppressAutoHyphens/>
        <w:rPr>
          <w:bCs/>
          <w:szCs w:val="24"/>
        </w:rPr>
      </w:pPr>
      <w:r w:rsidRPr="00936161">
        <w:t>- la réponse à la demande confirmative nº 11/c/01/15 (</w:t>
      </w:r>
      <w:hyperlink r:id="rId62" w:tooltip="http://data.consilium.europa.eu/doc/document/ST-9044-2015-INIT/fr/pdf">
        <w:r w:rsidRPr="00406877">
          <w:rPr>
            <w:rStyle w:val="Hyperlink"/>
            <w:color w:val="0000FF"/>
          </w:rPr>
          <w:t>doc. 9044/15</w:t>
        </w:r>
      </w:hyperlink>
      <w:r w:rsidRPr="00936161">
        <w:t>).</w:t>
      </w:r>
    </w:p>
    <w:p w:rsidR="004F6064" w:rsidRPr="00936161" w:rsidRDefault="004F6064" w:rsidP="002821A0">
      <w:pPr>
        <w:pStyle w:val="ItemApproved"/>
      </w:pPr>
      <w:r w:rsidRPr="00936161">
        <w:t>DÉCISIONS ADOPTÉES SELON LA PROCÉDURE ÉCRITE</w:t>
      </w:r>
    </w:p>
    <w:p w:rsidR="004F6064" w:rsidRPr="00936161" w:rsidRDefault="004F6064" w:rsidP="002821A0">
      <w:pPr>
        <w:pStyle w:val="Sub-itemApproved"/>
      </w:pPr>
      <w:bookmarkStart w:id="34" w:name="_Toc426453520"/>
      <w:r w:rsidRPr="00936161">
        <w:t xml:space="preserve">Transparence - Accès aux documents </w:t>
      </w:r>
      <w:bookmarkEnd w:id="34"/>
    </w:p>
    <w:p w:rsidR="004F6064" w:rsidRPr="00E1136A" w:rsidRDefault="004F6064" w:rsidP="00EB33B7">
      <w:r w:rsidRPr="00936161">
        <w:t>Le 26 juin 2015, le Conseil a adopté à l'unanimité les réponse</w:t>
      </w:r>
      <w:r w:rsidR="00406877">
        <w:t>s aux demandes confirmatives n° </w:t>
      </w:r>
      <w:r w:rsidRPr="00936161">
        <w:t xml:space="preserve">10/c/01/15, n° 12/c/02/15, n° 13/c/02/15 et n° 14/c/03/15. Voir les documents </w:t>
      </w:r>
      <w:hyperlink r:id="rId63" w:tooltip="http://data.consilium.europa.eu/doc/document/ST-9533-2015-INIT/fr/pdf">
        <w:r w:rsidRPr="00406877">
          <w:rPr>
            <w:rStyle w:val="Hyperlink"/>
            <w:color w:val="0000FF"/>
          </w:rPr>
          <w:t>9041/15</w:t>
        </w:r>
      </w:hyperlink>
      <w:r w:rsidRPr="00936161">
        <w:t xml:space="preserve">, </w:t>
      </w:r>
      <w:hyperlink r:id="rId64" w:tooltip="http://data.consilium.europa.eu/doc/document/ST-9222-2015-INIT/fr/pdf">
        <w:r w:rsidRPr="00406877">
          <w:rPr>
            <w:rStyle w:val="Hyperlink"/>
            <w:color w:val="0000FF"/>
          </w:rPr>
          <w:t>9222/15</w:t>
        </w:r>
      </w:hyperlink>
      <w:r w:rsidRPr="00936161">
        <w:t xml:space="preserve">, </w:t>
      </w:r>
      <w:hyperlink r:id="rId65" w:tooltip="http://data.consilium.europa.eu/doc/document/ST-9546-2015-INIT/fr/pdf">
        <w:r w:rsidRPr="00406877">
          <w:rPr>
            <w:rStyle w:val="Hyperlink"/>
            <w:color w:val="0000FF"/>
          </w:rPr>
          <w:t>9546/15</w:t>
        </w:r>
      </w:hyperlink>
      <w:r w:rsidRPr="00936161">
        <w:t xml:space="preserve"> et </w:t>
      </w:r>
      <w:hyperlink r:id="rId66" w:tooltip="http://data.consilium.europa.eu/doc/document/ST-9564-2015-INIT/fr/pdf">
        <w:r w:rsidRPr="00406877">
          <w:rPr>
            <w:rStyle w:val="Hyperlink"/>
            <w:color w:val="0000FF"/>
          </w:rPr>
          <w:t>9564/15</w:t>
        </w:r>
      </w:hyperlink>
      <w:r w:rsidRPr="00936161">
        <w:t>.</w:t>
      </w:r>
    </w:p>
    <w:sectPr w:rsidR="004F6064" w:rsidRPr="00E1136A" w:rsidSect="00D553FC">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DC6" w:rsidRDefault="00E77DC6">
      <w:pPr>
        <w:spacing w:before="0" w:after="0"/>
      </w:pPr>
      <w:r>
        <w:separator/>
      </w:r>
    </w:p>
  </w:endnote>
  <w:endnote w:type="continuationSeparator" w:id="0">
    <w:p w:rsidR="00E77DC6" w:rsidRDefault="00E77D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FC" w:rsidRPr="00D553FC" w:rsidRDefault="00D553FC" w:rsidP="00D55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553FC" w:rsidRPr="007410E8" w:rsidTr="00D553FC">
      <w:trPr>
        <w:jc w:val="center"/>
      </w:trPr>
      <w:tc>
        <w:tcPr>
          <w:tcW w:w="2604" w:type="pct"/>
          <w:shd w:val="clear" w:color="auto" w:fill="auto"/>
        </w:tcPr>
        <w:p w:rsidR="00D553FC" w:rsidRPr="007410E8" w:rsidRDefault="00D553FC" w:rsidP="0035025C">
          <w:pPr>
            <w:pStyle w:val="FooterText"/>
            <w:rPr>
              <w:sz w:val="16"/>
              <w:szCs w:val="16"/>
            </w:rPr>
          </w:pPr>
          <w:bookmarkStart w:id="1" w:name="FOOTER_PR_STANDARD"/>
        </w:p>
      </w:tc>
      <w:tc>
        <w:tcPr>
          <w:tcW w:w="1319" w:type="pct"/>
          <w:shd w:val="clear" w:color="auto" w:fill="auto"/>
        </w:tcPr>
        <w:p w:rsidR="00D553FC" w:rsidRPr="007410E8" w:rsidRDefault="00D553FC" w:rsidP="0035025C">
          <w:pPr>
            <w:pStyle w:val="FooterText"/>
            <w:rPr>
              <w:sz w:val="16"/>
              <w:szCs w:val="16"/>
            </w:rPr>
          </w:pPr>
        </w:p>
      </w:tc>
      <w:tc>
        <w:tcPr>
          <w:tcW w:w="1077" w:type="pct"/>
          <w:shd w:val="clear" w:color="auto" w:fill="auto"/>
        </w:tcPr>
        <w:p w:rsidR="00D553FC" w:rsidRPr="007410E8" w:rsidRDefault="00D553FC" w:rsidP="0035025C">
          <w:pPr>
            <w:pStyle w:val="FooterText"/>
            <w:jc w:val="right"/>
            <w:rPr>
              <w:sz w:val="16"/>
              <w:szCs w:val="16"/>
            </w:rPr>
          </w:pPr>
        </w:p>
      </w:tc>
    </w:tr>
    <w:tr w:rsidR="00D553FC" w:rsidRPr="007410E8" w:rsidTr="00D553FC">
      <w:trPr>
        <w:jc w:val="center"/>
      </w:trPr>
      <w:tc>
        <w:tcPr>
          <w:tcW w:w="2604" w:type="pct"/>
          <w:shd w:val="clear" w:color="auto" w:fill="auto"/>
        </w:tcPr>
        <w:p w:rsidR="00D553FC" w:rsidRPr="007410E8" w:rsidRDefault="00D553FC" w:rsidP="0035025C">
          <w:pPr>
            <w:pStyle w:val="FooterText"/>
            <w:rPr>
              <w:sz w:val="16"/>
            </w:rPr>
          </w:pPr>
          <w:r>
            <w:t>10819/15</w:t>
          </w:r>
          <w:r w:rsidRPr="002511D8">
            <w:t xml:space="preserve"> </w:t>
          </w:r>
        </w:p>
      </w:tc>
      <w:tc>
        <w:tcPr>
          <w:tcW w:w="1319" w:type="pct"/>
          <w:shd w:val="clear" w:color="auto" w:fill="auto"/>
        </w:tcPr>
        <w:p w:rsidR="00D553FC" w:rsidRPr="007410E8" w:rsidRDefault="00D553FC" w:rsidP="0035025C">
          <w:pPr>
            <w:pStyle w:val="FooterText"/>
            <w:rPr>
              <w:sz w:val="16"/>
            </w:rPr>
          </w:pPr>
        </w:p>
      </w:tc>
      <w:tc>
        <w:tcPr>
          <w:tcW w:w="1077" w:type="pct"/>
          <w:shd w:val="clear" w:color="auto" w:fill="auto"/>
        </w:tcPr>
        <w:p w:rsidR="00D553FC" w:rsidRPr="007410E8" w:rsidRDefault="00D553FC" w:rsidP="0035025C">
          <w:pPr>
            <w:pStyle w:val="FooterText"/>
            <w:jc w:val="right"/>
            <w:rPr>
              <w:sz w:val="16"/>
            </w:rPr>
          </w:pPr>
          <w:r>
            <w:fldChar w:fldCharType="begin"/>
          </w:r>
          <w:r>
            <w:instrText xml:space="preserve"> PAGE  \* MERGEFORMAT </w:instrText>
          </w:r>
          <w:r>
            <w:fldChar w:fldCharType="separate"/>
          </w:r>
          <w:r>
            <w:rPr>
              <w:noProof/>
            </w:rPr>
            <w:t>16</w:t>
          </w:r>
          <w:r>
            <w:fldChar w:fldCharType="end"/>
          </w:r>
        </w:p>
      </w:tc>
    </w:tr>
    <w:tr w:rsidR="00D553FC" w:rsidRPr="007410E8" w:rsidTr="00D553FC">
      <w:trPr>
        <w:jc w:val="center"/>
      </w:trPr>
      <w:tc>
        <w:tcPr>
          <w:tcW w:w="2604" w:type="pct"/>
          <w:shd w:val="clear" w:color="auto" w:fill="auto"/>
        </w:tcPr>
        <w:p w:rsidR="00D553FC" w:rsidRPr="007410E8" w:rsidRDefault="00D553FC" w:rsidP="0035025C">
          <w:pPr>
            <w:pStyle w:val="FooterText"/>
            <w:rPr>
              <w:sz w:val="16"/>
            </w:rPr>
          </w:pPr>
        </w:p>
      </w:tc>
      <w:tc>
        <w:tcPr>
          <w:tcW w:w="1319" w:type="pct"/>
          <w:shd w:val="clear" w:color="auto" w:fill="auto"/>
        </w:tcPr>
        <w:p w:rsidR="00D553FC" w:rsidRPr="007410E8" w:rsidRDefault="00D553FC" w:rsidP="0035025C">
          <w:pPr>
            <w:pStyle w:val="FooterText"/>
            <w:rPr>
              <w:sz w:val="16"/>
            </w:rPr>
          </w:pPr>
        </w:p>
      </w:tc>
      <w:tc>
        <w:tcPr>
          <w:tcW w:w="1077" w:type="pct"/>
          <w:shd w:val="clear" w:color="auto" w:fill="auto"/>
        </w:tcPr>
        <w:p w:rsidR="00D553FC" w:rsidRPr="007410E8" w:rsidRDefault="00D553FC" w:rsidP="0035025C">
          <w:pPr>
            <w:pStyle w:val="FooterText"/>
            <w:jc w:val="right"/>
            <w:rPr>
              <w:sz w:val="16"/>
            </w:rPr>
          </w:pPr>
          <w:r>
            <w:rPr>
              <w:b/>
              <w:position w:val="-4"/>
              <w:sz w:val="36"/>
            </w:rPr>
            <w:t>FR</w:t>
          </w:r>
        </w:p>
      </w:tc>
    </w:tr>
    <w:bookmarkEnd w:id="1"/>
  </w:tbl>
  <w:p w:rsidR="00E77DC6" w:rsidRPr="00D553FC" w:rsidRDefault="00E77DC6" w:rsidP="00D553F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D553FC" w:rsidRPr="009C2FB3" w:rsidTr="00D553FC">
      <w:trPr>
        <w:jc w:val="center"/>
      </w:trPr>
      <w:tc>
        <w:tcPr>
          <w:tcW w:w="569" w:type="pct"/>
          <w:shd w:val="clear" w:color="auto" w:fill="auto"/>
        </w:tcPr>
        <w:p w:rsidR="00D553FC" w:rsidRPr="009C2FB3" w:rsidRDefault="00D553FC" w:rsidP="0035025C">
          <w:pPr>
            <w:pStyle w:val="FooterText"/>
          </w:pPr>
          <w:bookmarkStart w:id="2" w:name="FOOTER_PR_COVERPAGE"/>
        </w:p>
      </w:tc>
      <w:tc>
        <w:tcPr>
          <w:tcW w:w="3760" w:type="pct"/>
          <w:gridSpan w:val="3"/>
          <w:shd w:val="clear" w:color="auto" w:fill="auto"/>
          <w:noWrap/>
        </w:tcPr>
        <w:p w:rsidR="00D553FC" w:rsidRPr="00F37CD6" w:rsidRDefault="00D553FC"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D553FC" w:rsidRPr="009C2FB3" w:rsidRDefault="00D553FC" w:rsidP="0035025C">
          <w:pPr>
            <w:pStyle w:val="FooterText"/>
          </w:pPr>
        </w:p>
      </w:tc>
    </w:tr>
    <w:tr w:rsidR="00D553FC" w:rsidRPr="007410E8" w:rsidTr="00D553FC">
      <w:trPr>
        <w:jc w:val="center"/>
      </w:trPr>
      <w:tc>
        <w:tcPr>
          <w:tcW w:w="5000" w:type="pct"/>
          <w:gridSpan w:val="5"/>
          <w:shd w:val="clear" w:color="auto" w:fill="auto"/>
        </w:tcPr>
        <w:p w:rsidR="00D553FC" w:rsidRPr="00827A78" w:rsidRDefault="00D553FC" w:rsidP="0035025C">
          <w:pPr>
            <w:pStyle w:val="FooterAddressText"/>
          </w:pPr>
        </w:p>
        <w:p w:rsidR="00D553FC" w:rsidRPr="007410E8" w:rsidRDefault="00D553FC" w:rsidP="0035025C">
          <w:pPr>
            <w:pStyle w:val="FooterAddressText"/>
          </w:pPr>
          <w:r>
            <w:t>Rue de la Loi 175  B – 1048 BRUXELLES  Tél. +32 (0)2 281 6319  Fax +32 (0)2 281 8026</w:t>
          </w:r>
        </w:p>
      </w:tc>
    </w:tr>
    <w:tr w:rsidR="00D553FC" w:rsidRPr="007410E8" w:rsidTr="00D553FC">
      <w:trPr>
        <w:jc w:val="center"/>
      </w:trPr>
      <w:tc>
        <w:tcPr>
          <w:tcW w:w="5000" w:type="pct"/>
          <w:gridSpan w:val="5"/>
          <w:shd w:val="clear" w:color="auto" w:fill="auto"/>
        </w:tcPr>
        <w:p w:rsidR="00D553FC" w:rsidRPr="007410E8" w:rsidRDefault="00D553FC" w:rsidP="0035025C">
          <w:pPr>
            <w:pStyle w:val="FooterText"/>
            <w:jc w:val="center"/>
            <w:rPr>
              <w:sz w:val="20"/>
              <w:szCs w:val="20"/>
            </w:rPr>
          </w:pPr>
          <w:hyperlink r:id="rId1" w:history="1">
            <w:r w:rsidRPr="00D553FC">
              <w:rPr>
                <w:rStyle w:val="Hyperlink"/>
                <w:sz w:val="20"/>
              </w:rPr>
              <w:t>press.office@consilium.europa.eu</w:t>
            </w:r>
          </w:hyperlink>
          <w:r w:rsidRPr="007410E8">
            <w:rPr>
              <w:sz w:val="20"/>
              <w:szCs w:val="20"/>
            </w:rPr>
            <w:t xml:space="preserve">  </w:t>
          </w:r>
          <w:hyperlink r:id="rId2" w:history="1">
            <w:r w:rsidRPr="00D553FC">
              <w:rPr>
                <w:rStyle w:val="Hyperlink"/>
                <w:sz w:val="20"/>
              </w:rPr>
              <w:t>http://www.consilium.europa.eu/press</w:t>
            </w:r>
          </w:hyperlink>
        </w:p>
      </w:tc>
    </w:tr>
    <w:tr w:rsidR="00D553FC" w:rsidRPr="007410E8" w:rsidTr="00D553FC">
      <w:trPr>
        <w:jc w:val="center"/>
      </w:trPr>
      <w:tc>
        <w:tcPr>
          <w:tcW w:w="2604" w:type="pct"/>
          <w:gridSpan w:val="2"/>
          <w:shd w:val="clear" w:color="auto" w:fill="auto"/>
        </w:tcPr>
        <w:p w:rsidR="00D553FC" w:rsidRPr="007410E8" w:rsidRDefault="00D553FC" w:rsidP="0035025C">
          <w:pPr>
            <w:pStyle w:val="FooterText"/>
            <w:spacing w:before="60"/>
            <w:rPr>
              <w:sz w:val="16"/>
            </w:rPr>
          </w:pPr>
          <w:r>
            <w:t>10819/15</w:t>
          </w:r>
          <w:r w:rsidRPr="002511D8">
            <w:t xml:space="preserve"> </w:t>
          </w:r>
        </w:p>
      </w:tc>
      <w:tc>
        <w:tcPr>
          <w:tcW w:w="1319" w:type="pct"/>
          <w:shd w:val="clear" w:color="auto" w:fill="auto"/>
        </w:tcPr>
        <w:p w:rsidR="00D553FC" w:rsidRPr="007410E8" w:rsidRDefault="00D553FC" w:rsidP="0035025C">
          <w:pPr>
            <w:pStyle w:val="FooterText"/>
            <w:spacing w:before="120"/>
            <w:rPr>
              <w:sz w:val="16"/>
            </w:rPr>
          </w:pPr>
        </w:p>
      </w:tc>
      <w:tc>
        <w:tcPr>
          <w:tcW w:w="1077" w:type="pct"/>
          <w:gridSpan w:val="2"/>
          <w:shd w:val="clear" w:color="auto" w:fill="auto"/>
        </w:tcPr>
        <w:p w:rsidR="00D553FC" w:rsidRPr="007410E8" w:rsidRDefault="00D553FC"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D553FC" w:rsidRPr="007410E8" w:rsidTr="00D553FC">
      <w:trPr>
        <w:jc w:val="center"/>
      </w:trPr>
      <w:tc>
        <w:tcPr>
          <w:tcW w:w="2604" w:type="pct"/>
          <w:gridSpan w:val="2"/>
          <w:shd w:val="clear" w:color="auto" w:fill="auto"/>
        </w:tcPr>
        <w:p w:rsidR="00D553FC" w:rsidRPr="007410E8" w:rsidRDefault="00D553FC" w:rsidP="0035025C">
          <w:pPr>
            <w:pStyle w:val="FooterText"/>
            <w:rPr>
              <w:sz w:val="16"/>
            </w:rPr>
          </w:pPr>
        </w:p>
      </w:tc>
      <w:tc>
        <w:tcPr>
          <w:tcW w:w="1319" w:type="pct"/>
          <w:shd w:val="clear" w:color="auto" w:fill="auto"/>
        </w:tcPr>
        <w:p w:rsidR="00D553FC" w:rsidRPr="007410E8" w:rsidRDefault="00D553FC" w:rsidP="0035025C">
          <w:pPr>
            <w:pStyle w:val="FooterText"/>
            <w:rPr>
              <w:sz w:val="16"/>
            </w:rPr>
          </w:pPr>
        </w:p>
      </w:tc>
      <w:tc>
        <w:tcPr>
          <w:tcW w:w="1077" w:type="pct"/>
          <w:gridSpan w:val="2"/>
          <w:shd w:val="clear" w:color="auto" w:fill="auto"/>
        </w:tcPr>
        <w:p w:rsidR="00D553FC" w:rsidRPr="007410E8" w:rsidRDefault="00D553FC" w:rsidP="0035025C">
          <w:pPr>
            <w:pStyle w:val="FooterText"/>
            <w:jc w:val="right"/>
            <w:rPr>
              <w:sz w:val="16"/>
            </w:rPr>
          </w:pPr>
          <w:r>
            <w:rPr>
              <w:b/>
              <w:position w:val="-4"/>
              <w:sz w:val="36"/>
            </w:rPr>
            <w:t>FR</w:t>
          </w:r>
        </w:p>
      </w:tc>
    </w:tr>
    <w:bookmarkEnd w:id="2"/>
  </w:tbl>
  <w:p w:rsidR="00E77DC6" w:rsidRPr="00D553FC" w:rsidRDefault="00E77DC6" w:rsidP="00D553FC">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553FC" w:rsidRPr="007410E8" w:rsidTr="00D553FC">
      <w:trPr>
        <w:jc w:val="center"/>
      </w:trPr>
      <w:tc>
        <w:tcPr>
          <w:tcW w:w="5000" w:type="pct"/>
          <w:gridSpan w:val="3"/>
          <w:shd w:val="clear" w:color="auto" w:fill="auto"/>
        </w:tcPr>
        <w:p w:rsidR="00D553FC" w:rsidRPr="007410E8" w:rsidRDefault="00D553FC"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D553FC" w:rsidRPr="007410E8" w:rsidRDefault="00D553F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D553FC" w:rsidRPr="007410E8" w:rsidRDefault="00D553F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D553FC" w:rsidRPr="007410E8" w:rsidRDefault="00D553FC" w:rsidP="0035025C">
          <w:pPr>
            <w:pStyle w:val="FooterText"/>
            <w:tabs>
              <w:tab w:val="left" w:pos="285"/>
              <w:tab w:val="left" w:pos="585"/>
            </w:tabs>
            <w:rPr>
              <w:sz w:val="21"/>
              <w:szCs w:val="21"/>
            </w:rPr>
          </w:pPr>
        </w:p>
      </w:tc>
    </w:tr>
    <w:tr w:rsidR="00D553FC" w:rsidRPr="007410E8" w:rsidTr="00D553FC">
      <w:trPr>
        <w:jc w:val="center"/>
      </w:trPr>
      <w:tc>
        <w:tcPr>
          <w:tcW w:w="2604" w:type="pct"/>
          <w:shd w:val="clear" w:color="auto" w:fill="auto"/>
        </w:tcPr>
        <w:p w:rsidR="00D553FC" w:rsidRPr="007410E8" w:rsidRDefault="00D553FC" w:rsidP="0035025C">
          <w:pPr>
            <w:pStyle w:val="FooterText"/>
            <w:rPr>
              <w:sz w:val="16"/>
            </w:rPr>
          </w:pPr>
          <w:r>
            <w:t>10819/15</w:t>
          </w:r>
          <w:r w:rsidRPr="002511D8">
            <w:t xml:space="preserve"> </w:t>
          </w:r>
        </w:p>
      </w:tc>
      <w:tc>
        <w:tcPr>
          <w:tcW w:w="1319" w:type="pct"/>
          <w:shd w:val="clear" w:color="auto" w:fill="auto"/>
        </w:tcPr>
        <w:p w:rsidR="00D553FC" w:rsidRPr="007410E8" w:rsidRDefault="00D553FC" w:rsidP="0035025C">
          <w:pPr>
            <w:pStyle w:val="FooterText"/>
            <w:rPr>
              <w:sz w:val="16"/>
            </w:rPr>
          </w:pPr>
        </w:p>
      </w:tc>
      <w:tc>
        <w:tcPr>
          <w:tcW w:w="1077" w:type="pct"/>
          <w:shd w:val="clear" w:color="auto" w:fill="auto"/>
        </w:tcPr>
        <w:p w:rsidR="00D553FC" w:rsidRPr="007410E8" w:rsidRDefault="00D553FC"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D553FC" w:rsidRPr="007410E8" w:rsidTr="00D553FC">
      <w:trPr>
        <w:jc w:val="center"/>
      </w:trPr>
      <w:tc>
        <w:tcPr>
          <w:tcW w:w="2604" w:type="pct"/>
          <w:shd w:val="clear" w:color="auto" w:fill="auto"/>
        </w:tcPr>
        <w:p w:rsidR="00D553FC" w:rsidRPr="007410E8" w:rsidRDefault="00D553FC" w:rsidP="0035025C">
          <w:pPr>
            <w:pStyle w:val="FooterText"/>
            <w:rPr>
              <w:sz w:val="16"/>
            </w:rPr>
          </w:pPr>
        </w:p>
      </w:tc>
      <w:tc>
        <w:tcPr>
          <w:tcW w:w="1319" w:type="pct"/>
          <w:shd w:val="clear" w:color="auto" w:fill="auto"/>
        </w:tcPr>
        <w:p w:rsidR="00D553FC" w:rsidRPr="007410E8" w:rsidRDefault="00D553FC" w:rsidP="0035025C">
          <w:pPr>
            <w:pStyle w:val="FooterText"/>
            <w:rPr>
              <w:sz w:val="16"/>
            </w:rPr>
          </w:pPr>
        </w:p>
      </w:tc>
      <w:tc>
        <w:tcPr>
          <w:tcW w:w="1077" w:type="pct"/>
          <w:shd w:val="clear" w:color="auto" w:fill="auto"/>
        </w:tcPr>
        <w:p w:rsidR="00D553FC" w:rsidRPr="007410E8" w:rsidRDefault="00D553FC" w:rsidP="0035025C">
          <w:pPr>
            <w:pStyle w:val="FooterText"/>
            <w:jc w:val="right"/>
            <w:rPr>
              <w:sz w:val="16"/>
            </w:rPr>
          </w:pPr>
          <w:r>
            <w:rPr>
              <w:b/>
              <w:position w:val="-4"/>
              <w:sz w:val="36"/>
            </w:rPr>
            <w:t>FR</w:t>
          </w:r>
        </w:p>
      </w:tc>
    </w:tr>
    <w:bookmarkEnd w:id="5"/>
  </w:tbl>
  <w:p w:rsidR="00E77DC6" w:rsidRPr="00D553FC" w:rsidRDefault="00E77DC6" w:rsidP="00D553F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DC6" w:rsidRDefault="00E77DC6">
      <w:pPr>
        <w:spacing w:before="0" w:after="0"/>
      </w:pPr>
      <w:r>
        <w:separator/>
      </w:r>
    </w:p>
  </w:footnote>
  <w:footnote w:type="continuationSeparator" w:id="0">
    <w:p w:rsidR="00E77DC6" w:rsidRDefault="00E77DC6">
      <w:pPr>
        <w:spacing w:before="0" w:after="0"/>
      </w:pPr>
      <w:r>
        <w:continuationSeparator/>
      </w:r>
    </w:p>
  </w:footnote>
  <w:footnote w:id="1">
    <w:p w:rsidR="00E77DC6" w:rsidRPr="00783C77" w:rsidRDefault="00E77DC6" w:rsidP="002821A0">
      <w:pPr>
        <w:pStyle w:val="FootnoteText"/>
        <w:rPr>
          <w:rFonts w:asciiTheme="minorBidi" w:hAnsiTheme="minorBidi"/>
          <w:sz w:val="22"/>
          <w:szCs w:val="22"/>
        </w:rPr>
      </w:pPr>
      <w:r>
        <w:rPr>
          <w:rStyle w:val="FootnoteReference"/>
        </w:rPr>
        <w:footnoteRef/>
      </w:r>
      <w:r>
        <w:tab/>
      </w:r>
      <w:r>
        <w:rPr>
          <w:rFonts w:asciiTheme="majorBidi" w:hAnsiTheme="majorBidi" w:cstheme="majorBidi"/>
        </w:rPr>
        <w:t xml:space="preserve">Décision 1999/468/CE du Conseil fixant les modalités de l'exercice des compétences d'exécution conférées à la Commission </w:t>
      </w:r>
      <w:r>
        <w:t>(</w:t>
      </w:r>
      <w:hyperlink r:id="rId1">
        <w:r w:rsidRPr="00406877">
          <w:rPr>
            <w:rStyle w:val="Hyperlink"/>
            <w:rFonts w:asciiTheme="majorBidi" w:hAnsiTheme="majorBidi" w:cstheme="majorBidi"/>
            <w:color w:val="0000FF"/>
          </w:rPr>
          <w:t>JO L 184 du 17.7.1999</w:t>
        </w:r>
      </w:hyperlink>
      <w:r>
        <w:t xml:space="preserve">), </w:t>
      </w:r>
      <w:r w:rsidR="00406877">
        <w:rPr>
          <w:rFonts w:asciiTheme="majorBidi" w:hAnsiTheme="majorBidi" w:cstheme="majorBidi"/>
        </w:rPr>
        <w:t>modifiée par la décision </w:t>
      </w:r>
      <w:r>
        <w:rPr>
          <w:rFonts w:asciiTheme="majorBidi" w:hAnsiTheme="majorBidi" w:cstheme="majorBidi"/>
        </w:rPr>
        <w:t xml:space="preserve">2006/512/CE </w:t>
      </w:r>
      <w:r>
        <w:t>(</w:t>
      </w:r>
      <w:hyperlink r:id="rId2">
        <w:r w:rsidRPr="00406877">
          <w:rPr>
            <w:rStyle w:val="Hyperlink"/>
            <w:rFonts w:asciiTheme="majorBidi" w:hAnsiTheme="majorBidi" w:cstheme="majorBidi"/>
            <w:color w:val="0000FF"/>
          </w:rPr>
          <w:t>JO L 200 du 22.7.2006</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FC" w:rsidRPr="00D553FC" w:rsidRDefault="00D553FC" w:rsidP="00D55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FC" w:rsidRPr="00D553FC" w:rsidRDefault="00D553FC" w:rsidP="00D553F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FC" w:rsidRPr="00D553FC" w:rsidRDefault="00D553FC" w:rsidP="00D553FC">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553FC" w:rsidRPr="007410E8" w:rsidTr="00D553FC">
      <w:trPr>
        <w:jc w:val="center"/>
      </w:trPr>
      <w:tc>
        <w:tcPr>
          <w:tcW w:w="2500" w:type="pct"/>
          <w:shd w:val="clear" w:color="auto" w:fill="auto"/>
        </w:tcPr>
        <w:p w:rsidR="00D553FC" w:rsidRPr="007410E8" w:rsidRDefault="00D553FC" w:rsidP="0035025C">
          <w:pPr>
            <w:pStyle w:val="HeaderText"/>
            <w:rPr>
              <w:b/>
              <w:i/>
              <w:sz w:val="16"/>
              <w:u w:val="single"/>
            </w:rPr>
          </w:pPr>
          <w:bookmarkStart w:id="4" w:name="HEADER_PRMEET"/>
        </w:p>
      </w:tc>
      <w:tc>
        <w:tcPr>
          <w:tcW w:w="2500" w:type="pct"/>
          <w:shd w:val="clear" w:color="auto" w:fill="auto"/>
        </w:tcPr>
        <w:p w:rsidR="00D553FC" w:rsidRPr="007410E8" w:rsidRDefault="00D553FC" w:rsidP="00D553FC">
          <w:pPr>
            <w:pStyle w:val="HeaderText"/>
            <w:jc w:val="right"/>
            <w:rPr>
              <w:sz w:val="16"/>
            </w:rPr>
          </w:pPr>
          <w:r w:rsidRPr="00D553FC">
            <w:t>13 juillet 2015</w:t>
          </w:r>
        </w:p>
      </w:tc>
    </w:tr>
    <w:bookmarkEnd w:id="4"/>
  </w:tbl>
  <w:p w:rsidR="00E77DC6" w:rsidRPr="00D553FC" w:rsidRDefault="00E77DC6" w:rsidP="00D553FC">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553FC" w:rsidRPr="007410E8" w:rsidTr="00D553FC">
      <w:trPr>
        <w:jc w:val="center"/>
      </w:trPr>
      <w:tc>
        <w:tcPr>
          <w:tcW w:w="2500" w:type="pct"/>
          <w:shd w:val="clear" w:color="auto" w:fill="auto"/>
        </w:tcPr>
        <w:p w:rsidR="00D553FC" w:rsidRPr="007410E8" w:rsidRDefault="00D553FC" w:rsidP="0035025C">
          <w:pPr>
            <w:pStyle w:val="HeaderText"/>
            <w:rPr>
              <w:b/>
              <w:i/>
              <w:sz w:val="16"/>
              <w:u w:val="single"/>
            </w:rPr>
          </w:pPr>
        </w:p>
      </w:tc>
      <w:tc>
        <w:tcPr>
          <w:tcW w:w="2500" w:type="pct"/>
          <w:shd w:val="clear" w:color="auto" w:fill="auto"/>
        </w:tcPr>
        <w:p w:rsidR="00D553FC" w:rsidRPr="007410E8" w:rsidRDefault="00D553FC" w:rsidP="00D553FC">
          <w:pPr>
            <w:pStyle w:val="HeaderText"/>
            <w:jc w:val="right"/>
            <w:rPr>
              <w:sz w:val="16"/>
            </w:rPr>
          </w:pPr>
          <w:r w:rsidRPr="00D553FC">
            <w:t>13 juillet 2015</w:t>
          </w:r>
        </w:p>
      </w:tc>
    </w:tr>
  </w:tbl>
  <w:p w:rsidR="00E77DC6" w:rsidRPr="00D553FC" w:rsidRDefault="00E77DC6" w:rsidP="00D553F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E066E0"/>
    <w:multiLevelType w:val="hybridMultilevel"/>
    <w:tmpl w:val="BA5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13824D0"/>
    <w:multiLevelType w:val="hybridMultilevel"/>
    <w:tmpl w:val="DA0A7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C15A63"/>
    <w:multiLevelType w:val="hybridMultilevel"/>
    <w:tmpl w:val="C3ECAB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96F6DCC"/>
    <w:multiLevelType w:val="hybridMultilevel"/>
    <w:tmpl w:val="D12AF6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58F335BE"/>
    <w:multiLevelType w:val="hybridMultilevel"/>
    <w:tmpl w:val="8BB4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B6814CF"/>
    <w:multiLevelType w:val="hybridMultilevel"/>
    <w:tmpl w:val="FBB6F8E4"/>
    <w:lvl w:ilvl="0" w:tplc="641AB2B4">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abstractNumId w:val="5"/>
  </w:num>
  <w:num w:numId="2">
    <w:abstractNumId w:val="6"/>
  </w:num>
  <w:num w:numId="3">
    <w:abstractNumId w:val="13"/>
  </w:num>
  <w:num w:numId="4">
    <w:abstractNumId w:val="17"/>
  </w:num>
  <w:num w:numId="5">
    <w:abstractNumId w:val="20"/>
  </w:num>
  <w:num w:numId="6">
    <w:abstractNumId w:val="3"/>
  </w:num>
  <w:num w:numId="7">
    <w:abstractNumId w:val="12"/>
    <w:lvlOverride w:ilvl="0">
      <w:startOverride w:val="1"/>
    </w:lvlOverride>
  </w:num>
  <w:num w:numId="8">
    <w:abstractNumId w:val="7"/>
  </w:num>
  <w:num w:numId="9">
    <w:abstractNumId w:val="16"/>
  </w:num>
  <w:num w:numId="10">
    <w:abstractNumId w:val="9"/>
  </w:num>
  <w:num w:numId="11">
    <w:abstractNumId w:val="8"/>
  </w:num>
  <w:num w:numId="12">
    <w:abstractNumId w:val="1"/>
  </w:num>
  <w:num w:numId="13">
    <w:abstractNumId w:val="18"/>
  </w:num>
  <w:num w:numId="14">
    <w:abstractNumId w:val="2"/>
  </w:num>
  <w:num w:numId="15">
    <w:abstractNumId w:val="4"/>
  </w:num>
  <w:num w:numId="16">
    <w:abstractNumId w:val="15"/>
  </w:num>
  <w:num w:numId="17">
    <w:abstractNumId w:val="11"/>
  </w:num>
  <w:num w:numId="18">
    <w:abstractNumId w:val="0"/>
  </w:num>
  <w:num w:numId="19">
    <w:abstractNumId w:val="19"/>
  </w:num>
  <w:num w:numId="20">
    <w:abstractNumId w:val="14"/>
  </w:num>
  <w:num w:numId="21">
    <w:abstractNumId w:val="12"/>
  </w:num>
  <w:num w:numId="22">
    <w:abstractNumId w:val="10"/>
  </w:num>
  <w:num w:numId="23">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5da5c7bf-fbbe-4fef-a2d6-2c2482eb6ddd&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81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7&lt;/text&gt;_x000d__x000a_      &lt;text&gt;PR CO 3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agriculture, de la viticulture et de &amp;#xD;&amp;#xA;la protection des consommateurs du Luxembourg&quot; name=&quot;Fernand Etgen&quot; text=&quot;Fernand Etgen, Ministre de l'agriculture, de la viticulture et de  la protection des consommateurs du Luxembourg&quot; genderKeyBds=&quot;gend_01&quot; /&gt;_x000d__x000a_    &lt;/presidents&gt;_x000d__x000a_  &lt;/metadata&gt;_x000d__x000a_  &lt;metadata key=&quot;md_MeetingNumber&quot;&gt;_x000d__x000a_    &lt;text&gt;3402e session du Conseil&lt;/text&gt;_x000d__x000a_  &lt;/metadata&gt;_x000d__x000a_  &lt;metadata key=&quot;md_CouncilConfiguration&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7-13&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D15446"/>
    <w:rsid w:val="00011AA4"/>
    <w:rsid w:val="00032138"/>
    <w:rsid w:val="00035E1C"/>
    <w:rsid w:val="0008012E"/>
    <w:rsid w:val="00092B2F"/>
    <w:rsid w:val="000A63B0"/>
    <w:rsid w:val="000A71A0"/>
    <w:rsid w:val="0011171C"/>
    <w:rsid w:val="001225A5"/>
    <w:rsid w:val="00133FE9"/>
    <w:rsid w:val="00187124"/>
    <w:rsid w:val="001916DE"/>
    <w:rsid w:val="001A196F"/>
    <w:rsid w:val="001A4176"/>
    <w:rsid w:val="001B6AA9"/>
    <w:rsid w:val="001B7C5F"/>
    <w:rsid w:val="001E741A"/>
    <w:rsid w:val="00230F20"/>
    <w:rsid w:val="002359C6"/>
    <w:rsid w:val="00253BFC"/>
    <w:rsid w:val="00263282"/>
    <w:rsid w:val="00276321"/>
    <w:rsid w:val="00281871"/>
    <w:rsid w:val="002821A0"/>
    <w:rsid w:val="002A4CB9"/>
    <w:rsid w:val="002D12D7"/>
    <w:rsid w:val="00316CD8"/>
    <w:rsid w:val="00317347"/>
    <w:rsid w:val="00321ED6"/>
    <w:rsid w:val="003233AD"/>
    <w:rsid w:val="003245FF"/>
    <w:rsid w:val="0033574E"/>
    <w:rsid w:val="00386B62"/>
    <w:rsid w:val="003946C8"/>
    <w:rsid w:val="003A4AF0"/>
    <w:rsid w:val="003C14B2"/>
    <w:rsid w:val="003D2E91"/>
    <w:rsid w:val="003E2187"/>
    <w:rsid w:val="003F2BCF"/>
    <w:rsid w:val="00406877"/>
    <w:rsid w:val="00412F11"/>
    <w:rsid w:val="004153F2"/>
    <w:rsid w:val="00436A75"/>
    <w:rsid w:val="00470937"/>
    <w:rsid w:val="004A4D46"/>
    <w:rsid w:val="004A6FBD"/>
    <w:rsid w:val="004F6064"/>
    <w:rsid w:val="00520FAC"/>
    <w:rsid w:val="005353E0"/>
    <w:rsid w:val="00536B8B"/>
    <w:rsid w:val="00546259"/>
    <w:rsid w:val="00577196"/>
    <w:rsid w:val="00595AD2"/>
    <w:rsid w:val="005C28E6"/>
    <w:rsid w:val="005C56BB"/>
    <w:rsid w:val="00632377"/>
    <w:rsid w:val="00634EE9"/>
    <w:rsid w:val="0063746C"/>
    <w:rsid w:val="00642D61"/>
    <w:rsid w:val="006653B3"/>
    <w:rsid w:val="00683D73"/>
    <w:rsid w:val="006977A1"/>
    <w:rsid w:val="006A56D8"/>
    <w:rsid w:val="006E2F9D"/>
    <w:rsid w:val="006F4E9F"/>
    <w:rsid w:val="00704DB6"/>
    <w:rsid w:val="007340CA"/>
    <w:rsid w:val="00775607"/>
    <w:rsid w:val="007B4D94"/>
    <w:rsid w:val="007D4CB0"/>
    <w:rsid w:val="007E66AF"/>
    <w:rsid w:val="00801095"/>
    <w:rsid w:val="0082785B"/>
    <w:rsid w:val="008774FD"/>
    <w:rsid w:val="00895676"/>
    <w:rsid w:val="008B1AF6"/>
    <w:rsid w:val="008F2C2F"/>
    <w:rsid w:val="008F458F"/>
    <w:rsid w:val="00903758"/>
    <w:rsid w:val="009240A5"/>
    <w:rsid w:val="00926EAF"/>
    <w:rsid w:val="00936161"/>
    <w:rsid w:val="009B480D"/>
    <w:rsid w:val="009C0741"/>
    <w:rsid w:val="009F2E2A"/>
    <w:rsid w:val="00A33747"/>
    <w:rsid w:val="00A36655"/>
    <w:rsid w:val="00A52C0E"/>
    <w:rsid w:val="00A67613"/>
    <w:rsid w:val="00A76CDC"/>
    <w:rsid w:val="00AB285E"/>
    <w:rsid w:val="00B03546"/>
    <w:rsid w:val="00B07108"/>
    <w:rsid w:val="00B1432D"/>
    <w:rsid w:val="00B24C9D"/>
    <w:rsid w:val="00B26546"/>
    <w:rsid w:val="00B34272"/>
    <w:rsid w:val="00B366BA"/>
    <w:rsid w:val="00B97242"/>
    <w:rsid w:val="00BB333F"/>
    <w:rsid w:val="00BB62EF"/>
    <w:rsid w:val="00BB7803"/>
    <w:rsid w:val="00BD29DD"/>
    <w:rsid w:val="00BD54A3"/>
    <w:rsid w:val="00BE2CA6"/>
    <w:rsid w:val="00C061E8"/>
    <w:rsid w:val="00C07624"/>
    <w:rsid w:val="00C21299"/>
    <w:rsid w:val="00C3043F"/>
    <w:rsid w:val="00C57A98"/>
    <w:rsid w:val="00C57AAC"/>
    <w:rsid w:val="00CA0D26"/>
    <w:rsid w:val="00CE4AA1"/>
    <w:rsid w:val="00CE6113"/>
    <w:rsid w:val="00CF04C0"/>
    <w:rsid w:val="00CF751D"/>
    <w:rsid w:val="00D07E05"/>
    <w:rsid w:val="00D15446"/>
    <w:rsid w:val="00D16B27"/>
    <w:rsid w:val="00D31574"/>
    <w:rsid w:val="00D31686"/>
    <w:rsid w:val="00D45C7C"/>
    <w:rsid w:val="00D553FC"/>
    <w:rsid w:val="00D71385"/>
    <w:rsid w:val="00D975FA"/>
    <w:rsid w:val="00DB4473"/>
    <w:rsid w:val="00DD3DFD"/>
    <w:rsid w:val="00E1136A"/>
    <w:rsid w:val="00E14AF6"/>
    <w:rsid w:val="00E32D93"/>
    <w:rsid w:val="00E42D90"/>
    <w:rsid w:val="00E47AAC"/>
    <w:rsid w:val="00E737DC"/>
    <w:rsid w:val="00E77DC6"/>
    <w:rsid w:val="00E85C6A"/>
    <w:rsid w:val="00EB33B7"/>
    <w:rsid w:val="00EB53FB"/>
    <w:rsid w:val="00EF58B3"/>
    <w:rsid w:val="00F17DDD"/>
    <w:rsid w:val="00F26BF6"/>
    <w:rsid w:val="00F36E60"/>
    <w:rsid w:val="00F40D7F"/>
    <w:rsid w:val="00F82A71"/>
    <w:rsid w:val="00FA2CA2"/>
    <w:rsid w:val="00FB563F"/>
    <w:rsid w:val="00FC7382"/>
    <w:rsid w:val="00FE5FD7"/>
    <w:rsid w:val="00FE733C"/>
    <w:rsid w:val="00FF136D"/>
    <w:rsid w:val="00FF71F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4"/>
      </w:numPr>
      <w:spacing w:before="360"/>
      <w:outlineLvl w:val="0"/>
    </w:pPr>
    <w:rPr>
      <w:b/>
      <w:bCs/>
      <w:smallCaps/>
      <w:szCs w:val="32"/>
    </w:rPr>
  </w:style>
  <w:style w:type="paragraph" w:styleId="Heading2">
    <w:name w:val="heading 2"/>
    <w:basedOn w:val="Normal"/>
    <w:next w:val="Text1"/>
    <w:qFormat/>
    <w:rsid w:val="00A76CDC"/>
    <w:pPr>
      <w:keepNext/>
      <w:numPr>
        <w:ilvl w:val="1"/>
        <w:numId w:val="14"/>
      </w:numPr>
      <w:outlineLvl w:val="1"/>
    </w:pPr>
    <w:rPr>
      <w:b/>
      <w:bCs/>
      <w:iCs/>
      <w:szCs w:val="28"/>
    </w:rPr>
  </w:style>
  <w:style w:type="paragraph" w:styleId="Heading3">
    <w:name w:val="heading 3"/>
    <w:basedOn w:val="Normal"/>
    <w:next w:val="Text1"/>
    <w:qFormat/>
    <w:rsid w:val="00A76CDC"/>
    <w:pPr>
      <w:keepNext/>
      <w:numPr>
        <w:ilvl w:val="2"/>
        <w:numId w:val="14"/>
      </w:numPr>
      <w:outlineLvl w:val="2"/>
    </w:pPr>
    <w:rPr>
      <w:bCs/>
      <w:i/>
      <w:szCs w:val="26"/>
    </w:rPr>
  </w:style>
  <w:style w:type="paragraph" w:styleId="Heading4">
    <w:name w:val="heading 4"/>
    <w:basedOn w:val="Normal"/>
    <w:next w:val="Text1"/>
    <w:qFormat/>
    <w:rsid w:val="00A76CDC"/>
    <w:pPr>
      <w:keepNext/>
      <w:numPr>
        <w:ilvl w:val="3"/>
        <w:numId w:val="1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15446"/>
    <w:pPr>
      <w:spacing w:before="0" w:after="440"/>
      <w:ind w:left="-1134" w:right="-1134"/>
    </w:pPr>
    <w:rPr>
      <w:sz w:val="2"/>
    </w:rPr>
  </w:style>
  <w:style w:type="character" w:customStyle="1" w:styleId="TechnicalBlockChar">
    <w:name w:val="Technical Block Char"/>
    <w:basedOn w:val="DefaultParagraphFont"/>
    <w:rsid w:val="00D15446"/>
    <w:rPr>
      <w:sz w:val="24"/>
      <w:szCs w:val="24"/>
      <w:lang w:val="fr-FR" w:eastAsia="fr-FR"/>
    </w:rPr>
  </w:style>
  <w:style w:type="character" w:customStyle="1" w:styleId="HeaderCouncilLargeChar">
    <w:name w:val="Header Council Large Char"/>
    <w:basedOn w:val="TechnicalBlockChar"/>
    <w:link w:val="HeaderCouncilLarge"/>
    <w:rsid w:val="00D15446"/>
    <w:rPr>
      <w:sz w:val="2"/>
      <w:szCs w:val="24"/>
      <w:lang w:val="fr-FR" w:eastAsia="fr-FR"/>
    </w:rPr>
  </w:style>
  <w:style w:type="paragraph" w:customStyle="1" w:styleId="FooterText">
    <w:name w:val="Footer Text"/>
    <w:basedOn w:val="Normal"/>
    <w:rsid w:val="00D15446"/>
    <w:pPr>
      <w:spacing w:before="0" w:after="0"/>
    </w:pPr>
  </w:style>
  <w:style w:type="paragraph" w:customStyle="1" w:styleId="FooterAddressText">
    <w:name w:val="Footer Address Text"/>
    <w:basedOn w:val="FooterText"/>
    <w:qFormat/>
    <w:rsid w:val="00D15446"/>
    <w:pPr>
      <w:jc w:val="center"/>
    </w:pPr>
    <w:rPr>
      <w:spacing w:val="10"/>
      <w:sz w:val="16"/>
      <w:szCs w:val="16"/>
    </w:rPr>
  </w:style>
  <w:style w:type="character" w:styleId="Hyperlink">
    <w:name w:val="Hyperlink"/>
    <w:basedOn w:val="DefaultParagraphFont"/>
    <w:uiPriority w:val="99"/>
    <w:unhideWhenUsed/>
    <w:rsid w:val="00D15446"/>
    <w:rPr>
      <w:color w:val="0000FF" w:themeColor="hyperlink"/>
      <w:u w:val="single"/>
    </w:rPr>
  </w:style>
  <w:style w:type="paragraph" w:customStyle="1" w:styleId="HeaderText">
    <w:name w:val="Header Text"/>
    <w:basedOn w:val="Normal"/>
    <w:rsid w:val="00D15446"/>
    <w:pPr>
      <w:spacing w:before="0" w:after="0"/>
    </w:pPr>
  </w:style>
  <w:style w:type="character" w:customStyle="1" w:styleId="FootnoteTextChar">
    <w:name w:val="Footnote Text Char"/>
    <w:basedOn w:val="DefaultParagraphFont"/>
    <w:uiPriority w:val="99"/>
    <w:rsid w:val="00FB563F"/>
    <w:rPr>
      <w:sz w:val="24"/>
      <w:lang w:val="fr-FR" w:eastAsia="fr-FR"/>
    </w:rPr>
  </w:style>
  <w:style w:type="paragraph" w:customStyle="1" w:styleId="PointManual">
    <w:name w:val="Point Manual"/>
    <w:basedOn w:val="Normal"/>
    <w:link w:val="PointManualChar"/>
    <w:rsid w:val="00FB563F"/>
    <w:pPr>
      <w:spacing w:after="120" w:line="360" w:lineRule="auto"/>
      <w:ind w:left="567" w:hanging="567"/>
    </w:pPr>
  </w:style>
  <w:style w:type="character" w:customStyle="1" w:styleId="PointManualChar">
    <w:name w:val="Point Manual Char"/>
    <w:basedOn w:val="DefaultParagraphFont"/>
    <w:link w:val="PointManual"/>
    <w:locked/>
    <w:rsid w:val="00FB563F"/>
    <w:rPr>
      <w:sz w:val="24"/>
      <w:szCs w:val="24"/>
      <w:lang w:val="fr-FR" w:eastAsia="fr-FR"/>
    </w:rPr>
  </w:style>
  <w:style w:type="character" w:styleId="FollowedHyperlink">
    <w:name w:val="FollowedHyperlink"/>
    <w:basedOn w:val="DefaultParagraphFont"/>
    <w:uiPriority w:val="99"/>
    <w:semiHidden/>
    <w:unhideWhenUsed/>
    <w:rsid w:val="007340CA"/>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1B6AA9"/>
    <w:rPr>
      <w:lang w:val="fr-FR" w:eastAsia="fr-FR"/>
    </w:rPr>
  </w:style>
  <w:style w:type="paragraph" w:styleId="CommentSubject">
    <w:name w:val="annotation subject"/>
    <w:basedOn w:val="CommentText"/>
    <w:next w:val="CommentText"/>
    <w:link w:val="CommentSubjectChar"/>
    <w:uiPriority w:val="99"/>
    <w:semiHidden/>
    <w:unhideWhenUsed/>
    <w:rsid w:val="001B6AA9"/>
    <w:rPr>
      <w:b/>
      <w:bCs/>
    </w:rPr>
  </w:style>
  <w:style w:type="character" w:customStyle="1" w:styleId="CommentSubjectChar">
    <w:name w:val="Comment Subject Char"/>
    <w:basedOn w:val="CommentTextChar"/>
    <w:link w:val="CommentSubject"/>
    <w:uiPriority w:val="99"/>
    <w:semiHidden/>
    <w:rsid w:val="001B6AA9"/>
    <w:rPr>
      <w:b/>
      <w:bCs/>
      <w:lang w:val="fr-FR" w:eastAsia="fr-FR"/>
    </w:rPr>
  </w:style>
  <w:style w:type="paragraph" w:styleId="BalloonText">
    <w:name w:val="Balloon Text"/>
    <w:basedOn w:val="Normal"/>
    <w:link w:val="BalloonTextChar"/>
    <w:uiPriority w:val="99"/>
    <w:semiHidden/>
    <w:unhideWhenUsed/>
    <w:rsid w:val="001A19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6F"/>
    <w:rPr>
      <w:rFonts w:ascii="Tahoma" w:hAnsi="Tahoma" w:cs="Tahoma"/>
      <w:sz w:val="16"/>
      <w:szCs w:val="16"/>
      <w:lang w:val="fr-FR" w:eastAsia="fr-FR"/>
    </w:rPr>
  </w:style>
  <w:style w:type="paragraph" w:customStyle="1" w:styleId="CarcterCarcterCharCarcterCarcterCharCarcterCarcterCharCharCarcterCarcter">
    <w:name w:val="Carácter Carácter Char Carácter Carácter Char Carácter Carácter Char Char Carácter Carácter"/>
    <w:basedOn w:val="Normal"/>
    <w:rsid w:val="00321ED6"/>
    <w:pPr>
      <w:spacing w:before="0" w:after="0"/>
    </w:pPr>
  </w:style>
  <w:style w:type="paragraph" w:customStyle="1" w:styleId="Default">
    <w:name w:val="Default"/>
    <w:rsid w:val="00321ED6"/>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2A4CB9"/>
    <w:pPr>
      <w:spacing w:before="0" w:after="0" w:line="360" w:lineRule="auto"/>
      <w:ind w:left="720"/>
      <w:contextualSpacing/>
    </w:pPr>
    <w:rPr>
      <w:rFonts w:eastAsiaTheme="minorHAnsi" w:cstheme="minorBidi"/>
      <w:szCs w:val="22"/>
    </w:rPr>
  </w:style>
  <w:style w:type="paragraph" w:styleId="EndnoteText">
    <w:name w:val="endnote text"/>
    <w:basedOn w:val="Normal"/>
    <w:link w:val="EndnoteTextChar"/>
    <w:semiHidden/>
    <w:rsid w:val="002A4CB9"/>
    <w:pPr>
      <w:widowControl w:val="0"/>
      <w:spacing w:before="0" w:after="0"/>
    </w:pPr>
    <w:rPr>
      <w:snapToGrid w:val="0"/>
      <w:szCs w:val="20"/>
    </w:rPr>
  </w:style>
  <w:style w:type="character" w:customStyle="1" w:styleId="EndnoteTextChar">
    <w:name w:val="Endnote Text Char"/>
    <w:basedOn w:val="DefaultParagraphFont"/>
    <w:link w:val="EndnoteText"/>
    <w:semiHidden/>
    <w:rsid w:val="002A4CB9"/>
    <w:rPr>
      <w:snapToGrid w:val="0"/>
      <w:sz w:val="24"/>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2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8"/>
      </w:numPr>
    </w:pPr>
  </w:style>
  <w:style w:type="paragraph" w:customStyle="1" w:styleId="Tiret1">
    <w:name w:val="Tiret 1"/>
    <w:basedOn w:val="Normal"/>
    <w:rsid w:val="00A76CDC"/>
    <w:pPr>
      <w:numPr>
        <w:numId w:val="9"/>
      </w:numPr>
      <w:outlineLvl w:val="0"/>
    </w:pPr>
  </w:style>
  <w:style w:type="paragraph" w:customStyle="1" w:styleId="Tiret2">
    <w:name w:val="Tiret 2"/>
    <w:basedOn w:val="Normal"/>
    <w:rsid w:val="00A76CDC"/>
    <w:pPr>
      <w:numPr>
        <w:numId w:val="10"/>
      </w:numPr>
      <w:outlineLvl w:val="1"/>
    </w:pPr>
  </w:style>
  <w:style w:type="paragraph" w:customStyle="1" w:styleId="Tiret3">
    <w:name w:val="Tiret 3"/>
    <w:basedOn w:val="Normal"/>
    <w:rsid w:val="00A76CDC"/>
    <w:pPr>
      <w:numPr>
        <w:numId w:val="11"/>
      </w:numPr>
      <w:outlineLvl w:val="2"/>
    </w:pPr>
  </w:style>
  <w:style w:type="paragraph" w:customStyle="1" w:styleId="Tiret4">
    <w:name w:val="Tiret 4"/>
    <w:basedOn w:val="Normal"/>
    <w:rsid w:val="00A76CDC"/>
    <w:pPr>
      <w:numPr>
        <w:numId w:val="12"/>
      </w:numPr>
      <w:outlineLvl w:val="3"/>
    </w:pPr>
  </w:style>
  <w:style w:type="paragraph" w:customStyle="1" w:styleId="NumPar1">
    <w:name w:val="NumPar 1"/>
    <w:basedOn w:val="Normal"/>
    <w:next w:val="Text1"/>
    <w:rsid w:val="00A76CDC"/>
    <w:pPr>
      <w:numPr>
        <w:numId w:val="13"/>
      </w:numPr>
      <w:outlineLvl w:val="0"/>
    </w:pPr>
  </w:style>
  <w:style w:type="paragraph" w:customStyle="1" w:styleId="NumPar2">
    <w:name w:val="NumPar 2"/>
    <w:basedOn w:val="Normal"/>
    <w:next w:val="Text1"/>
    <w:rsid w:val="00A76CDC"/>
    <w:pPr>
      <w:numPr>
        <w:ilvl w:val="1"/>
        <w:numId w:val="13"/>
      </w:numPr>
      <w:outlineLvl w:val="1"/>
    </w:pPr>
  </w:style>
  <w:style w:type="paragraph" w:customStyle="1" w:styleId="NumPar3">
    <w:name w:val="NumPar 3"/>
    <w:basedOn w:val="Normal"/>
    <w:next w:val="Text1"/>
    <w:rsid w:val="00A76CDC"/>
    <w:pPr>
      <w:numPr>
        <w:ilvl w:val="2"/>
        <w:numId w:val="13"/>
      </w:numPr>
      <w:outlineLvl w:val="2"/>
    </w:pPr>
  </w:style>
  <w:style w:type="paragraph" w:customStyle="1" w:styleId="NumPar4">
    <w:name w:val="NumPar 4"/>
    <w:basedOn w:val="Normal"/>
    <w:next w:val="Text1"/>
    <w:rsid w:val="00A76CDC"/>
    <w:pPr>
      <w:numPr>
        <w:ilvl w:val="3"/>
        <w:numId w:val="1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5"/>
      </w:numPr>
    </w:pPr>
  </w:style>
  <w:style w:type="paragraph" w:customStyle="1" w:styleId="Point1number">
    <w:name w:val="Point 1 (number)"/>
    <w:basedOn w:val="Normal"/>
    <w:rsid w:val="00A76CDC"/>
    <w:pPr>
      <w:numPr>
        <w:ilvl w:val="2"/>
        <w:numId w:val="15"/>
      </w:numPr>
      <w:outlineLvl w:val="0"/>
    </w:pPr>
  </w:style>
  <w:style w:type="paragraph" w:customStyle="1" w:styleId="Point2number">
    <w:name w:val="Point 2 (number)"/>
    <w:basedOn w:val="Normal"/>
    <w:rsid w:val="00A76CDC"/>
    <w:pPr>
      <w:numPr>
        <w:ilvl w:val="4"/>
        <w:numId w:val="15"/>
      </w:numPr>
      <w:outlineLvl w:val="1"/>
    </w:pPr>
  </w:style>
  <w:style w:type="paragraph" w:customStyle="1" w:styleId="Point3number">
    <w:name w:val="Point 3 (number)"/>
    <w:basedOn w:val="Normal"/>
    <w:rsid w:val="00A76CDC"/>
    <w:pPr>
      <w:numPr>
        <w:ilvl w:val="6"/>
        <w:numId w:val="15"/>
      </w:numPr>
      <w:outlineLvl w:val="2"/>
    </w:pPr>
  </w:style>
  <w:style w:type="paragraph" w:customStyle="1" w:styleId="Point0letter">
    <w:name w:val="Point 0 (letter)"/>
    <w:basedOn w:val="Normal"/>
    <w:rsid w:val="00A76CDC"/>
    <w:pPr>
      <w:numPr>
        <w:ilvl w:val="1"/>
        <w:numId w:val="15"/>
      </w:numPr>
    </w:pPr>
  </w:style>
  <w:style w:type="paragraph" w:customStyle="1" w:styleId="Point1letter">
    <w:name w:val="Point 1 (letter)"/>
    <w:basedOn w:val="Normal"/>
    <w:rsid w:val="00A76CDC"/>
    <w:pPr>
      <w:numPr>
        <w:ilvl w:val="3"/>
        <w:numId w:val="15"/>
      </w:numPr>
      <w:outlineLvl w:val="0"/>
    </w:pPr>
  </w:style>
  <w:style w:type="paragraph" w:customStyle="1" w:styleId="Point2letter">
    <w:name w:val="Point 2 (letter)"/>
    <w:basedOn w:val="Normal"/>
    <w:rsid w:val="00A76CDC"/>
    <w:pPr>
      <w:numPr>
        <w:ilvl w:val="5"/>
        <w:numId w:val="15"/>
      </w:numPr>
      <w:outlineLvl w:val="1"/>
    </w:pPr>
  </w:style>
  <w:style w:type="paragraph" w:customStyle="1" w:styleId="Point3letter">
    <w:name w:val="Point 3 (letter)"/>
    <w:basedOn w:val="Normal"/>
    <w:rsid w:val="00A76CDC"/>
    <w:pPr>
      <w:numPr>
        <w:ilvl w:val="7"/>
        <w:numId w:val="15"/>
      </w:numPr>
      <w:outlineLvl w:val="2"/>
    </w:pPr>
  </w:style>
  <w:style w:type="paragraph" w:customStyle="1" w:styleId="Point4letter">
    <w:name w:val="Point 4 (letter)"/>
    <w:basedOn w:val="Normal"/>
    <w:rsid w:val="00A76CDC"/>
    <w:pPr>
      <w:numPr>
        <w:ilvl w:val="8"/>
        <w:numId w:val="15"/>
      </w:numPr>
      <w:outlineLvl w:val="3"/>
    </w:pPr>
  </w:style>
  <w:style w:type="paragraph" w:customStyle="1" w:styleId="Bullet0">
    <w:name w:val="Bullet 0"/>
    <w:basedOn w:val="Normal"/>
    <w:rsid w:val="00A76CDC"/>
    <w:pPr>
      <w:numPr>
        <w:numId w:val="16"/>
      </w:numPr>
    </w:pPr>
  </w:style>
  <w:style w:type="paragraph" w:customStyle="1" w:styleId="Bullet1">
    <w:name w:val="Bullet 1"/>
    <w:basedOn w:val="Normal"/>
    <w:rsid w:val="00A76CDC"/>
    <w:pPr>
      <w:numPr>
        <w:numId w:val="17"/>
      </w:numPr>
      <w:outlineLvl w:val="0"/>
    </w:pPr>
  </w:style>
  <w:style w:type="paragraph" w:customStyle="1" w:styleId="Bullet2">
    <w:name w:val="Bullet 2"/>
    <w:basedOn w:val="Normal"/>
    <w:rsid w:val="00A76CDC"/>
    <w:pPr>
      <w:numPr>
        <w:numId w:val="18"/>
      </w:numPr>
      <w:outlineLvl w:val="1"/>
    </w:pPr>
  </w:style>
  <w:style w:type="paragraph" w:customStyle="1" w:styleId="Bullet3">
    <w:name w:val="Bullet 3"/>
    <w:basedOn w:val="Normal"/>
    <w:rsid w:val="00A76CDC"/>
    <w:pPr>
      <w:numPr>
        <w:numId w:val="19"/>
      </w:numPr>
      <w:outlineLvl w:val="2"/>
    </w:pPr>
  </w:style>
  <w:style w:type="paragraph" w:customStyle="1" w:styleId="Bullet4">
    <w:name w:val="Bullet 4"/>
    <w:basedOn w:val="Normal"/>
    <w:rsid w:val="00A76CDC"/>
    <w:pPr>
      <w:numPr>
        <w:numId w:val="2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06877"/>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4"/>
      </w:numPr>
      <w:spacing w:before="360"/>
      <w:outlineLvl w:val="0"/>
    </w:pPr>
    <w:rPr>
      <w:b/>
      <w:bCs/>
      <w:smallCaps/>
      <w:szCs w:val="32"/>
    </w:rPr>
  </w:style>
  <w:style w:type="paragraph" w:styleId="Heading2">
    <w:name w:val="heading 2"/>
    <w:basedOn w:val="Normal"/>
    <w:next w:val="Text1"/>
    <w:qFormat/>
    <w:rsid w:val="00A76CDC"/>
    <w:pPr>
      <w:keepNext/>
      <w:numPr>
        <w:ilvl w:val="1"/>
        <w:numId w:val="14"/>
      </w:numPr>
      <w:outlineLvl w:val="1"/>
    </w:pPr>
    <w:rPr>
      <w:b/>
      <w:bCs/>
      <w:iCs/>
      <w:szCs w:val="28"/>
    </w:rPr>
  </w:style>
  <w:style w:type="paragraph" w:styleId="Heading3">
    <w:name w:val="heading 3"/>
    <w:basedOn w:val="Normal"/>
    <w:next w:val="Text1"/>
    <w:qFormat/>
    <w:rsid w:val="00A76CDC"/>
    <w:pPr>
      <w:keepNext/>
      <w:numPr>
        <w:ilvl w:val="2"/>
        <w:numId w:val="14"/>
      </w:numPr>
      <w:outlineLvl w:val="2"/>
    </w:pPr>
    <w:rPr>
      <w:bCs/>
      <w:i/>
      <w:szCs w:val="26"/>
    </w:rPr>
  </w:style>
  <w:style w:type="paragraph" w:styleId="Heading4">
    <w:name w:val="heading 4"/>
    <w:basedOn w:val="Normal"/>
    <w:next w:val="Text1"/>
    <w:qFormat/>
    <w:rsid w:val="00A76CDC"/>
    <w:pPr>
      <w:keepNext/>
      <w:numPr>
        <w:ilvl w:val="3"/>
        <w:numId w:val="1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15446"/>
    <w:pPr>
      <w:spacing w:before="0" w:after="440"/>
      <w:ind w:left="-1134" w:right="-1134"/>
    </w:pPr>
    <w:rPr>
      <w:sz w:val="2"/>
    </w:rPr>
  </w:style>
  <w:style w:type="character" w:customStyle="1" w:styleId="TechnicalBlockChar">
    <w:name w:val="Technical Block Char"/>
    <w:basedOn w:val="DefaultParagraphFont"/>
    <w:rsid w:val="00D15446"/>
    <w:rPr>
      <w:sz w:val="24"/>
      <w:szCs w:val="24"/>
      <w:lang w:val="fr-FR" w:eastAsia="fr-FR"/>
    </w:rPr>
  </w:style>
  <w:style w:type="character" w:customStyle="1" w:styleId="HeaderCouncilLargeChar">
    <w:name w:val="Header Council Large Char"/>
    <w:basedOn w:val="TechnicalBlockChar"/>
    <w:link w:val="HeaderCouncilLarge"/>
    <w:rsid w:val="00D15446"/>
    <w:rPr>
      <w:sz w:val="2"/>
      <w:szCs w:val="24"/>
      <w:lang w:val="fr-FR" w:eastAsia="fr-FR"/>
    </w:rPr>
  </w:style>
  <w:style w:type="paragraph" w:customStyle="1" w:styleId="FooterText">
    <w:name w:val="Footer Text"/>
    <w:basedOn w:val="Normal"/>
    <w:rsid w:val="00D15446"/>
    <w:pPr>
      <w:spacing w:before="0" w:after="0"/>
    </w:pPr>
  </w:style>
  <w:style w:type="paragraph" w:customStyle="1" w:styleId="FooterAddressText">
    <w:name w:val="Footer Address Text"/>
    <w:basedOn w:val="FooterText"/>
    <w:qFormat/>
    <w:rsid w:val="00D15446"/>
    <w:pPr>
      <w:jc w:val="center"/>
    </w:pPr>
    <w:rPr>
      <w:spacing w:val="10"/>
      <w:sz w:val="16"/>
      <w:szCs w:val="16"/>
    </w:rPr>
  </w:style>
  <w:style w:type="character" w:styleId="Hyperlink">
    <w:name w:val="Hyperlink"/>
    <w:basedOn w:val="DefaultParagraphFont"/>
    <w:uiPriority w:val="99"/>
    <w:unhideWhenUsed/>
    <w:rsid w:val="00D15446"/>
    <w:rPr>
      <w:color w:val="0000FF" w:themeColor="hyperlink"/>
      <w:u w:val="single"/>
    </w:rPr>
  </w:style>
  <w:style w:type="paragraph" w:customStyle="1" w:styleId="HeaderText">
    <w:name w:val="Header Text"/>
    <w:basedOn w:val="Normal"/>
    <w:rsid w:val="00D15446"/>
    <w:pPr>
      <w:spacing w:before="0" w:after="0"/>
    </w:pPr>
  </w:style>
  <w:style w:type="character" w:customStyle="1" w:styleId="FootnoteTextChar">
    <w:name w:val="Footnote Text Char"/>
    <w:basedOn w:val="DefaultParagraphFont"/>
    <w:uiPriority w:val="99"/>
    <w:rsid w:val="00FB563F"/>
    <w:rPr>
      <w:sz w:val="24"/>
      <w:lang w:val="fr-FR" w:eastAsia="fr-FR"/>
    </w:rPr>
  </w:style>
  <w:style w:type="paragraph" w:customStyle="1" w:styleId="PointManual">
    <w:name w:val="Point Manual"/>
    <w:basedOn w:val="Normal"/>
    <w:link w:val="PointManualChar"/>
    <w:rsid w:val="00FB563F"/>
    <w:pPr>
      <w:spacing w:after="120" w:line="360" w:lineRule="auto"/>
      <w:ind w:left="567" w:hanging="567"/>
    </w:pPr>
  </w:style>
  <w:style w:type="character" w:customStyle="1" w:styleId="PointManualChar">
    <w:name w:val="Point Manual Char"/>
    <w:basedOn w:val="DefaultParagraphFont"/>
    <w:link w:val="PointManual"/>
    <w:locked/>
    <w:rsid w:val="00FB563F"/>
    <w:rPr>
      <w:sz w:val="24"/>
      <w:szCs w:val="24"/>
      <w:lang w:val="fr-FR" w:eastAsia="fr-FR"/>
    </w:rPr>
  </w:style>
  <w:style w:type="character" w:styleId="FollowedHyperlink">
    <w:name w:val="FollowedHyperlink"/>
    <w:basedOn w:val="DefaultParagraphFont"/>
    <w:uiPriority w:val="99"/>
    <w:semiHidden/>
    <w:unhideWhenUsed/>
    <w:rsid w:val="007340CA"/>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1B6AA9"/>
    <w:rPr>
      <w:lang w:val="fr-FR" w:eastAsia="fr-FR"/>
    </w:rPr>
  </w:style>
  <w:style w:type="paragraph" w:styleId="CommentSubject">
    <w:name w:val="annotation subject"/>
    <w:basedOn w:val="CommentText"/>
    <w:next w:val="CommentText"/>
    <w:link w:val="CommentSubjectChar"/>
    <w:uiPriority w:val="99"/>
    <w:semiHidden/>
    <w:unhideWhenUsed/>
    <w:rsid w:val="001B6AA9"/>
    <w:rPr>
      <w:b/>
      <w:bCs/>
    </w:rPr>
  </w:style>
  <w:style w:type="character" w:customStyle="1" w:styleId="CommentSubjectChar">
    <w:name w:val="Comment Subject Char"/>
    <w:basedOn w:val="CommentTextChar"/>
    <w:link w:val="CommentSubject"/>
    <w:uiPriority w:val="99"/>
    <w:semiHidden/>
    <w:rsid w:val="001B6AA9"/>
    <w:rPr>
      <w:b/>
      <w:bCs/>
      <w:lang w:val="fr-FR" w:eastAsia="fr-FR"/>
    </w:rPr>
  </w:style>
  <w:style w:type="paragraph" w:styleId="BalloonText">
    <w:name w:val="Balloon Text"/>
    <w:basedOn w:val="Normal"/>
    <w:link w:val="BalloonTextChar"/>
    <w:uiPriority w:val="99"/>
    <w:semiHidden/>
    <w:unhideWhenUsed/>
    <w:rsid w:val="001A19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6F"/>
    <w:rPr>
      <w:rFonts w:ascii="Tahoma" w:hAnsi="Tahoma" w:cs="Tahoma"/>
      <w:sz w:val="16"/>
      <w:szCs w:val="16"/>
      <w:lang w:val="fr-FR" w:eastAsia="fr-FR"/>
    </w:rPr>
  </w:style>
  <w:style w:type="paragraph" w:customStyle="1" w:styleId="CarcterCarcterCharCarcterCarcterCharCarcterCarcterCharCharCarcterCarcter">
    <w:name w:val="Carácter Carácter Char Carácter Carácter Char Carácter Carácter Char Char Carácter Carácter"/>
    <w:basedOn w:val="Normal"/>
    <w:rsid w:val="00321ED6"/>
    <w:pPr>
      <w:spacing w:before="0" w:after="0"/>
    </w:pPr>
  </w:style>
  <w:style w:type="paragraph" w:customStyle="1" w:styleId="Default">
    <w:name w:val="Default"/>
    <w:rsid w:val="00321ED6"/>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2A4CB9"/>
    <w:pPr>
      <w:spacing w:before="0" w:after="0" w:line="360" w:lineRule="auto"/>
      <w:ind w:left="720"/>
      <w:contextualSpacing/>
    </w:pPr>
    <w:rPr>
      <w:rFonts w:eastAsiaTheme="minorHAnsi" w:cstheme="minorBidi"/>
      <w:szCs w:val="22"/>
    </w:rPr>
  </w:style>
  <w:style w:type="paragraph" w:styleId="EndnoteText">
    <w:name w:val="endnote text"/>
    <w:basedOn w:val="Normal"/>
    <w:link w:val="EndnoteTextChar"/>
    <w:semiHidden/>
    <w:rsid w:val="002A4CB9"/>
    <w:pPr>
      <w:widowControl w:val="0"/>
      <w:spacing w:before="0" w:after="0"/>
    </w:pPr>
    <w:rPr>
      <w:snapToGrid w:val="0"/>
      <w:szCs w:val="20"/>
    </w:rPr>
  </w:style>
  <w:style w:type="character" w:customStyle="1" w:styleId="EndnoteTextChar">
    <w:name w:val="Endnote Text Char"/>
    <w:basedOn w:val="DefaultParagraphFont"/>
    <w:link w:val="EndnoteText"/>
    <w:semiHidden/>
    <w:rsid w:val="002A4CB9"/>
    <w:rPr>
      <w:snapToGrid w:val="0"/>
      <w:sz w:val="24"/>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2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8"/>
      </w:numPr>
    </w:pPr>
  </w:style>
  <w:style w:type="paragraph" w:customStyle="1" w:styleId="Tiret1">
    <w:name w:val="Tiret 1"/>
    <w:basedOn w:val="Normal"/>
    <w:rsid w:val="00A76CDC"/>
    <w:pPr>
      <w:numPr>
        <w:numId w:val="9"/>
      </w:numPr>
      <w:outlineLvl w:val="0"/>
    </w:pPr>
  </w:style>
  <w:style w:type="paragraph" w:customStyle="1" w:styleId="Tiret2">
    <w:name w:val="Tiret 2"/>
    <w:basedOn w:val="Normal"/>
    <w:rsid w:val="00A76CDC"/>
    <w:pPr>
      <w:numPr>
        <w:numId w:val="10"/>
      </w:numPr>
      <w:outlineLvl w:val="1"/>
    </w:pPr>
  </w:style>
  <w:style w:type="paragraph" w:customStyle="1" w:styleId="Tiret3">
    <w:name w:val="Tiret 3"/>
    <w:basedOn w:val="Normal"/>
    <w:rsid w:val="00A76CDC"/>
    <w:pPr>
      <w:numPr>
        <w:numId w:val="11"/>
      </w:numPr>
      <w:outlineLvl w:val="2"/>
    </w:pPr>
  </w:style>
  <w:style w:type="paragraph" w:customStyle="1" w:styleId="Tiret4">
    <w:name w:val="Tiret 4"/>
    <w:basedOn w:val="Normal"/>
    <w:rsid w:val="00A76CDC"/>
    <w:pPr>
      <w:numPr>
        <w:numId w:val="12"/>
      </w:numPr>
      <w:outlineLvl w:val="3"/>
    </w:pPr>
  </w:style>
  <w:style w:type="paragraph" w:customStyle="1" w:styleId="NumPar1">
    <w:name w:val="NumPar 1"/>
    <w:basedOn w:val="Normal"/>
    <w:next w:val="Text1"/>
    <w:rsid w:val="00A76CDC"/>
    <w:pPr>
      <w:numPr>
        <w:numId w:val="13"/>
      </w:numPr>
      <w:outlineLvl w:val="0"/>
    </w:pPr>
  </w:style>
  <w:style w:type="paragraph" w:customStyle="1" w:styleId="NumPar2">
    <w:name w:val="NumPar 2"/>
    <w:basedOn w:val="Normal"/>
    <w:next w:val="Text1"/>
    <w:rsid w:val="00A76CDC"/>
    <w:pPr>
      <w:numPr>
        <w:ilvl w:val="1"/>
        <w:numId w:val="13"/>
      </w:numPr>
      <w:outlineLvl w:val="1"/>
    </w:pPr>
  </w:style>
  <w:style w:type="paragraph" w:customStyle="1" w:styleId="NumPar3">
    <w:name w:val="NumPar 3"/>
    <w:basedOn w:val="Normal"/>
    <w:next w:val="Text1"/>
    <w:rsid w:val="00A76CDC"/>
    <w:pPr>
      <w:numPr>
        <w:ilvl w:val="2"/>
        <w:numId w:val="13"/>
      </w:numPr>
      <w:outlineLvl w:val="2"/>
    </w:pPr>
  </w:style>
  <w:style w:type="paragraph" w:customStyle="1" w:styleId="NumPar4">
    <w:name w:val="NumPar 4"/>
    <w:basedOn w:val="Normal"/>
    <w:next w:val="Text1"/>
    <w:rsid w:val="00A76CDC"/>
    <w:pPr>
      <w:numPr>
        <w:ilvl w:val="3"/>
        <w:numId w:val="1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5"/>
      </w:numPr>
    </w:pPr>
  </w:style>
  <w:style w:type="paragraph" w:customStyle="1" w:styleId="Point1number">
    <w:name w:val="Point 1 (number)"/>
    <w:basedOn w:val="Normal"/>
    <w:rsid w:val="00A76CDC"/>
    <w:pPr>
      <w:numPr>
        <w:ilvl w:val="2"/>
        <w:numId w:val="15"/>
      </w:numPr>
      <w:outlineLvl w:val="0"/>
    </w:pPr>
  </w:style>
  <w:style w:type="paragraph" w:customStyle="1" w:styleId="Point2number">
    <w:name w:val="Point 2 (number)"/>
    <w:basedOn w:val="Normal"/>
    <w:rsid w:val="00A76CDC"/>
    <w:pPr>
      <w:numPr>
        <w:ilvl w:val="4"/>
        <w:numId w:val="15"/>
      </w:numPr>
      <w:outlineLvl w:val="1"/>
    </w:pPr>
  </w:style>
  <w:style w:type="paragraph" w:customStyle="1" w:styleId="Point3number">
    <w:name w:val="Point 3 (number)"/>
    <w:basedOn w:val="Normal"/>
    <w:rsid w:val="00A76CDC"/>
    <w:pPr>
      <w:numPr>
        <w:ilvl w:val="6"/>
        <w:numId w:val="15"/>
      </w:numPr>
      <w:outlineLvl w:val="2"/>
    </w:pPr>
  </w:style>
  <w:style w:type="paragraph" w:customStyle="1" w:styleId="Point0letter">
    <w:name w:val="Point 0 (letter)"/>
    <w:basedOn w:val="Normal"/>
    <w:rsid w:val="00A76CDC"/>
    <w:pPr>
      <w:numPr>
        <w:ilvl w:val="1"/>
        <w:numId w:val="15"/>
      </w:numPr>
    </w:pPr>
  </w:style>
  <w:style w:type="paragraph" w:customStyle="1" w:styleId="Point1letter">
    <w:name w:val="Point 1 (letter)"/>
    <w:basedOn w:val="Normal"/>
    <w:rsid w:val="00A76CDC"/>
    <w:pPr>
      <w:numPr>
        <w:ilvl w:val="3"/>
        <w:numId w:val="15"/>
      </w:numPr>
      <w:outlineLvl w:val="0"/>
    </w:pPr>
  </w:style>
  <w:style w:type="paragraph" w:customStyle="1" w:styleId="Point2letter">
    <w:name w:val="Point 2 (letter)"/>
    <w:basedOn w:val="Normal"/>
    <w:rsid w:val="00A76CDC"/>
    <w:pPr>
      <w:numPr>
        <w:ilvl w:val="5"/>
        <w:numId w:val="15"/>
      </w:numPr>
      <w:outlineLvl w:val="1"/>
    </w:pPr>
  </w:style>
  <w:style w:type="paragraph" w:customStyle="1" w:styleId="Point3letter">
    <w:name w:val="Point 3 (letter)"/>
    <w:basedOn w:val="Normal"/>
    <w:rsid w:val="00A76CDC"/>
    <w:pPr>
      <w:numPr>
        <w:ilvl w:val="7"/>
        <w:numId w:val="15"/>
      </w:numPr>
      <w:outlineLvl w:val="2"/>
    </w:pPr>
  </w:style>
  <w:style w:type="paragraph" w:customStyle="1" w:styleId="Point4letter">
    <w:name w:val="Point 4 (letter)"/>
    <w:basedOn w:val="Normal"/>
    <w:rsid w:val="00A76CDC"/>
    <w:pPr>
      <w:numPr>
        <w:ilvl w:val="8"/>
        <w:numId w:val="15"/>
      </w:numPr>
      <w:outlineLvl w:val="3"/>
    </w:pPr>
  </w:style>
  <w:style w:type="paragraph" w:customStyle="1" w:styleId="Bullet0">
    <w:name w:val="Bullet 0"/>
    <w:basedOn w:val="Normal"/>
    <w:rsid w:val="00A76CDC"/>
    <w:pPr>
      <w:numPr>
        <w:numId w:val="16"/>
      </w:numPr>
    </w:pPr>
  </w:style>
  <w:style w:type="paragraph" w:customStyle="1" w:styleId="Bullet1">
    <w:name w:val="Bullet 1"/>
    <w:basedOn w:val="Normal"/>
    <w:rsid w:val="00A76CDC"/>
    <w:pPr>
      <w:numPr>
        <w:numId w:val="17"/>
      </w:numPr>
      <w:outlineLvl w:val="0"/>
    </w:pPr>
  </w:style>
  <w:style w:type="paragraph" w:customStyle="1" w:styleId="Bullet2">
    <w:name w:val="Bullet 2"/>
    <w:basedOn w:val="Normal"/>
    <w:rsid w:val="00A76CDC"/>
    <w:pPr>
      <w:numPr>
        <w:numId w:val="18"/>
      </w:numPr>
      <w:outlineLvl w:val="1"/>
    </w:pPr>
  </w:style>
  <w:style w:type="paragraph" w:customStyle="1" w:styleId="Bullet3">
    <w:name w:val="Bullet 3"/>
    <w:basedOn w:val="Normal"/>
    <w:rsid w:val="00A76CDC"/>
    <w:pPr>
      <w:numPr>
        <w:numId w:val="19"/>
      </w:numPr>
      <w:outlineLvl w:val="2"/>
    </w:pPr>
  </w:style>
  <w:style w:type="paragraph" w:customStyle="1" w:styleId="Bullet4">
    <w:name w:val="Bullet 4"/>
    <w:basedOn w:val="Normal"/>
    <w:rsid w:val="00A76CDC"/>
    <w:pPr>
      <w:numPr>
        <w:numId w:val="2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06877"/>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30296">
      <w:bodyDiv w:val="1"/>
      <w:marLeft w:val="0"/>
      <w:marRight w:val="0"/>
      <w:marTop w:val="0"/>
      <w:marBottom w:val="0"/>
      <w:divBdr>
        <w:top w:val="none" w:sz="0" w:space="0" w:color="auto"/>
        <w:left w:val="none" w:sz="0" w:space="0" w:color="auto"/>
        <w:bottom w:val="none" w:sz="0" w:space="0" w:color="auto"/>
        <w:right w:val="none" w:sz="0" w:space="0" w:color="auto"/>
      </w:divBdr>
    </w:div>
    <w:div w:id="811604911">
      <w:bodyDiv w:val="1"/>
      <w:marLeft w:val="0"/>
      <w:marRight w:val="0"/>
      <w:marTop w:val="0"/>
      <w:marBottom w:val="0"/>
      <w:divBdr>
        <w:top w:val="none" w:sz="0" w:space="0" w:color="auto"/>
        <w:left w:val="none" w:sz="0" w:space="0" w:color="auto"/>
        <w:bottom w:val="none" w:sz="0" w:space="0" w:color="auto"/>
        <w:right w:val="none" w:sz="0" w:space="0" w:color="auto"/>
      </w:divBdr>
    </w:div>
    <w:div w:id="1740857967">
      <w:bodyDiv w:val="1"/>
      <w:marLeft w:val="0"/>
      <w:marRight w:val="0"/>
      <w:marTop w:val="0"/>
      <w:marBottom w:val="0"/>
      <w:divBdr>
        <w:top w:val="none" w:sz="0" w:space="0" w:color="auto"/>
        <w:left w:val="none" w:sz="0" w:space="0" w:color="auto"/>
        <w:bottom w:val="none" w:sz="0" w:space="0" w:color="auto"/>
        <w:right w:val="none" w:sz="0" w:space="0" w:color="auto"/>
      </w:divBdr>
      <w:divsChild>
        <w:div w:id="400905386">
          <w:marLeft w:val="0"/>
          <w:marRight w:val="0"/>
          <w:marTop w:val="120"/>
          <w:marBottom w:val="240"/>
          <w:divBdr>
            <w:top w:val="none" w:sz="0" w:space="0" w:color="auto"/>
            <w:left w:val="none" w:sz="0" w:space="0" w:color="auto"/>
            <w:bottom w:val="none" w:sz="0" w:space="0" w:color="auto"/>
            <w:right w:val="none" w:sz="0" w:space="0" w:color="auto"/>
          </w:divBdr>
        </w:div>
        <w:div w:id="290552480">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10711-2015-INIT/x/pdf" TargetMode="External"/><Relationship Id="rId39" Type="http://schemas.openxmlformats.org/officeDocument/2006/relationships/hyperlink" Target="http://eur-lex.europa.eu/legal-content/FR/TXT/PDF/?uri=CELEX:32011R1343&amp;from=FR" TargetMode="External"/><Relationship Id="rId21" Type="http://schemas.openxmlformats.org/officeDocument/2006/relationships/hyperlink" Target="http://data.consilium.europa.eu/doc/document/ST-8356-2015-INIT/fr/pdf" TargetMode="External"/><Relationship Id="rId34" Type="http://schemas.openxmlformats.org/officeDocument/2006/relationships/hyperlink" Target="http://data.consilium.europa.eu/doc/document/ST-10655-2015-INIT/en/pdf" TargetMode="External"/><Relationship Id="rId42" Type="http://schemas.openxmlformats.org/officeDocument/2006/relationships/hyperlink" Target="http://data.consilium.europa.eu/doc/document/ST-8589-2015-INIT/fr/pdf" TargetMode="External"/><Relationship Id="rId47" Type="http://schemas.openxmlformats.org/officeDocument/2006/relationships/hyperlink" Target="http://data.consilium.europa.eu/doc/document/ST-9957-2015-INIT/fr/pdf" TargetMode="External"/><Relationship Id="rId50" Type="http://schemas.openxmlformats.org/officeDocument/2006/relationships/hyperlink" Target="http://data.consilium.europa.eu/doc/document/ST-8282-2015-INIT/fr/pdf" TargetMode="External"/><Relationship Id="rId55" Type="http://schemas.openxmlformats.org/officeDocument/2006/relationships/hyperlink" Target="http://data.consilium.europa.eu/doc/document/ST-10400-2014-REV-5/fr/pdf" TargetMode="External"/><Relationship Id="rId63" Type="http://schemas.openxmlformats.org/officeDocument/2006/relationships/hyperlink" Target="http://data.consilium.europa.eu/doc/document/ST-9533-2015-INIT/fr/pdf"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data.consilium.europa.eu/doc/document/ST-5958-2014-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0613-2015-INIT/FR/pdf" TargetMode="External"/><Relationship Id="rId32" Type="http://schemas.openxmlformats.org/officeDocument/2006/relationships/hyperlink" Target="http://data.consilium.europa.eu/doc/document/ST-10709-2015-INIT/en/pdf" TargetMode="External"/><Relationship Id="rId37" Type="http://schemas.openxmlformats.org/officeDocument/2006/relationships/hyperlink" Target="http://eur-lex.europa.eu/legal-content/FR/TXT/PDF/?uri=CELEX:32011R1343&amp;from=FR" TargetMode="External"/><Relationship Id="rId40" Type="http://schemas.openxmlformats.org/officeDocument/2006/relationships/hyperlink" Target="http://www.consilium.europa.eu/fr/press/press-releases/2015/05/13-eucap-sahel-niger/" TargetMode="External"/><Relationship Id="rId45" Type="http://schemas.openxmlformats.org/officeDocument/2006/relationships/hyperlink" Target="http://data.consilium.europa.eu/doc/document/ST-9957-2015-ADD-1/fr/pdf" TargetMode="External"/><Relationship Id="rId53" Type="http://schemas.openxmlformats.org/officeDocument/2006/relationships/hyperlink" Target="http://data.consilium.europa.eu/doc/document/ST-10390-2015-ADD-1-REV-2/fr/pdf" TargetMode="External"/><Relationship Id="rId58" Type="http://schemas.openxmlformats.org/officeDocument/2006/relationships/hyperlink" Target="http://eur-lex.europa.eu/LexUriServ/LexUriServ.do?uri=OJ:L:2009:076:0003:0016:fr:PDF" TargetMode="External"/><Relationship Id="rId66" Type="http://schemas.openxmlformats.org/officeDocument/2006/relationships/hyperlink" Target="http://data.consilium.europa.eu/doc/document/ST-9564-2015-INIT/fr/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ur-lex.europa.eu/legal-content/FR/TXT/PDF/?uri=CELEX:32015L0412&amp;from=FR" TargetMode="External"/><Relationship Id="rId28" Type="http://schemas.openxmlformats.org/officeDocument/2006/relationships/hyperlink" Target="http://data.consilium.europa.eu/doc/document/ST-10620-2015-INIT/fr/pdf" TargetMode="External"/><Relationship Id="rId36" Type="http://schemas.openxmlformats.org/officeDocument/2006/relationships/hyperlink" Target="http://data.consilium.europa.eu/doc/document/ST-10698-2015-INIT/en/pdf" TargetMode="External"/><Relationship Id="rId49" Type="http://schemas.openxmlformats.org/officeDocument/2006/relationships/hyperlink" Target="http://www.consilium.europa.eu/fr/press/press-releases/2015/06/10-trade-marks/" TargetMode="External"/><Relationship Id="rId57" Type="http://schemas.openxmlformats.org/officeDocument/2006/relationships/hyperlink" Target="http://data.consilium.europa.eu/doc/document/ST-8756-2015-INIT/fr/pdf" TargetMode="External"/><Relationship Id="rId61" Type="http://schemas.openxmlformats.org/officeDocument/2006/relationships/hyperlink" Target="http://data.consilium.europa.eu/doc/document/ST-9533-2015-INIT/fr/pdf" TargetMode="External"/><Relationship Id="rId10" Type="http://schemas.openxmlformats.org/officeDocument/2006/relationships/header" Target="header1.xml"/><Relationship Id="rId19" Type="http://schemas.openxmlformats.org/officeDocument/2006/relationships/hyperlink" Target="http://data.consilium.europa.eu/doc/document/ST-10690-2015-INIT/fr/pdf" TargetMode="External"/><Relationship Id="rId31" Type="http://schemas.openxmlformats.org/officeDocument/2006/relationships/hyperlink" Target="http://data.consilium.europa.eu/doc/document/ST-14533-2014-INIT/fr/pdf" TargetMode="External"/><Relationship Id="rId44" Type="http://schemas.openxmlformats.org/officeDocument/2006/relationships/hyperlink" Target="http://data.consilium.europa.eu/doc/document/PE-8-2015-INIT/fr/pdf" TargetMode="External"/><Relationship Id="rId52" Type="http://schemas.openxmlformats.org/officeDocument/2006/relationships/hyperlink" Target="http://data.consilium.europa.eu/doc/document/PE-28-2015-INIT/fr/pdf" TargetMode="External"/><Relationship Id="rId60" Type="http://schemas.openxmlformats.org/officeDocument/2006/relationships/hyperlink" Target="http://eur-lex.europa.eu/LexUriServ/LexUriServ.do?uri=OJ:L:2012:342:0001:0022:fr:PDF" TargetMode="External"/><Relationship Id="rId65" Type="http://schemas.openxmlformats.org/officeDocument/2006/relationships/hyperlink" Target="http://data.consilium.europa.eu/doc/document/ST-9546-2015-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10569-2015-INIT/fr/pdf" TargetMode="External"/><Relationship Id="rId27" Type="http://schemas.openxmlformats.org/officeDocument/2006/relationships/hyperlink" Target="http://data.consilium.europa.eu/doc/document/ST-10710-2015-INIT/en/pdf" TargetMode="External"/><Relationship Id="rId30" Type="http://schemas.openxmlformats.org/officeDocument/2006/relationships/hyperlink" Target="http://data.consilium.europa.eu/doc/document/ST-6054-2014-INIT/fr/pdf" TargetMode="External"/><Relationship Id="rId35" Type="http://schemas.openxmlformats.org/officeDocument/2006/relationships/hyperlink" Target="http://data.consilium.europa.eu/doc/document/ST-10657-2015-INIT/en/pdf" TargetMode="External"/><Relationship Id="rId43" Type="http://schemas.openxmlformats.org/officeDocument/2006/relationships/hyperlink" Target="http://data.consilium.europa.eu/doc/document/ST-9477-2015-INIT/fr/pdf" TargetMode="External"/><Relationship Id="rId48" Type="http://schemas.openxmlformats.org/officeDocument/2006/relationships/hyperlink" Target="http://www.consilium.europa.eu/fr/press/press-releases/2015/04/21-trade-marks-reform-presidency-secures-provisional-agreement/" TargetMode="External"/><Relationship Id="rId56" Type="http://schemas.openxmlformats.org/officeDocument/2006/relationships/hyperlink" Target="http://data.consilium.europa.eu/doc/document/ST-10883-2014-REV-5/fr/pdf" TargetMode="External"/><Relationship Id="rId64" Type="http://schemas.openxmlformats.org/officeDocument/2006/relationships/hyperlink" Target="http://data.consilium.europa.eu/doc/document/ST-9222-2015-INIT/fr/pdf" TargetMode="External"/><Relationship Id="rId8" Type="http://schemas.openxmlformats.org/officeDocument/2006/relationships/endnotes" Target="endnotes.xml"/><Relationship Id="rId51" Type="http://schemas.openxmlformats.org/officeDocument/2006/relationships/hyperlink" Target="http://data.consilium.europa.eu/doc/document/ST-8284-2015-INIT/fr/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10707-2015-INIT/en/pdf" TargetMode="External"/><Relationship Id="rId33" Type="http://schemas.openxmlformats.org/officeDocument/2006/relationships/hyperlink" Target="http://data.consilium.europa.eu/doc/document/ST-10505-2015-INIT/en/pdf" TargetMode="External"/><Relationship Id="rId38" Type="http://schemas.openxmlformats.org/officeDocument/2006/relationships/hyperlink" Target="http://data.consilium.europa.eu/doc/document/ST-8806-2015-INIT/fr/pdf" TargetMode="External"/><Relationship Id="rId46" Type="http://schemas.openxmlformats.org/officeDocument/2006/relationships/hyperlink" Target="http://data.consilium.europa.eu/doc/document/ST-9957-2015-ADD-2/fr/pdf" TargetMode="External"/><Relationship Id="rId59" Type="http://schemas.openxmlformats.org/officeDocument/2006/relationships/hyperlink" Target="http://eur-lex.europa.eu/LexUriServ/LexUriServ.do?uri=OJ:L:2009:076:0017:0044:fr:PDF" TargetMode="External"/><Relationship Id="rId67" Type="http://schemas.openxmlformats.org/officeDocument/2006/relationships/fontTable" Target="fontTable.xml"/><Relationship Id="rId20" Type="http://schemas.openxmlformats.org/officeDocument/2006/relationships/hyperlink" Target="http://data.consilium.europa.eu/doc/document/ST-8344-2015-INIT/fr/pdf" TargetMode="External"/><Relationship Id="rId41" Type="http://schemas.openxmlformats.org/officeDocument/2006/relationships/hyperlink" Target="http://www.consilium.europa.eu/fr/press/press-releases/2015/07/13-deficit-data-valencia/" TargetMode="External"/><Relationship Id="rId54" Type="http://schemas.openxmlformats.org/officeDocument/2006/relationships/hyperlink" Target="http://www.consilium.europa.eu/fr/press/press-releases/2015/04/28-preparing-transition-advanced-biofuels/" TargetMode="External"/><Relationship Id="rId62" Type="http://schemas.openxmlformats.org/officeDocument/2006/relationships/hyperlink" Target="http://data.consilium.europa.eu/doc/document/ST-9044-2015-INIT/fr/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FR/TXT/?uri=CELEX:32006D0512" TargetMode="External"/><Relationship Id="rId1" Type="http://schemas.openxmlformats.org/officeDocument/2006/relationships/hyperlink" Target="http://eur-lex.europa.eu/legal-content/FR/TXT/?uri=OJ:L:1999:18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EC02-6EA7-44B5-A280-B0499051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16</Pages>
  <Words>5876</Words>
  <Characters>32323</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CRESPO PARRONDO Ana</dc:creator>
  <cp:lastModifiedBy>FORTAN Kelly</cp:lastModifiedBy>
  <cp:revision>2</cp:revision>
  <cp:lastPrinted>2015-08-06T09:23:00Z</cp:lastPrinted>
  <dcterms:created xsi:type="dcterms:W3CDTF">2015-08-06T09:25:00Z</dcterms:created>
  <dcterms:modified xsi:type="dcterms:W3CDTF">2015-08-06T09:25:00Z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