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AB" w:rsidRPr="00605D3C" w:rsidRDefault="00605D3C" w:rsidP="00605D3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2b28d0d-76c8-4809-90aa-24814b074788_0" style="width:573.95pt;height:458.5pt">
            <v:imagedata r:id="rId9" o:title=""/>
          </v:shape>
        </w:pict>
      </w:r>
      <w:bookmarkEnd w:id="0"/>
    </w:p>
    <w:p w:rsidR="00725EF5" w:rsidRPr="00096CB5" w:rsidRDefault="00725EF5" w:rsidP="00725EF5">
      <w:pPr>
        <w:pStyle w:val="TechnicalBlock"/>
        <w:ind w:left="-1134" w:right="-1134"/>
        <w:sectPr w:rsidR="00725EF5" w:rsidRPr="00096CB5" w:rsidSect="00096CB5">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B5753D" w:rsidRPr="00096CB5" w:rsidRDefault="00626B1A" w:rsidP="00626B1A">
      <w:pPr>
        <w:pStyle w:val="TOCHeading"/>
      </w:pPr>
      <w:r w:rsidRPr="00096CB5">
        <w:lastRenderedPageBreak/>
        <w:t>TABLE DES MATIERES</w:t>
      </w:r>
      <w:r w:rsidR="00D0289B" w:rsidRPr="00D0289B">
        <w:rPr>
          <w:vertAlign w:val="superscript"/>
        </w:rPr>
        <w:t>1</w:t>
      </w:r>
    </w:p>
    <w:p w:rsidR="00626B1A" w:rsidRPr="00096CB5" w:rsidRDefault="00626B1A" w:rsidP="00626B1A">
      <w:pPr>
        <w:pStyle w:val="TOC5"/>
      </w:pPr>
      <w:r w:rsidRPr="00096CB5">
        <w:t>POINTS AYANT FAIT L'OBJET D'UN DÉBAT</w:t>
      </w:r>
    </w:p>
    <w:p w:rsidR="00626B1A" w:rsidRPr="00096CB5" w:rsidRDefault="00626B1A" w:rsidP="00D0289B">
      <w:pPr>
        <w:pStyle w:val="TOC7"/>
        <w:keepNext/>
        <w:rPr>
          <w:rFonts w:asciiTheme="minorHAnsi" w:eastAsiaTheme="minorEastAsia" w:hAnsiTheme="minorHAnsi" w:cstheme="minorBidi"/>
          <w:noProof/>
          <w:sz w:val="22"/>
          <w:szCs w:val="22"/>
        </w:rPr>
      </w:pPr>
      <w:r w:rsidRPr="00096CB5">
        <w:t>L'après-2015 / Financement du Développement</w:t>
      </w:r>
      <w:r w:rsidR="00D0289B">
        <w:tab/>
      </w:r>
      <w:r w:rsidRPr="00096CB5">
        <w:rPr>
          <w:noProof/>
        </w:rPr>
        <w:fldChar w:fldCharType="begin"/>
      </w:r>
      <w:r w:rsidRPr="00096CB5">
        <w:rPr>
          <w:noProof/>
        </w:rPr>
        <w:instrText xml:space="preserve"> PAGEREF \h _Toc426374846 \* MERGEFORMAT </w:instrText>
      </w:r>
      <w:r w:rsidRPr="00096CB5">
        <w:rPr>
          <w:noProof/>
        </w:rPr>
      </w:r>
      <w:r w:rsidRPr="00096CB5">
        <w:rPr>
          <w:noProof/>
        </w:rPr>
        <w:fldChar w:fldCharType="separate"/>
      </w:r>
      <w:r w:rsidR="00605D3C">
        <w:rPr>
          <w:noProof/>
        </w:rPr>
        <w:t>3</w:t>
      </w:r>
      <w:r w:rsidRPr="00096CB5">
        <w:rPr>
          <w:noProof/>
        </w:rPr>
        <w:fldChar w:fldCharType="end"/>
      </w:r>
    </w:p>
    <w:p w:rsidR="00626B1A" w:rsidRPr="00096CB5" w:rsidRDefault="00626B1A" w:rsidP="00626B1A">
      <w:pPr>
        <w:pStyle w:val="TOC7"/>
        <w:keepNext/>
        <w:rPr>
          <w:rFonts w:asciiTheme="minorHAnsi" w:eastAsiaTheme="minorEastAsia" w:hAnsiTheme="minorHAnsi" w:cstheme="minorBidi"/>
          <w:noProof/>
          <w:sz w:val="22"/>
          <w:szCs w:val="22"/>
        </w:rPr>
      </w:pPr>
      <w:r w:rsidRPr="00096CB5">
        <w:t>Égalité hommes-femmes dans le cadre du développement</w:t>
      </w:r>
      <w:r w:rsidR="00D0289B">
        <w:tab/>
      </w:r>
      <w:r w:rsidRPr="00096CB5">
        <w:rPr>
          <w:noProof/>
        </w:rPr>
        <w:fldChar w:fldCharType="begin"/>
      </w:r>
      <w:r w:rsidRPr="00096CB5">
        <w:rPr>
          <w:noProof/>
        </w:rPr>
        <w:instrText xml:space="preserve"> PAGEREF \h _Toc426374847 \* MERGEFORMAT </w:instrText>
      </w:r>
      <w:r w:rsidRPr="00096CB5">
        <w:rPr>
          <w:noProof/>
        </w:rPr>
      </w:r>
      <w:r w:rsidRPr="00096CB5">
        <w:rPr>
          <w:noProof/>
        </w:rPr>
        <w:fldChar w:fldCharType="separate"/>
      </w:r>
      <w:r w:rsidR="00605D3C">
        <w:rPr>
          <w:noProof/>
        </w:rPr>
        <w:t>3</w:t>
      </w:r>
      <w:r w:rsidRPr="00096CB5">
        <w:rPr>
          <w:noProof/>
        </w:rPr>
        <w:fldChar w:fldCharType="end"/>
      </w:r>
    </w:p>
    <w:p w:rsidR="00626B1A" w:rsidRPr="00096CB5" w:rsidRDefault="00626B1A" w:rsidP="00626B1A">
      <w:pPr>
        <w:pStyle w:val="TOC7"/>
      </w:pPr>
      <w:r w:rsidRPr="00096CB5">
        <w:t>Migration et développement</w:t>
      </w:r>
      <w:r w:rsidR="00D0289B">
        <w:tab/>
      </w:r>
      <w:r w:rsidRPr="00096CB5">
        <w:rPr>
          <w:noProof/>
        </w:rPr>
        <w:fldChar w:fldCharType="begin"/>
      </w:r>
      <w:r w:rsidRPr="00096CB5">
        <w:rPr>
          <w:noProof/>
        </w:rPr>
        <w:instrText xml:space="preserve"> PAGEREF \h _Toc426374848 \* MERGEFORMAT </w:instrText>
      </w:r>
      <w:r w:rsidRPr="00096CB5">
        <w:rPr>
          <w:noProof/>
        </w:rPr>
      </w:r>
      <w:r w:rsidRPr="00096CB5">
        <w:rPr>
          <w:noProof/>
        </w:rPr>
        <w:fldChar w:fldCharType="separate"/>
      </w:r>
      <w:r w:rsidR="00605D3C">
        <w:rPr>
          <w:noProof/>
        </w:rPr>
        <w:t>4</w:t>
      </w:r>
      <w:r w:rsidRPr="00096CB5">
        <w:rPr>
          <w:noProof/>
        </w:rPr>
        <w:fldChar w:fldCharType="end"/>
      </w:r>
    </w:p>
    <w:p w:rsidR="00626B1A" w:rsidRPr="00096CB5" w:rsidRDefault="00626B1A" w:rsidP="00626B1A">
      <w:pPr>
        <w:pStyle w:val="TOC5"/>
      </w:pPr>
      <w:r w:rsidRPr="00096CB5">
        <w:t>AUTRES POINTS APPROUVÉS</w:t>
      </w:r>
    </w:p>
    <w:p w:rsidR="00626B1A" w:rsidRPr="00096CB5" w:rsidRDefault="00626B1A" w:rsidP="00626B1A">
      <w:pPr>
        <w:pStyle w:val="TOC8"/>
        <w:rPr>
          <w:rFonts w:asciiTheme="minorHAnsi" w:eastAsiaTheme="minorEastAsia" w:hAnsiTheme="minorHAnsi" w:cstheme="minorBidi"/>
          <w:i w:val="0"/>
          <w:noProof/>
          <w:sz w:val="22"/>
          <w:szCs w:val="22"/>
        </w:rPr>
      </w:pPr>
      <w:r w:rsidRPr="00096CB5">
        <w:t>COOPÉRATION AU DÉVELOPPEMENT</w:t>
      </w:r>
    </w:p>
    <w:p w:rsidR="00626B1A" w:rsidRPr="00096CB5" w:rsidRDefault="00626B1A" w:rsidP="00B13299">
      <w:pPr>
        <w:pStyle w:val="TOC9"/>
        <w:keepNext/>
        <w:numPr>
          <w:ilvl w:val="0"/>
          <w:numId w:val="2"/>
        </w:numPr>
        <w:rPr>
          <w:rFonts w:asciiTheme="minorHAnsi" w:eastAsiaTheme="minorEastAsia" w:hAnsiTheme="minorHAnsi" w:cstheme="minorBidi"/>
          <w:noProof/>
          <w:sz w:val="22"/>
          <w:szCs w:val="22"/>
        </w:rPr>
      </w:pPr>
      <w:r w:rsidRPr="00096CB5">
        <w:t>Rapport annuel concernant les objectifs d'aide au développement de l'UE</w:t>
      </w:r>
      <w:r w:rsidR="00D0289B">
        <w:tab/>
      </w:r>
      <w:r w:rsidRPr="00096CB5">
        <w:rPr>
          <w:noProof/>
        </w:rPr>
        <w:fldChar w:fldCharType="begin"/>
      </w:r>
      <w:r w:rsidRPr="00096CB5">
        <w:rPr>
          <w:noProof/>
        </w:rPr>
        <w:instrText xml:space="preserve"> PAGEREF \h _Toc426374850 \* MERGEFORMAT </w:instrText>
      </w:r>
      <w:r w:rsidRPr="00096CB5">
        <w:rPr>
          <w:noProof/>
        </w:rPr>
      </w:r>
      <w:r w:rsidRPr="00096CB5">
        <w:rPr>
          <w:noProof/>
        </w:rPr>
        <w:fldChar w:fldCharType="separate"/>
      </w:r>
      <w:r w:rsidR="00605D3C">
        <w:rPr>
          <w:noProof/>
        </w:rPr>
        <w:t>5</w:t>
      </w:r>
      <w:r w:rsidRPr="00096CB5">
        <w:rPr>
          <w:noProof/>
        </w:rPr>
        <w:fldChar w:fldCharType="end"/>
      </w:r>
    </w:p>
    <w:p w:rsidR="00626B1A" w:rsidRPr="00096CB5" w:rsidRDefault="00626B1A" w:rsidP="00626B1A">
      <w:pPr>
        <w:pStyle w:val="TOC9"/>
        <w:keepNext/>
        <w:rPr>
          <w:rFonts w:asciiTheme="minorHAnsi" w:eastAsiaTheme="minorEastAsia" w:hAnsiTheme="minorHAnsi" w:cstheme="minorBidi"/>
          <w:noProof/>
          <w:sz w:val="22"/>
          <w:szCs w:val="22"/>
        </w:rPr>
      </w:pPr>
      <w:r w:rsidRPr="00096CB5">
        <w:t>Engagements stratégiques de l'UE en matière de sécurité alimentaire et nutritionnelle</w:t>
      </w:r>
      <w:r w:rsidR="00D0289B">
        <w:tab/>
      </w:r>
      <w:r w:rsidRPr="00096CB5">
        <w:rPr>
          <w:noProof/>
        </w:rPr>
        <w:fldChar w:fldCharType="begin"/>
      </w:r>
      <w:r w:rsidRPr="00096CB5">
        <w:rPr>
          <w:noProof/>
        </w:rPr>
        <w:instrText xml:space="preserve"> PAGEREF \h _Toc426374851 \* MERGEFORMAT </w:instrText>
      </w:r>
      <w:r w:rsidRPr="00096CB5">
        <w:rPr>
          <w:noProof/>
        </w:rPr>
      </w:r>
      <w:r w:rsidRPr="00096CB5">
        <w:rPr>
          <w:noProof/>
        </w:rPr>
        <w:fldChar w:fldCharType="separate"/>
      </w:r>
      <w:r w:rsidR="00605D3C">
        <w:rPr>
          <w:noProof/>
        </w:rPr>
        <w:t>5</w:t>
      </w:r>
      <w:r w:rsidRPr="00096CB5">
        <w:rPr>
          <w:noProof/>
        </w:rPr>
        <w:fldChar w:fldCharType="end"/>
      </w:r>
    </w:p>
    <w:p w:rsidR="00626B1A" w:rsidRPr="00096CB5" w:rsidRDefault="00626B1A" w:rsidP="00626B1A">
      <w:pPr>
        <w:pStyle w:val="TOC9"/>
        <w:keepNext/>
        <w:rPr>
          <w:rFonts w:asciiTheme="minorHAnsi" w:eastAsiaTheme="minorEastAsia" w:hAnsiTheme="minorHAnsi" w:cstheme="minorBidi"/>
          <w:noProof/>
          <w:sz w:val="22"/>
          <w:szCs w:val="22"/>
        </w:rPr>
      </w:pPr>
      <w:r w:rsidRPr="00096CB5">
        <w:t>Aide apportée par l'UE à la suite du tremblement de terre en Haïti - Conclusions du Conseil sur le rapport de la Cour des comptes</w:t>
      </w:r>
      <w:r w:rsidR="00D0289B">
        <w:tab/>
      </w:r>
      <w:r w:rsidRPr="00096CB5">
        <w:rPr>
          <w:noProof/>
        </w:rPr>
        <w:fldChar w:fldCharType="begin"/>
      </w:r>
      <w:r w:rsidRPr="00096CB5">
        <w:rPr>
          <w:noProof/>
        </w:rPr>
        <w:instrText xml:space="preserve"> PAGEREF \h _Toc426374852 \* MERGEFORMAT </w:instrText>
      </w:r>
      <w:r w:rsidRPr="00096CB5">
        <w:rPr>
          <w:noProof/>
        </w:rPr>
      </w:r>
      <w:r w:rsidRPr="00096CB5">
        <w:rPr>
          <w:noProof/>
        </w:rPr>
        <w:fldChar w:fldCharType="separate"/>
      </w:r>
      <w:r w:rsidR="00605D3C">
        <w:rPr>
          <w:noProof/>
        </w:rPr>
        <w:t>8</w:t>
      </w:r>
      <w:r w:rsidRPr="00096CB5">
        <w:rPr>
          <w:noProof/>
        </w:rPr>
        <w:fldChar w:fldCharType="end"/>
      </w:r>
    </w:p>
    <w:p w:rsidR="00626B1A" w:rsidRPr="00096CB5" w:rsidRDefault="00626B1A" w:rsidP="00626B1A">
      <w:pPr>
        <w:pStyle w:val="TOC9"/>
        <w:keepNext/>
        <w:rPr>
          <w:rFonts w:asciiTheme="minorHAnsi" w:eastAsiaTheme="minorEastAsia" w:hAnsiTheme="minorHAnsi" w:cstheme="minorBidi"/>
          <w:noProof/>
          <w:sz w:val="22"/>
          <w:szCs w:val="22"/>
        </w:rPr>
      </w:pPr>
      <w:r w:rsidRPr="00096CB5">
        <w:t>Coopération financière avec les pays tiers</w:t>
      </w:r>
      <w:r w:rsidR="00D0289B">
        <w:tab/>
      </w:r>
      <w:r w:rsidRPr="00096CB5">
        <w:rPr>
          <w:noProof/>
        </w:rPr>
        <w:fldChar w:fldCharType="begin"/>
      </w:r>
      <w:r w:rsidRPr="00096CB5">
        <w:rPr>
          <w:noProof/>
        </w:rPr>
        <w:instrText xml:space="preserve"> PAGEREF \h _Toc426374853 \* MERGEFORMAT </w:instrText>
      </w:r>
      <w:r w:rsidRPr="00096CB5">
        <w:rPr>
          <w:noProof/>
        </w:rPr>
      </w:r>
      <w:r w:rsidRPr="00096CB5">
        <w:rPr>
          <w:noProof/>
        </w:rPr>
        <w:fldChar w:fldCharType="separate"/>
      </w:r>
      <w:r w:rsidR="00605D3C">
        <w:rPr>
          <w:noProof/>
        </w:rPr>
        <w:t>10</w:t>
      </w:r>
      <w:r w:rsidRPr="00096CB5">
        <w:rPr>
          <w:noProof/>
        </w:rPr>
        <w:fldChar w:fldCharType="end"/>
      </w:r>
    </w:p>
    <w:p w:rsidR="00626B1A" w:rsidRPr="00096CB5" w:rsidRDefault="00626B1A" w:rsidP="00626B1A">
      <w:pPr>
        <w:pStyle w:val="TOC9"/>
        <w:keepNext/>
        <w:rPr>
          <w:rFonts w:asciiTheme="minorHAnsi" w:eastAsiaTheme="minorEastAsia" w:hAnsiTheme="minorHAnsi" w:cstheme="minorBidi"/>
          <w:noProof/>
          <w:sz w:val="22"/>
          <w:szCs w:val="22"/>
        </w:rPr>
      </w:pPr>
      <w:r w:rsidRPr="00096CB5">
        <w:t>Systèmes d'évaluation et de suivi d'EuropeAid</w:t>
      </w:r>
      <w:r w:rsidR="00D0289B">
        <w:tab/>
      </w:r>
      <w:r w:rsidRPr="00096CB5">
        <w:rPr>
          <w:noProof/>
        </w:rPr>
        <w:fldChar w:fldCharType="begin"/>
      </w:r>
      <w:r w:rsidRPr="00096CB5">
        <w:rPr>
          <w:noProof/>
        </w:rPr>
        <w:instrText xml:space="preserve"> PAGEREF \h _Toc426374854 \* MERGEFORMAT </w:instrText>
      </w:r>
      <w:r w:rsidRPr="00096CB5">
        <w:rPr>
          <w:noProof/>
        </w:rPr>
      </w:r>
      <w:r w:rsidRPr="00096CB5">
        <w:rPr>
          <w:noProof/>
        </w:rPr>
        <w:fldChar w:fldCharType="separate"/>
      </w:r>
      <w:r w:rsidR="00605D3C">
        <w:rPr>
          <w:noProof/>
        </w:rPr>
        <w:t>13</w:t>
      </w:r>
      <w:r w:rsidRPr="00096CB5">
        <w:rPr>
          <w:noProof/>
        </w:rPr>
        <w:fldChar w:fldCharType="end"/>
      </w:r>
    </w:p>
    <w:p w:rsidR="00626B1A" w:rsidRPr="00096CB5" w:rsidRDefault="00626B1A" w:rsidP="00626B1A">
      <w:pPr>
        <w:pStyle w:val="TOC9"/>
        <w:rPr>
          <w:rFonts w:asciiTheme="minorHAnsi" w:eastAsiaTheme="minorEastAsia" w:hAnsiTheme="minorHAnsi" w:cstheme="minorBidi"/>
          <w:noProof/>
          <w:sz w:val="22"/>
          <w:szCs w:val="22"/>
        </w:rPr>
      </w:pPr>
      <w:r w:rsidRPr="00096CB5">
        <w:t>Rapport sur les systèmes d'évaluation et de suivi axé sur les résultats d'EuropeAid</w:t>
      </w:r>
      <w:r w:rsidR="00D0289B">
        <w:tab/>
      </w:r>
      <w:r w:rsidRPr="00096CB5">
        <w:rPr>
          <w:noProof/>
        </w:rPr>
        <w:fldChar w:fldCharType="begin"/>
      </w:r>
      <w:r w:rsidRPr="00096CB5">
        <w:rPr>
          <w:noProof/>
        </w:rPr>
        <w:instrText xml:space="preserve"> PAGEREF \h _Toc426374855 \* MERGEFORMAT </w:instrText>
      </w:r>
      <w:r w:rsidRPr="00096CB5">
        <w:rPr>
          <w:noProof/>
        </w:rPr>
      </w:r>
      <w:r w:rsidRPr="00096CB5">
        <w:rPr>
          <w:noProof/>
        </w:rPr>
        <w:fldChar w:fldCharType="separate"/>
      </w:r>
      <w:r w:rsidR="00605D3C">
        <w:rPr>
          <w:noProof/>
        </w:rPr>
        <w:t>13</w:t>
      </w:r>
      <w:r w:rsidRPr="00096CB5">
        <w:rPr>
          <w:noProof/>
        </w:rPr>
        <w:fldChar w:fldCharType="end"/>
      </w:r>
    </w:p>
    <w:p w:rsidR="00626B1A" w:rsidRPr="00096CB5" w:rsidRDefault="00626B1A" w:rsidP="00626B1A">
      <w:pPr>
        <w:pStyle w:val="TOC8"/>
        <w:rPr>
          <w:rFonts w:asciiTheme="minorHAnsi" w:eastAsiaTheme="minorEastAsia" w:hAnsiTheme="minorHAnsi" w:cstheme="minorBidi"/>
          <w:i w:val="0"/>
          <w:noProof/>
          <w:sz w:val="22"/>
          <w:szCs w:val="22"/>
        </w:rPr>
      </w:pPr>
      <w:r w:rsidRPr="00096CB5">
        <w:t>AFFAIRES ÉTRANGÈRES</w:t>
      </w:r>
    </w:p>
    <w:p w:rsidR="00626B1A" w:rsidRPr="00096CB5" w:rsidRDefault="00626B1A" w:rsidP="00626B1A">
      <w:pPr>
        <w:pStyle w:val="TOC9"/>
        <w:keepNext/>
        <w:rPr>
          <w:rFonts w:asciiTheme="minorHAnsi" w:eastAsiaTheme="minorEastAsia" w:hAnsiTheme="minorHAnsi" w:cstheme="minorBidi"/>
          <w:noProof/>
          <w:sz w:val="22"/>
          <w:szCs w:val="22"/>
        </w:rPr>
      </w:pPr>
      <w:r w:rsidRPr="00096CB5">
        <w:t>Mesures restrictives au regard de la situation en Libye</w:t>
      </w:r>
      <w:r w:rsidR="00D0289B">
        <w:tab/>
      </w:r>
      <w:r w:rsidRPr="00096CB5">
        <w:rPr>
          <w:noProof/>
        </w:rPr>
        <w:fldChar w:fldCharType="begin"/>
      </w:r>
      <w:r w:rsidRPr="00096CB5">
        <w:rPr>
          <w:noProof/>
        </w:rPr>
        <w:instrText xml:space="preserve"> PAGEREF \h _Toc426374857 \* MERGEFORMAT </w:instrText>
      </w:r>
      <w:r w:rsidRPr="00096CB5">
        <w:rPr>
          <w:noProof/>
        </w:rPr>
      </w:r>
      <w:r w:rsidRPr="00096CB5">
        <w:rPr>
          <w:noProof/>
        </w:rPr>
        <w:fldChar w:fldCharType="separate"/>
      </w:r>
      <w:r w:rsidR="00605D3C">
        <w:rPr>
          <w:noProof/>
        </w:rPr>
        <w:t>14</w:t>
      </w:r>
      <w:r w:rsidRPr="00096CB5">
        <w:rPr>
          <w:noProof/>
        </w:rPr>
        <w:fldChar w:fldCharType="end"/>
      </w:r>
    </w:p>
    <w:p w:rsidR="00626B1A" w:rsidRPr="00096CB5" w:rsidRDefault="00626B1A" w:rsidP="00626B1A">
      <w:pPr>
        <w:pStyle w:val="TOC9"/>
        <w:rPr>
          <w:rFonts w:asciiTheme="minorHAnsi" w:eastAsiaTheme="minorEastAsia" w:hAnsiTheme="minorHAnsi" w:cstheme="minorBidi"/>
          <w:noProof/>
          <w:sz w:val="22"/>
          <w:szCs w:val="22"/>
        </w:rPr>
      </w:pPr>
      <w:r w:rsidRPr="00096CB5">
        <w:t>Accord entre l'UE et la Moldavie sur la sécurité des informations</w:t>
      </w:r>
      <w:r w:rsidR="00D0289B">
        <w:tab/>
      </w:r>
      <w:r w:rsidRPr="00096CB5">
        <w:rPr>
          <w:noProof/>
        </w:rPr>
        <w:fldChar w:fldCharType="begin"/>
      </w:r>
      <w:r w:rsidRPr="00096CB5">
        <w:rPr>
          <w:noProof/>
        </w:rPr>
        <w:instrText xml:space="preserve"> PAGEREF \h _Toc426374858 \* MERGEFORMAT </w:instrText>
      </w:r>
      <w:r w:rsidRPr="00096CB5">
        <w:rPr>
          <w:noProof/>
        </w:rPr>
      </w:r>
      <w:r w:rsidRPr="00096CB5">
        <w:rPr>
          <w:noProof/>
        </w:rPr>
        <w:fldChar w:fldCharType="separate"/>
      </w:r>
      <w:r w:rsidR="00605D3C">
        <w:rPr>
          <w:noProof/>
        </w:rPr>
        <w:t>14</w:t>
      </w:r>
      <w:r w:rsidRPr="00096CB5">
        <w:rPr>
          <w:noProof/>
        </w:rPr>
        <w:fldChar w:fldCharType="end"/>
      </w:r>
    </w:p>
    <w:p w:rsidR="00626B1A" w:rsidRPr="00096CB5" w:rsidRDefault="00626B1A" w:rsidP="00626B1A">
      <w:pPr>
        <w:pStyle w:val="TOC8"/>
        <w:rPr>
          <w:rFonts w:asciiTheme="minorHAnsi" w:eastAsiaTheme="minorEastAsia" w:hAnsiTheme="minorHAnsi" w:cstheme="minorBidi"/>
          <w:i w:val="0"/>
          <w:noProof/>
          <w:sz w:val="22"/>
          <w:szCs w:val="22"/>
        </w:rPr>
      </w:pPr>
      <w:r w:rsidRPr="00096CB5">
        <w:lastRenderedPageBreak/>
        <w:t>AFFAIRES ÉCONOMIQUES ET FINANCIÈRES</w:t>
      </w:r>
    </w:p>
    <w:p w:rsidR="00626B1A" w:rsidRPr="00096CB5" w:rsidRDefault="00626B1A" w:rsidP="00626B1A">
      <w:pPr>
        <w:pStyle w:val="TOC9"/>
      </w:pPr>
      <w:r w:rsidRPr="00096CB5">
        <w:t xml:space="preserve">Accord fiscal entre l'UE et la Suisse - Échange automatique d'informations </w:t>
      </w:r>
      <w:r w:rsidR="00D0289B">
        <w:tab/>
      </w:r>
      <w:r w:rsidRPr="00096CB5">
        <w:rPr>
          <w:noProof/>
        </w:rPr>
        <w:fldChar w:fldCharType="begin"/>
      </w:r>
      <w:r w:rsidRPr="00096CB5">
        <w:rPr>
          <w:noProof/>
        </w:rPr>
        <w:instrText xml:space="preserve"> PAGEREF \h _Toc426374860 \* MERGEFORMAT </w:instrText>
      </w:r>
      <w:r w:rsidRPr="00096CB5">
        <w:rPr>
          <w:noProof/>
        </w:rPr>
      </w:r>
      <w:r w:rsidRPr="00096CB5">
        <w:rPr>
          <w:noProof/>
        </w:rPr>
        <w:fldChar w:fldCharType="separate"/>
      </w:r>
      <w:r w:rsidR="00605D3C">
        <w:rPr>
          <w:noProof/>
        </w:rPr>
        <w:t>14</w:t>
      </w:r>
      <w:r w:rsidRPr="00096CB5">
        <w:rPr>
          <w:noProof/>
        </w:rPr>
        <w:fldChar w:fldCharType="end"/>
      </w:r>
    </w:p>
    <w:p w:rsidR="00626B1A" w:rsidRPr="00096CB5" w:rsidRDefault="00626B1A" w:rsidP="00725EF5">
      <w:pPr>
        <w:sectPr w:rsidR="00626B1A" w:rsidRPr="00096CB5" w:rsidSect="00096CB5">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725EF5" w:rsidRPr="00096CB5" w:rsidRDefault="00692D8D" w:rsidP="00692D8D">
      <w:pPr>
        <w:pStyle w:val="ItemsDebatedHeading"/>
      </w:pPr>
      <w:r w:rsidRPr="00096CB5">
        <w:t>POINTS AYANT FAIT L'OBJET D'UN DÉBAT</w:t>
      </w:r>
    </w:p>
    <w:p w:rsidR="00E71829" w:rsidRPr="00096CB5" w:rsidRDefault="00236758" w:rsidP="006A209F">
      <w:pPr>
        <w:pStyle w:val="Sub-itemDebated"/>
      </w:pPr>
      <w:bookmarkStart w:id="5" w:name="_Toc426374846"/>
      <w:r w:rsidRPr="00096CB5">
        <w:t>L'après-2015 / Financement du Développement</w:t>
      </w:r>
      <w:bookmarkEnd w:id="5"/>
    </w:p>
    <w:p w:rsidR="00653D4F" w:rsidRPr="00096CB5" w:rsidRDefault="00E01DD9" w:rsidP="006D5F8D">
      <w:r w:rsidRPr="00096CB5">
        <w:t xml:space="preserve">Le Conseil a adopté des conclusions intitulées </w:t>
      </w:r>
      <w:hyperlink r:id="rId15">
        <w:r w:rsidRPr="00096CB5">
          <w:rPr>
            <w:rStyle w:val="Hyperlink"/>
          </w:rPr>
          <w:t>"Un nouveau partenariat mondial pour l'éradication de la pauvreté e</w:t>
        </w:r>
        <w:r w:rsidRPr="00096CB5">
          <w:rPr>
            <w:rStyle w:val="Hyperlink"/>
          </w:rPr>
          <w:t>t</w:t>
        </w:r>
        <w:r w:rsidRPr="00096CB5">
          <w:rPr>
            <w:rStyle w:val="Hyperlink"/>
          </w:rPr>
          <w:t xml:space="preserve"> le développement durable après 2015"</w:t>
        </w:r>
      </w:hyperlink>
      <w:r w:rsidRPr="00096CB5">
        <w:t>.</w:t>
      </w:r>
    </w:p>
    <w:p w:rsidR="00236758" w:rsidRPr="00096CB5" w:rsidRDefault="00236758" w:rsidP="00653D4F">
      <w:pPr>
        <w:pStyle w:val="Sub-itemDebated"/>
      </w:pPr>
      <w:bookmarkStart w:id="6" w:name="_Toc426374847"/>
      <w:r w:rsidRPr="00096CB5">
        <w:t>Égalité hommes-femmes dans le cadre du développement</w:t>
      </w:r>
      <w:bookmarkEnd w:id="6"/>
    </w:p>
    <w:p w:rsidR="00154AF2" w:rsidRPr="00096CB5" w:rsidRDefault="00154AF2" w:rsidP="001018A7">
      <w:pPr>
        <w:rPr>
          <w:rFonts w:eastAsia="Calibri"/>
        </w:rPr>
      </w:pPr>
      <w:r w:rsidRPr="00096CB5">
        <w:t xml:space="preserve">Le Conseil a adopté des </w:t>
      </w:r>
      <w:hyperlink r:id="rId16">
        <w:r w:rsidRPr="00096CB5">
          <w:rPr>
            <w:rStyle w:val="Hyperlink"/>
            <w:rFonts w:asciiTheme="majorBidi" w:hAnsiTheme="majorBidi" w:cstheme="majorBidi"/>
          </w:rPr>
          <w:t>conclusions sur l'égalité entre ho</w:t>
        </w:r>
        <w:r w:rsidR="00605D3C">
          <w:rPr>
            <w:rStyle w:val="Hyperlink"/>
            <w:rFonts w:asciiTheme="majorBidi" w:hAnsiTheme="majorBidi" w:cstheme="majorBidi"/>
          </w:rPr>
          <w:t>mmes et femmes dans le cadre du </w:t>
        </w:r>
        <w:r w:rsidRPr="00096CB5">
          <w:rPr>
            <w:rStyle w:val="Hyperlink"/>
            <w:rFonts w:asciiTheme="majorBidi" w:hAnsiTheme="majorBidi" w:cstheme="majorBidi"/>
          </w:rPr>
          <w:t>développement</w:t>
        </w:r>
      </w:hyperlink>
      <w:r w:rsidRPr="00096CB5">
        <w:t>.</w:t>
      </w:r>
      <w:r w:rsidRPr="00096CB5">
        <w:rPr>
          <w:rFonts w:asciiTheme="majorBidi" w:hAnsiTheme="majorBidi" w:cstheme="majorBidi"/>
        </w:rPr>
        <w:t xml:space="preserve"> </w:t>
      </w:r>
      <w:r w:rsidRPr="00096CB5">
        <w:t xml:space="preserve">Les ministres ont réaffirmé que les droits des femmes et </w:t>
      </w:r>
      <w:r w:rsidR="00203C3C">
        <w:t>des filles, l'égalité entre </w:t>
      </w:r>
      <w:r w:rsidR="00D0289B">
        <w:t>les </w:t>
      </w:r>
      <w:r w:rsidRPr="00096CB5">
        <w:t>sexes et l'autonomisation des femmes et des filles demeurent un domaine d'action prioritaire pour l'action extérieure de l'UE et la coopération au développement. Le Conseil a souligné qu'il convient d'adopter une approche ambitieuse et porteuse de transf</w:t>
      </w:r>
      <w:r w:rsidR="00203C3C">
        <w:t>ormation afin de </w:t>
      </w:r>
      <w:r w:rsidR="00D0289B">
        <w:t>s'attaquer aux </w:t>
      </w:r>
      <w:r w:rsidRPr="00096CB5">
        <w:t>causes profondes et aux facteurs de risque de l'inégalité entre les</w:t>
      </w:r>
      <w:r w:rsidR="00203C3C">
        <w:t xml:space="preserve"> sexes, de la </w:t>
      </w:r>
      <w:r w:rsidR="00D0289B">
        <w:t>discrimination et </w:t>
      </w:r>
      <w:r w:rsidRPr="00096CB5">
        <w:t>de la violence à l'égard des femmes et des jeunes filles.</w:t>
      </w:r>
    </w:p>
    <w:p w:rsidR="00062D8F" w:rsidRPr="00096CB5" w:rsidRDefault="00154AF2">
      <w:pPr>
        <w:rPr>
          <w:rFonts w:eastAsia="Calibri"/>
        </w:rPr>
      </w:pPr>
      <w:r w:rsidRPr="00096CB5">
        <w:t>La discussion et les conclusions contribueront à la préparation du nouveau plan d'action de l'UE sur l'égalité des sexes et l'émancipation des femmes dans le cadre de la coopération au développement pour la période 2016-2020.</w:t>
      </w:r>
    </w:p>
    <w:p w:rsidR="00236758" w:rsidRPr="00096CB5" w:rsidRDefault="006A6B84" w:rsidP="00062D8F">
      <w:pPr>
        <w:pStyle w:val="Sub-itemDebated"/>
        <w:rPr>
          <w:rFonts w:eastAsia="Calibri"/>
        </w:rPr>
      </w:pPr>
      <w:r w:rsidRPr="00096CB5">
        <w:br w:type="page"/>
      </w:r>
      <w:bookmarkStart w:id="7" w:name="_Toc426374848"/>
      <w:r w:rsidRPr="00096CB5">
        <w:t>Migration et développement</w:t>
      </w:r>
      <w:bookmarkEnd w:id="7"/>
    </w:p>
    <w:p w:rsidR="00154AF2" w:rsidRPr="00096CB5" w:rsidRDefault="00154AF2" w:rsidP="00154AF2">
      <w:r w:rsidRPr="00096CB5">
        <w:t>Le Conseil a procédé à un échange de vues sur la manière de faire</w:t>
      </w:r>
      <w:r w:rsidR="00D0289B">
        <w:t xml:space="preserve"> en sorte que la coopération au </w:t>
      </w:r>
      <w:r w:rsidRPr="00096CB5">
        <w:t>développement contribue au mieux à répondre aux défis migratoires auxquels sont confrontés l'Europe et ses pays partenaires.</w:t>
      </w:r>
    </w:p>
    <w:p w:rsidR="00154AF2" w:rsidRPr="00096CB5" w:rsidRDefault="00154AF2">
      <w:r w:rsidRPr="00096CB5">
        <w:t>L'approche globale de l'UE prévoit notamment que l'on s'atta</w:t>
      </w:r>
      <w:r w:rsidR="00D0289B">
        <w:t>que aux causes profondes de la </w:t>
      </w:r>
      <w:r w:rsidRPr="00096CB5">
        <w:t>migration illégale. L'UE tient à faire avancer les travaux concerna</w:t>
      </w:r>
      <w:r w:rsidR="00D0289B">
        <w:t>nt les liens entre migration et </w:t>
      </w:r>
      <w:r w:rsidRPr="00096CB5">
        <w:t>développement. La coopération au développement permet de s'attaquer à l'instabilité politique, économique et sociale et peut ainsi concourir à faire en sorte que la migration constitue un choix plutôt qu'une nécessité.</w:t>
      </w:r>
    </w:p>
    <w:p w:rsidR="00154AF2" w:rsidRPr="00096CB5" w:rsidRDefault="00154AF2" w:rsidP="00154AF2">
      <w:r w:rsidRPr="00096CB5">
        <w:t>Les ministres ont également reconnu les effets positifs de la migr</w:t>
      </w:r>
      <w:r w:rsidR="00D0289B">
        <w:t>ation pour le développement des </w:t>
      </w:r>
      <w:r w:rsidRPr="00096CB5">
        <w:t>pays partenaires, notamment le rôle des envois de fonds et de la participation de la diaspora.</w:t>
      </w:r>
    </w:p>
    <w:p w:rsidR="00154AF2" w:rsidRPr="00096CB5" w:rsidRDefault="00154AF2" w:rsidP="00154AF2">
      <w:r w:rsidRPr="00096CB5">
        <w:t>Le Conseil a encouragé la Commission et le Service européen pour l'</w:t>
      </w:r>
      <w:r w:rsidR="00D0289B">
        <w:t>action extérieure à réfléchir à </w:t>
      </w:r>
      <w:r w:rsidRPr="00096CB5">
        <w:t>des mesures concrètes pour mettre en œuvre les conclusions sur la migration et le développement précédemment approuvées par le Conseil, en particulier en r</w:t>
      </w:r>
      <w:r w:rsidR="00D0289B">
        <w:t>enforçant les dialogues sur les </w:t>
      </w:r>
      <w:r w:rsidRPr="00096CB5">
        <w:t>migrations avec pays et les régions partenaires et en améliorant</w:t>
      </w:r>
      <w:r w:rsidR="00D0289B">
        <w:t xml:space="preserve"> l'approche opérationnelle afin </w:t>
      </w:r>
      <w:r w:rsidRPr="00096CB5">
        <w:t>d'optimiser l'impact de l'aide humanitaire et de l'aide au déve</w:t>
      </w:r>
      <w:r w:rsidR="00D0289B">
        <w:t>loppement de l'UE en faveur des </w:t>
      </w:r>
      <w:r w:rsidRPr="00096CB5">
        <w:t>réfugiés et des déplacés internes.</w:t>
      </w:r>
    </w:p>
    <w:p w:rsidR="00236758" w:rsidRPr="00096CB5" w:rsidRDefault="00154AF2">
      <w:r w:rsidRPr="00096CB5">
        <w:t>Le sommet prévu prochainement avec l'Union africaine et les principaux pays partenaires, qui doit se tenir à Malte, sera une occasion de faire encore avancer les travaux dans ce domaine.</w:t>
      </w:r>
    </w:p>
    <w:p w:rsidR="00236758" w:rsidRPr="00096CB5" w:rsidRDefault="00236758" w:rsidP="00236758">
      <w:pPr>
        <w:sectPr w:rsidR="00236758" w:rsidRPr="00096CB5" w:rsidSect="00096CB5">
          <w:footnotePr>
            <w:numRestart w:val="eachPage"/>
          </w:footnotePr>
          <w:pgSz w:w="11907" w:h="16840" w:code="9"/>
          <w:pgMar w:top="1134" w:right="1134" w:bottom="1134" w:left="1134" w:header="567" w:footer="567" w:gutter="0"/>
          <w:cols w:space="708"/>
          <w:docGrid w:linePitch="360"/>
        </w:sectPr>
      </w:pPr>
    </w:p>
    <w:p w:rsidR="00725EF5" w:rsidRPr="00096CB5" w:rsidRDefault="00692D8D" w:rsidP="00D0289B">
      <w:pPr>
        <w:pStyle w:val="ItemsApprovedHeading"/>
        <w:spacing w:line="216" w:lineRule="auto"/>
      </w:pPr>
      <w:r w:rsidRPr="00096CB5">
        <w:t>AUTRES POINTS APPROUVÉS</w:t>
      </w:r>
    </w:p>
    <w:p w:rsidR="00687A1E" w:rsidRPr="00096CB5" w:rsidRDefault="00687A1E" w:rsidP="00D0289B">
      <w:pPr>
        <w:pStyle w:val="ItemApproved"/>
        <w:spacing w:line="216" w:lineRule="auto"/>
      </w:pPr>
      <w:r w:rsidRPr="00096CB5">
        <w:t>COOPÉRATION AU DÉVELOPPEMENT</w:t>
      </w:r>
    </w:p>
    <w:p w:rsidR="00071053" w:rsidRPr="00096CB5" w:rsidRDefault="00071053" w:rsidP="00D0289B">
      <w:pPr>
        <w:pStyle w:val="Sub-itemApproved"/>
        <w:spacing w:line="216" w:lineRule="auto"/>
      </w:pPr>
      <w:bookmarkStart w:id="8" w:name="_Toc426374850"/>
      <w:r w:rsidRPr="00096CB5">
        <w:t>Rapport annuel concernant les objectifs d'aide au développement de l'UE</w:t>
      </w:r>
      <w:bookmarkEnd w:id="8"/>
    </w:p>
    <w:p w:rsidR="00071053" w:rsidRPr="00096CB5" w:rsidRDefault="00071053" w:rsidP="00D0289B">
      <w:pPr>
        <w:spacing w:line="216" w:lineRule="auto"/>
        <w:rPr>
          <w:rFonts w:asciiTheme="majorBidi" w:hAnsiTheme="majorBidi" w:cstheme="majorBidi"/>
        </w:rPr>
      </w:pPr>
      <w:r w:rsidRPr="00096CB5">
        <w:t xml:space="preserve">Le Conseil a approuvé son </w:t>
      </w:r>
      <w:hyperlink r:id="rId17">
        <w:r w:rsidRPr="00096CB5">
          <w:rPr>
            <w:rStyle w:val="Hyperlink"/>
            <w:rFonts w:asciiTheme="majorBidi" w:hAnsiTheme="majorBidi" w:cstheme="majorBidi"/>
          </w:rPr>
          <w:t>rapport annuel 2015 au Conseil européen concernant les objectifs d'aide au développement de l'UE</w:t>
        </w:r>
      </w:hyperlink>
      <w:r w:rsidRPr="00096CB5">
        <w:t>.</w:t>
      </w:r>
      <w:r w:rsidRPr="00096CB5">
        <w:rPr>
          <w:rFonts w:asciiTheme="majorBidi" w:hAnsiTheme="majorBidi" w:cstheme="majorBidi"/>
        </w:rPr>
        <w:t xml:space="preserve"> Il analyse les tendances observées au niveau des engagements de l'aide publique au développement (APD), tant de l'UE que de ses États membres individuels. </w:t>
      </w:r>
      <w:r w:rsidRPr="00096CB5">
        <w:t>le Conseil réaffirme qu'il donnera les impulsions politiques nécessaires pour att</w:t>
      </w:r>
      <w:r w:rsidR="00D0289B">
        <w:t>eindre les objectifs de l'UE en </w:t>
      </w:r>
      <w:r w:rsidRPr="00096CB5">
        <w:t>matière d'aide au développement, domaine qui constitue l'une de</w:t>
      </w:r>
      <w:r w:rsidR="00D0289B">
        <w:t>s toutes premières priorités de </w:t>
      </w:r>
      <w:r w:rsidRPr="00096CB5">
        <w:t>l'UE, notamment dans le contexte du programme pour l'après-2015.</w:t>
      </w:r>
    </w:p>
    <w:p w:rsidR="00687A1E" w:rsidRPr="00096CB5" w:rsidRDefault="00687A1E" w:rsidP="00687A1E">
      <w:pPr>
        <w:pStyle w:val="Sub-itemApproved"/>
      </w:pPr>
      <w:bookmarkStart w:id="9" w:name="_Toc426374851"/>
      <w:r w:rsidRPr="00096CB5">
        <w:t>Engagements stratégiques de l'UE en matière de sécurité alimentaire et nutritionnelle</w:t>
      </w:r>
      <w:bookmarkEnd w:id="9"/>
    </w:p>
    <w:p w:rsidR="00DC41B1" w:rsidRPr="00096CB5" w:rsidRDefault="00687A1E" w:rsidP="00D0289B">
      <w:pPr>
        <w:spacing w:line="216" w:lineRule="auto"/>
      </w:pPr>
      <w:r w:rsidRPr="00096CB5">
        <w:t xml:space="preserve">Le Conseil a adopté les conclusions ci-après sur le premier </w:t>
      </w:r>
      <w:r w:rsidR="00D0289B">
        <w:t>rapport bisannuel concernant la </w:t>
      </w:r>
      <w:r w:rsidRPr="00096CB5">
        <w:t>concrétisation des engagements stratégiques de l'UE en matière de sécurité alimentaire et nutritionnelle:</w:t>
      </w:r>
    </w:p>
    <w:p w:rsidR="00687A1E" w:rsidRPr="00096CB5" w:rsidRDefault="00DC41B1" w:rsidP="00D0289B">
      <w:pPr>
        <w:pStyle w:val="ManualNumPar1"/>
        <w:spacing w:line="216" w:lineRule="auto"/>
      </w:pPr>
      <w:r w:rsidRPr="00096CB5">
        <w:t>"1.</w:t>
      </w:r>
      <w:r w:rsidRPr="00096CB5">
        <w:tab/>
        <w:t>Le Conseil rappelle ses conclusions du 28 mai 2013 sur "la sécurité alimentaire et nutritionnelle dans le cadre de l'aide extérieure"</w:t>
      </w:r>
      <w:r w:rsidRPr="00096CB5">
        <w:rPr>
          <w:rStyle w:val="FootnoteReference"/>
        </w:rPr>
        <w:footnoteReference w:id="1"/>
      </w:r>
      <w:r w:rsidRPr="00096CB5">
        <w:t>, par lesquelles il approuvait le document de travail des services de la Commission intitulé "Boosting Food and Nutrition Security through EU Action: Implementing our Commitments" (Promouvoir la sécurité alimentaire et nutritionnelle par une action de l'UE: concrétisation de nos engagements) (plan de mise en œuvre)</w:t>
      </w:r>
      <w:r w:rsidRPr="00096CB5">
        <w:rPr>
          <w:rStyle w:val="FootnoteReference"/>
        </w:rPr>
        <w:footnoteReference w:id="2"/>
      </w:r>
      <w:r w:rsidRPr="00096CB5">
        <w:t xml:space="preserve"> et invitait "la Commission à coordonner, en étroite collaboration avec les États membres, l'établissement d'un rapport bisannuel consoli</w:t>
      </w:r>
      <w:r w:rsidR="00605D3C">
        <w:t>dé de l'UE sur l'avancement des </w:t>
      </w:r>
      <w:r w:rsidRPr="00096CB5">
        <w:t>interventions et à publier le premier de ces rapports en 2014".</w:t>
      </w:r>
    </w:p>
    <w:p w:rsidR="00687A1E" w:rsidRPr="00096CB5" w:rsidRDefault="00DC41B1" w:rsidP="00D0289B">
      <w:pPr>
        <w:pStyle w:val="ManualNumPar1"/>
        <w:spacing w:line="216" w:lineRule="auto"/>
      </w:pPr>
      <w:r w:rsidRPr="00096CB5">
        <w:t>2.</w:t>
      </w:r>
      <w:r w:rsidRPr="00096CB5">
        <w:tab/>
        <w:t>Le Conseil rappelle également ses conclusions du 10 mai 20</w:t>
      </w:r>
      <w:r w:rsidR="00D0289B">
        <w:t>10 sur "un cadre stratégique de </w:t>
      </w:r>
      <w:r w:rsidRPr="00096CB5">
        <w:t>l'UE pour aider les pays en développement à relever les défis liés à la sécurité alimentaire"</w:t>
      </w:r>
      <w:r w:rsidRPr="00096CB5">
        <w:rPr>
          <w:rStyle w:val="FootnoteReference"/>
        </w:rPr>
        <w:footnoteReference w:id="3"/>
      </w:r>
      <w:r w:rsidRPr="00096CB5">
        <w:t xml:space="preserve"> et sur "l'assistance alimentaire à caractère humanitaire"</w:t>
      </w:r>
      <w:r w:rsidRPr="00096CB5">
        <w:rPr>
          <w:rStyle w:val="FootnoteReference"/>
        </w:rPr>
        <w:footnoteReference w:id="4"/>
      </w:r>
      <w:r w:rsidR="00D0289B">
        <w:t>, ses conclusions du </w:t>
      </w:r>
      <w:r w:rsidRPr="00096CB5">
        <w:t>28 mai 2013 relatives à "l'approche de l'UE à l'égard de la résilience"</w:t>
      </w:r>
      <w:r w:rsidRPr="00096CB5">
        <w:rPr>
          <w:rStyle w:val="FootnoteReference"/>
        </w:rPr>
        <w:footnoteReference w:id="5"/>
      </w:r>
      <w:r w:rsidR="00D0289B">
        <w:t xml:space="preserve"> ainsi que ses </w:t>
      </w:r>
      <w:r w:rsidRPr="00096CB5">
        <w:t>conclusions du 12 décembre 2014 concernant "le plan d'action sur la nutrition"</w:t>
      </w:r>
      <w:r w:rsidRPr="00096CB5">
        <w:rPr>
          <w:rStyle w:val="FootnoteReference"/>
        </w:rPr>
        <w:footnoteReference w:id="6"/>
      </w:r>
      <w:r w:rsidRPr="00096CB5">
        <w:t>.</w:t>
      </w:r>
    </w:p>
    <w:p w:rsidR="001129A0" w:rsidRPr="00096CB5" w:rsidRDefault="00DC41B1" w:rsidP="00D0289B">
      <w:pPr>
        <w:pStyle w:val="ManualNumPar1"/>
        <w:spacing w:line="216" w:lineRule="auto"/>
      </w:pPr>
      <w:r w:rsidRPr="00096CB5">
        <w:t>3.</w:t>
      </w:r>
      <w:r w:rsidRPr="00096CB5">
        <w:tab/>
        <w:t>Le Conseil se félicite des conclusions du rapport c</w:t>
      </w:r>
      <w:r w:rsidR="00D0289B">
        <w:t>oncernant la concrétisation des </w:t>
      </w:r>
      <w:r w:rsidRPr="00096CB5">
        <w:t>engagements</w:t>
      </w:r>
      <w:r w:rsidRPr="00D0289B">
        <w:rPr>
          <w:b/>
          <w:bCs/>
          <w:vertAlign w:val="superscript"/>
        </w:rPr>
        <w:footnoteReference w:id="7"/>
      </w:r>
      <w:r w:rsidRPr="00096CB5">
        <w:t>, qui constitue une base de travail pour l'élaboration des rapports ultérieurs. Le Conseil salue les efforts déployés conjointement par les donateurs de l'UE pour établir un rapport consolidé sur l'évaluation des résultats dans la concrétisation des</w:t>
      </w:r>
      <w:r w:rsidR="00D0289B">
        <w:t> </w:t>
      </w:r>
      <w:r w:rsidRPr="00096CB5">
        <w:t>engagements stratégiques de l'UE en matière de sécurité alimentaire et nutritionnelle. Le Conseil mesure l'importance de cet outil de responsabilisation pour renforcer l'efficacité de l'aide, la transparence et la responsabilisation mutuelle et pour améliorer la cohérence stratégique, la coordination et les synergies, contribuant ainsi à la visibilité et au rôle moteur de l'UE.</w:t>
      </w:r>
    </w:p>
    <w:p w:rsidR="005A6EB2" w:rsidRPr="00096CB5" w:rsidRDefault="001129A0" w:rsidP="00D0289B">
      <w:pPr>
        <w:ind w:left="851" w:hanging="851"/>
      </w:pPr>
      <w:r w:rsidRPr="00096CB5">
        <w:br w:type="page"/>
        <w:t>4.</w:t>
      </w:r>
      <w:r w:rsidRPr="00096CB5">
        <w:tab/>
        <w:t>Le Conseil est conscient que les défis liés à la sécurité alime</w:t>
      </w:r>
      <w:r w:rsidR="00D0289B">
        <w:t>ntaire et nutritionnelle qui se </w:t>
      </w:r>
      <w:r w:rsidRPr="00096CB5">
        <w:t>posent au niveau mondial sont, par nature, des ques</w:t>
      </w:r>
      <w:r w:rsidR="00D0289B">
        <w:t>tions complexes qui exigent une </w:t>
      </w:r>
      <w:r w:rsidRPr="00096CB5">
        <w:t>attention accrue de l'UE et doivent être abordés dans un</w:t>
      </w:r>
      <w:r w:rsidR="00D0289B">
        <w:t>e perspective s'inscrivant dans </w:t>
      </w:r>
      <w:r w:rsidRPr="00096CB5">
        <w:t>la durée. Le Conseil souligne en outre qu'il importe de prévoir des liens adéquats entre les travaux futurs sur la sécurité alimentaire et nutritionnelle et les principales négociations intergouvernementales, notamment sur le programme de développement pour l'après-2015 et le processus de la convention-cadre des Nations unies sur les changements climatiques (CCNUCC) en 2015, ainsi qu'avec d'autres enc</w:t>
      </w:r>
      <w:r w:rsidR="00D0289B">
        <w:t>eintes concernées telles que le </w:t>
      </w:r>
      <w:r w:rsidRPr="00096CB5">
        <w:t xml:space="preserve">Comité de la sécurité alimentaire mondiale et le Cadre </w:t>
      </w:r>
      <w:r w:rsidR="00D0289B">
        <w:t>de Sendai pour la réduction des </w:t>
      </w:r>
      <w:r w:rsidRPr="00096CB5">
        <w:t>risques de catastrophe 2015-2030. L'exposition universelle de Milan en 2015 constituera également une bonne occasion de confirmer l'engagement sur les principales questions stratégiques en matière de sécurité alimentaire et nutritionnelle.</w:t>
      </w:r>
    </w:p>
    <w:p w:rsidR="005A6EB2" w:rsidRPr="00096CB5" w:rsidRDefault="005A6EB2" w:rsidP="005A6EB2">
      <w:pPr>
        <w:pStyle w:val="ManualNumPar1"/>
      </w:pPr>
      <w:r w:rsidRPr="00096CB5">
        <w:t>5.</w:t>
      </w:r>
      <w:r w:rsidRPr="00096CB5">
        <w:tab/>
        <w:t>Le Conseil se félicite de la réponse collective apportée par l'UE à l'insécurité et aux crises alimentaires depuis 2010 qui est évoquée dans le rapport. Il encourage l'UE et ses États membres à continuer d'améliorer l'efficacité, en renforçant l'</w:t>
      </w:r>
      <w:r w:rsidR="00D0289B">
        <w:t>alignement, la transparence, la </w:t>
      </w:r>
      <w:r w:rsidRPr="00096CB5">
        <w:t>complémentarité, la coordination et la répartition des tâc</w:t>
      </w:r>
      <w:r w:rsidR="00D0289B">
        <w:t>hes au niveau national et, dans </w:t>
      </w:r>
      <w:r w:rsidRPr="00096CB5">
        <w:t>la mesure du possible, sous la conduite des pays partenaires.</w:t>
      </w:r>
    </w:p>
    <w:p w:rsidR="005A6EB2" w:rsidRPr="00096CB5" w:rsidRDefault="005A6EB2" w:rsidP="005A6EB2">
      <w:pPr>
        <w:pStyle w:val="ManualNumPar1"/>
      </w:pPr>
      <w:r w:rsidRPr="00096CB5">
        <w:t>6.</w:t>
      </w:r>
      <w:r w:rsidRPr="00096CB5">
        <w:tab/>
        <w:t xml:space="preserve">Le Conseil souligne que l'UE et ses États membres, selon </w:t>
      </w:r>
      <w:r w:rsidR="00D0289B">
        <w:t>le cas, devraient développer la </w:t>
      </w:r>
      <w:r w:rsidRPr="00096CB5">
        <w:t>programmation conjointe dans le domaine de la sécurité a</w:t>
      </w:r>
      <w:r w:rsidR="00D0289B">
        <w:t>limentaire et nutritionnelle en </w:t>
      </w:r>
      <w:r w:rsidRPr="00096CB5">
        <w:t xml:space="preserve">se fondant sur les enseignements tirés des expériences </w:t>
      </w:r>
      <w:r w:rsidR="00D0289B">
        <w:t>passées. Au niveau national, la </w:t>
      </w:r>
      <w:r w:rsidRPr="00096CB5">
        <w:t>coordination, l'harmonisation, l'analyse conjointe et la répartition des tâches devraient être améliorées et faire l'objet d'un suivi, y compris sur le terrain, en particulier en ce qui concerne leur incidence sur la sécurité alimentaire et nutritionnelle. Le prochain rapport bisannuel devrait faire état des progrès réalisés en la matière.</w:t>
      </w:r>
    </w:p>
    <w:p w:rsidR="005A6EB2" w:rsidRPr="00096CB5" w:rsidRDefault="005A6EB2" w:rsidP="005A6EB2">
      <w:pPr>
        <w:pStyle w:val="ManualNumPar1"/>
      </w:pPr>
      <w:r w:rsidRPr="00096CB5">
        <w:t>7.</w:t>
      </w:r>
      <w:r w:rsidRPr="00096CB5">
        <w:tab/>
        <w:t>Le Conseil rappelle qu'il est nécessaire de renforcer tous les niveaux de la gouvernance dans le domaine de la sécurité alimentaire et nutritionnelle e</w:t>
      </w:r>
      <w:r w:rsidR="00D0289B">
        <w:t>t invite instamment l'UE et ses </w:t>
      </w:r>
      <w:r w:rsidRPr="00096CB5">
        <w:t>États membres à intensifier encore le dialogue entre les parties concernées et à associer davantage la société civile, le secteur privé et les organisations d'agriculteurs, en mettant l'accent sur les petits exploitants, dans les pays partenaires, notamment en ce qui concerne l'élaboration et la mise en œuvre du programme national.</w:t>
      </w:r>
    </w:p>
    <w:p w:rsidR="005A6EB2" w:rsidRPr="00096CB5" w:rsidRDefault="005A6EB2" w:rsidP="005A6EB2">
      <w:pPr>
        <w:pStyle w:val="ManualNumPar1"/>
      </w:pPr>
      <w:r w:rsidRPr="00096CB5">
        <w:t>8.</w:t>
      </w:r>
      <w:r w:rsidRPr="00096CB5">
        <w:tab/>
        <w:t>Le Conseil se félicite des conclusions du rapport sur le rô</w:t>
      </w:r>
      <w:r w:rsidR="00D0289B">
        <w:t>le moteur que jouent de plus en </w:t>
      </w:r>
      <w:r w:rsidRPr="00096CB5">
        <w:t>plus l'UE et ses États membres dans des domaines essenti</w:t>
      </w:r>
      <w:r w:rsidR="00D0289B">
        <w:t>els tels que la lutte contre la </w:t>
      </w:r>
      <w:r w:rsidRPr="00096CB5">
        <w:t>malnutrition, la recherche, le développement de</w:t>
      </w:r>
      <w:r w:rsidR="00D0289B">
        <w:t>s capacités de résilience et la </w:t>
      </w:r>
      <w:r w:rsidRPr="00096CB5">
        <w:t>gouvernance foncière, y compris l'accès équitable à la t</w:t>
      </w:r>
      <w:r w:rsidR="00D0289B">
        <w:t>erre. Le Conseil encourage l'UE </w:t>
      </w:r>
      <w:r w:rsidRPr="00096CB5">
        <w:t>et ses États membres à continuer de travailler sur ces q</w:t>
      </w:r>
      <w:r w:rsidR="00D0289B">
        <w:t>uestions et à s'appuyer sur ces </w:t>
      </w:r>
      <w:r w:rsidRPr="00096CB5">
        <w:t xml:space="preserve">résultats positifs pour relever les nouveaux défis que constituent par exemple l'agriculture durable et sensible aux changements climatiques et les systèmes alimentaires </w:t>
      </w:r>
      <w:r w:rsidR="00D0289B">
        <w:t>résilients, la </w:t>
      </w:r>
      <w:r w:rsidRPr="00096CB5">
        <w:t xml:space="preserve">gestion efficace de l'eau, l'agriculture sensible </w:t>
      </w:r>
      <w:r w:rsidR="00D0289B">
        <w:t>aux aspects nutritionnels et la </w:t>
      </w:r>
      <w:r w:rsidRPr="00096CB5">
        <w:t>transformation de l'espace rural, y compris l'emploi des jeunes. Une attention particulière devrait être accordée à la problématique de l'égalité entre les sex</w:t>
      </w:r>
      <w:r w:rsidR="00D0289B">
        <w:t>es dans les </w:t>
      </w:r>
      <w:r w:rsidRPr="00096CB5">
        <w:t>interventions et les politiques.</w:t>
      </w:r>
    </w:p>
    <w:p w:rsidR="005A6EB2" w:rsidRPr="00096CB5" w:rsidRDefault="0032219A" w:rsidP="00605D3C">
      <w:pPr>
        <w:pStyle w:val="ManualNumPar1"/>
      </w:pPr>
      <w:r w:rsidRPr="00096CB5">
        <w:br w:type="page"/>
        <w:t>9.</w:t>
      </w:r>
      <w:r w:rsidRPr="00096CB5">
        <w:tab/>
        <w:t>Le Conseil met également l'accent sur la nécessité de s'a</w:t>
      </w:r>
      <w:r w:rsidR="00D0289B">
        <w:t>ttacher de manière collective à </w:t>
      </w:r>
      <w:r w:rsidRPr="00096CB5">
        <w:t>améliorer la sécurité alimentaire et nutritionnelle dans le</w:t>
      </w:r>
      <w:r w:rsidR="00605D3C">
        <w:t xml:space="preserve"> cadre d'une perspective à long </w:t>
      </w:r>
      <w:r w:rsidRPr="00096CB5">
        <w:t>terme et d'une approche globale, et à favoriser le rôle multipl</w:t>
      </w:r>
      <w:r w:rsidR="00D0289B">
        <w:t>icateur du secteur agricole. En </w:t>
      </w:r>
      <w:r w:rsidRPr="00096CB5">
        <w:t>particulier, le Conseil souligne qu'il faut i) déve</w:t>
      </w:r>
      <w:r w:rsidR="00605D3C">
        <w:t>lopper et relier les chaînes de </w:t>
      </w:r>
      <w:r w:rsidRPr="00096CB5">
        <w:t>valeur locales, régionales et internationales des produi</w:t>
      </w:r>
      <w:r w:rsidR="00605D3C">
        <w:t>ts agricoles, ii) accroître les </w:t>
      </w:r>
      <w:r w:rsidRPr="00096CB5">
        <w:t>investissements publics et privés responsables dans l'agriculture et les systèmes alimentaires durables, iii) créer un environnement favorable au développement socio</w:t>
      </w:r>
      <w:r w:rsidR="00605D3C">
        <w:noBreakHyphen/>
      </w:r>
      <w:r w:rsidRPr="00096CB5">
        <w:t>économique des zones rurales en assurant la co</w:t>
      </w:r>
      <w:r w:rsidR="00605D3C">
        <w:t>hérence entre les politiques de </w:t>
      </w:r>
      <w:r w:rsidRPr="00096CB5">
        <w:t xml:space="preserve">développement urbain et rural, iv) améliorer la prise en </w:t>
      </w:r>
      <w:r w:rsidR="00605D3C">
        <w:t>compte de la nutrition dans les </w:t>
      </w:r>
      <w:r w:rsidRPr="00096CB5">
        <w:t>programmes et les stratégies concernées, v) renforcer l'éducation à la sécurité alimentaire et nutritionnelle, ainsi que vi) renforcer les filets de protection sociale et améliorer la coordination</w:t>
      </w:r>
      <w:r w:rsidR="00D0289B">
        <w:t xml:space="preserve"> entre l'action dans le </w:t>
      </w:r>
      <w:r w:rsidRPr="00096CB5">
        <w:t>domaine humanitaire et l'action en matière de développement.</w:t>
      </w:r>
    </w:p>
    <w:p w:rsidR="005A6EB2" w:rsidRPr="00096CB5" w:rsidRDefault="005A6EB2" w:rsidP="005A6EB2">
      <w:pPr>
        <w:pStyle w:val="ManualNumPar1"/>
      </w:pPr>
      <w:r w:rsidRPr="00096CB5">
        <w:t>10.</w:t>
      </w:r>
      <w:r w:rsidRPr="00096CB5">
        <w:tab/>
        <w:t>Le Conseil invite instamment l'UE et ses États membres à intensifier le soutien qu'ils apportent à la recherche agricole de haute qualité en faveur des pauvres et fond</w:t>
      </w:r>
      <w:r w:rsidR="00D0289B">
        <w:t>ée sur la </w:t>
      </w:r>
      <w:r w:rsidRPr="00096CB5">
        <w:t>demande, ainsi qu'à la vulgarisation et l'innovation efficaces et reposant sur des données probantes, tant en augmentant les investissements qu'en mettant l'accent sur les nouvelles priorités, et à veiller à ce que les résultats se traduisent sur</w:t>
      </w:r>
      <w:r w:rsidR="00D0289B">
        <w:t xml:space="preserve"> le terrain afin d'obtenir un </w:t>
      </w:r>
      <w:r w:rsidRPr="00096CB5">
        <w:t>impact maximal.</w:t>
      </w:r>
    </w:p>
    <w:p w:rsidR="005A6EB2" w:rsidRPr="00096CB5" w:rsidRDefault="005A6EB2" w:rsidP="005A6EB2">
      <w:pPr>
        <w:pStyle w:val="ManualNumPar1"/>
      </w:pPr>
      <w:r w:rsidRPr="00096CB5">
        <w:t>11.</w:t>
      </w:r>
      <w:r w:rsidRPr="00096CB5">
        <w:tab/>
        <w:t>Le Conseil rappelle qu'il importe de développer et d'harmo</w:t>
      </w:r>
      <w:r w:rsidR="00D0289B">
        <w:t>niser les mesures permettant de </w:t>
      </w:r>
      <w:r w:rsidRPr="00096CB5">
        <w:t xml:space="preserve">suivre les progrès accomplis au titre des engagements en matière de sécurité alimentaire et nutritionnelle et de soutenir les systèmes de contrôle nationaux. Le Conseil est conscient de la nécessité d'affiner et de simplifier l'établissement des </w:t>
      </w:r>
      <w:r w:rsidR="00D0289B">
        <w:t>rapports, du point de vue de la </w:t>
      </w:r>
      <w:r w:rsidRPr="00096CB5">
        <w:t>forme et des méthodes, en vue du prochain rapport bi</w:t>
      </w:r>
      <w:r w:rsidR="00D0289B">
        <w:t>sannuel conjoint de l'UE sur la </w:t>
      </w:r>
      <w:r w:rsidRPr="00096CB5">
        <w:t>concrétisation des engagements stratégiques en matière de sécurité alimentaire et nutritionnelle. En particulier, le Conseil suggère de se concentrer sur certaines priorités stratégiques précises, et de mettre davantage l'accent sur les résultats et l'analyse d'impact, en veillant à ce que cela soit cohérent avec l'approche globale du cadre de résultats de l'UE pour le développement et la coopération, qui est en cours d'élaboration, comme le Conseil l'a indiqué dans ses conclusions du 19 mai 2014. Le Conseil prend acte de la nécessité d'améliorer la qualité des données communiquées et soulign</w:t>
      </w:r>
      <w:r w:rsidR="00D0289B">
        <w:t>e l'importance de s'aligner sur </w:t>
      </w:r>
      <w:r w:rsidRPr="00096CB5">
        <w:t>les plans nationaux des pays partenaires.</w:t>
      </w:r>
    </w:p>
    <w:p w:rsidR="00687A1E" w:rsidRPr="00096CB5" w:rsidRDefault="005A6EB2" w:rsidP="005A6EB2">
      <w:pPr>
        <w:pStyle w:val="ManualNumPar1"/>
      </w:pPr>
      <w:r w:rsidRPr="00096CB5">
        <w:t>12.</w:t>
      </w:r>
      <w:r w:rsidRPr="00096CB5">
        <w:tab/>
        <w:t>Le Conseil appelle l'UE et ses États membres à accentuer leurs efforts pour communiquer les résultats obtenus conjointement, tant au niveau européen que dans les pays partenaires, et il invite la Commission à coordonner, en étroite collaboration avec tous les États membres, le prochain rapport consolidé en vue de sa</w:t>
      </w:r>
      <w:r w:rsidR="00D0289B">
        <w:t xml:space="preserve"> publication dans le courant du </w:t>
      </w:r>
      <w:r w:rsidRPr="00096CB5">
        <w:t>premier semestre de 2016."</w:t>
      </w:r>
    </w:p>
    <w:p w:rsidR="00687A1E" w:rsidRPr="00096CB5" w:rsidRDefault="005E62CB" w:rsidP="00687A1E">
      <w:pPr>
        <w:pStyle w:val="Sub-itemApproved"/>
      </w:pPr>
      <w:r w:rsidRPr="00096CB5">
        <w:br w:type="page"/>
      </w:r>
      <w:bookmarkStart w:id="10" w:name="_Toc426374852"/>
      <w:r w:rsidRPr="00096CB5">
        <w:t>Aide apportée par l'UE à la suite du tremblement de terre en Haïti - Conclusions du Conseil sur le rapport de la Cour des comptes</w:t>
      </w:r>
      <w:bookmarkEnd w:id="10"/>
    </w:p>
    <w:p w:rsidR="005A6EB2" w:rsidRPr="00096CB5" w:rsidRDefault="00687A1E" w:rsidP="00AF0063">
      <w:r w:rsidRPr="00096CB5">
        <w:t>Le Conseil a adopté les conclusions ci-après sur le rapport spécial de la Cour des comptes intitulé "L'aide à la réhabilitation apportée par l'UE à la suite du tremblement de terre en Haïti" (6490/15):"</w:t>
      </w:r>
    </w:p>
    <w:p w:rsidR="00B211E9" w:rsidRPr="00096CB5" w:rsidRDefault="00B211E9" w:rsidP="00B211E9">
      <w:pPr>
        <w:pStyle w:val="ManualNumPar1"/>
        <w:rPr>
          <w:b/>
          <w:bCs/>
        </w:rPr>
      </w:pPr>
      <w:r w:rsidRPr="00096CB5">
        <w:t>1.</w:t>
      </w:r>
      <w:r w:rsidRPr="00096CB5">
        <w:tab/>
        <w:t>Le Conseil accueille avec satisfaction le rapport spécial n° 13/2013 de la Cour des comptes intitulé "L'aide à la réhabilitation apportée par l'UE à la suit</w:t>
      </w:r>
      <w:r w:rsidR="00D0289B">
        <w:t>e du tremblement de terre en </w:t>
      </w:r>
      <w:r w:rsidRPr="00096CB5">
        <w:t>Haïti"</w:t>
      </w:r>
      <w:r w:rsidRPr="00096CB5">
        <w:rPr>
          <w:rStyle w:val="FootnoteReference"/>
        </w:rPr>
        <w:footnoteReference w:id="8"/>
      </w:r>
      <w:r w:rsidR="00D0289B">
        <w:t>.</w:t>
      </w:r>
    </w:p>
    <w:p w:rsidR="00687A1E" w:rsidRPr="00096CB5" w:rsidRDefault="00B211E9">
      <w:pPr>
        <w:pStyle w:val="ManualNumPar1"/>
        <w:rPr>
          <w:b/>
          <w:bCs/>
        </w:rPr>
      </w:pPr>
      <w:r w:rsidRPr="00096CB5">
        <w:t>2.</w:t>
      </w:r>
      <w:r w:rsidRPr="00096CB5">
        <w:tab/>
        <w:t>Le Conseil note que, dans ses conclusions, la Cour r</w:t>
      </w:r>
      <w:r w:rsidR="00D0289B">
        <w:t>ecommande à la Commission et au </w:t>
      </w:r>
      <w:r w:rsidRPr="00096CB5">
        <w:t>SEAE, dans un contexte postcatastrophe ou de situation de fragilité:</w:t>
      </w:r>
    </w:p>
    <w:p w:rsidR="00687A1E" w:rsidRPr="00096CB5" w:rsidRDefault="00687A1E" w:rsidP="004E7D14">
      <w:pPr>
        <w:pStyle w:val="Tiret0"/>
        <w:numPr>
          <w:ilvl w:val="0"/>
          <w:numId w:val="1"/>
        </w:numPr>
      </w:pPr>
      <w:r w:rsidRPr="00096CB5">
        <w:t>d'améliorer la gestion des risques, notamment en accordant toute l'attention qui convient aux risques opérationnels, politiques, fiduciaires et autres qu</w:t>
      </w:r>
      <w:r w:rsidR="00D0289B">
        <w:t>i pèsent sur la réalisation des </w:t>
      </w:r>
      <w:r w:rsidRPr="00096CB5">
        <w:t>objectifs des programmes et de mettre en place des</w:t>
      </w:r>
      <w:r w:rsidR="00D0289B">
        <w:t xml:space="preserve"> mesures visant à prévenir ou à </w:t>
      </w:r>
      <w:r w:rsidRPr="00096CB5">
        <w:t>atténuer ces risques;</w:t>
      </w:r>
    </w:p>
    <w:p w:rsidR="00687A1E" w:rsidRPr="00096CB5" w:rsidRDefault="00687A1E" w:rsidP="005A6EB2">
      <w:pPr>
        <w:pStyle w:val="Tiret0"/>
      </w:pPr>
      <w:r w:rsidRPr="00096CB5">
        <w:t xml:space="preserve">d'améliorer les liens et les synergies entre les mesures </w:t>
      </w:r>
      <w:r w:rsidR="00D0289B">
        <w:t>en matière d'aide d'urgence, de </w:t>
      </w:r>
      <w:r w:rsidRPr="00096CB5">
        <w:t>réhabilitation et de développement, notamment par l'adoption d'une stratégie commune entre les services de la Commission, et d'accroître l'efficacité de ces liens et synergies;</w:t>
      </w:r>
    </w:p>
    <w:p w:rsidR="00687A1E" w:rsidRPr="00096CB5" w:rsidRDefault="00687A1E" w:rsidP="005A6EB2">
      <w:pPr>
        <w:pStyle w:val="Tiret0"/>
      </w:pPr>
      <w:r w:rsidRPr="00096CB5">
        <w:t>de continuer à privilégier, en cas de recours à des mo</w:t>
      </w:r>
      <w:r w:rsidR="00D0289B">
        <w:t>dalités d'appui budgétaire, les </w:t>
      </w:r>
      <w:r w:rsidRPr="00096CB5">
        <w:t>fonctions et les réformes essentielles en matière de gestion des finances publiques et d'adopter, le cas échéant, des mesures à court terme pour protéger les fonds de l'UE;</w:t>
      </w:r>
    </w:p>
    <w:p w:rsidR="00687A1E" w:rsidRPr="00096CB5" w:rsidRDefault="00687A1E" w:rsidP="005A6EB2">
      <w:pPr>
        <w:pStyle w:val="Tiret0"/>
      </w:pPr>
      <w:r w:rsidRPr="00096CB5">
        <w:t>de mettre en place des procédures de continuité des activi</w:t>
      </w:r>
      <w:r w:rsidR="00D0289B">
        <w:t>tés, notamment en prévoyant des </w:t>
      </w:r>
      <w:r w:rsidRPr="00096CB5">
        <w:t>dispositions pour le redéploiement du personnel d'intervention dans les délégations de l'UE et en affectant des ressources suffisantes aux fins du suivi.</w:t>
      </w:r>
    </w:p>
    <w:p w:rsidR="00B211E9" w:rsidRPr="00096CB5" w:rsidRDefault="00B211E9" w:rsidP="00B211E9">
      <w:pPr>
        <w:pStyle w:val="ManualNumPar1"/>
      </w:pPr>
      <w:r w:rsidRPr="00096CB5">
        <w:t>3.</w:t>
      </w:r>
      <w:r w:rsidRPr="00096CB5">
        <w:tab/>
        <w:t>Le Conseil estime que pour créer des liens entre l'aide d'u</w:t>
      </w:r>
      <w:r w:rsidR="00D0289B">
        <w:t>rgence, la réhabilitation et le </w:t>
      </w:r>
      <w:r w:rsidRPr="00096CB5">
        <w:t xml:space="preserve">développement (Linking Relief, Rehabilitation and Development, ou LRRD) dans tous les domaines d'intervention de l'UE, il faut mettre en </w:t>
      </w:r>
      <w:r w:rsidR="00D0289B">
        <w:t>place une stratégie commune. Le </w:t>
      </w:r>
      <w:r w:rsidRPr="00096CB5">
        <w:t>Conseil encourage la Commission, le SEAE et les États membres, le cas échéant avec d'autres donateurs, à renforcer la coordination lors de la conception et de la mise en œuvre de projets et programmes humanitaires et de développement,</w:t>
      </w:r>
      <w:r w:rsidR="00D0289B">
        <w:t xml:space="preserve"> y compris s'il y a lieu par la </w:t>
      </w:r>
      <w:r w:rsidRPr="00096CB5">
        <w:t>programmation conjointe, afin d'assurer l'efficacité des liens et des synergies.</w:t>
      </w:r>
    </w:p>
    <w:p w:rsidR="00B211E9" w:rsidRPr="00096CB5" w:rsidRDefault="005E62CB" w:rsidP="00D0289B">
      <w:pPr>
        <w:pStyle w:val="ManualNumPar1"/>
        <w:spacing w:line="216" w:lineRule="auto"/>
        <w:ind w:left="851" w:hanging="851"/>
      </w:pPr>
      <w:r w:rsidRPr="00096CB5">
        <w:br w:type="page"/>
        <w:t>4.</w:t>
      </w:r>
      <w:r w:rsidRPr="00096CB5">
        <w:tab/>
        <w:t>Le Conseil réaffirme que les efforts visant à promouvoir les LRRD restent des éléments essentiels si l'on veut renforcer la résilience</w:t>
      </w:r>
      <w:r w:rsidRPr="00096CB5">
        <w:rPr>
          <w:rStyle w:val="FootnoteReference"/>
        </w:rPr>
        <w:footnoteReference w:id="9"/>
      </w:r>
      <w:r w:rsidRPr="00096CB5">
        <w:t xml:space="preserve"> et assurer un développement humain durable, y compris la réduction de la pauvreté</w:t>
      </w:r>
      <w:r w:rsidRPr="00096CB5">
        <w:rPr>
          <w:rStyle w:val="FootnoteReference"/>
        </w:rPr>
        <w:footnoteReference w:id="10"/>
      </w:r>
      <w:r w:rsidRPr="00096CB5">
        <w:t>. Le Conseil se félicite de l'intégration pleine et systématique de l'approche LRRD dans le cycle de financement couvrant la période 2014</w:t>
      </w:r>
      <w:r w:rsidR="00D0289B">
        <w:noBreakHyphen/>
      </w:r>
      <w:r w:rsidRPr="00096CB5">
        <w:t>2020, notamment dans le programme indicatif national concernant Haïti.</w:t>
      </w:r>
    </w:p>
    <w:p w:rsidR="00B211E9" w:rsidRPr="00096CB5" w:rsidRDefault="00B211E9" w:rsidP="00D0289B">
      <w:pPr>
        <w:pStyle w:val="ManualNumPar1"/>
        <w:spacing w:line="216" w:lineRule="auto"/>
        <w:ind w:left="851" w:hanging="851"/>
      </w:pPr>
      <w:r w:rsidRPr="00096CB5">
        <w:t>5.</w:t>
      </w:r>
      <w:r w:rsidRPr="00096CB5">
        <w:tab/>
        <w:t>Le Conseil souligne que l'aide, y compris au titre de l'appui budgétaire, à des États sortant d'une catastrophe ou en situation de fragilité représente une composante fondamentale mais complexe de la politique extérieure de l'Union, tout en relevant que la "Nouvelle Donne" pour l'engagement dans les États fragiles est fondée sur la confiance et la responsabilité réciproques et sur des processus de transition que les pa</w:t>
      </w:r>
      <w:r w:rsidR="00D0289B">
        <w:t>ys sont appelés à conduire et à </w:t>
      </w:r>
      <w:r w:rsidRPr="00096CB5">
        <w:t>prendre en charge, avec les risques connexes qui doivent être gérés mais ne peuvent pas être complètement éliminés. À cet égard, il convient de ren</w:t>
      </w:r>
      <w:r w:rsidR="00D0289B">
        <w:t>forcer la coordination avec les </w:t>
      </w:r>
      <w:r w:rsidRPr="00096CB5">
        <w:t>autres donateurs sur les stratégies d'adaptation aux risques et d'atténuation de ceux-ci dans le cadre de la coopération au développement avec H</w:t>
      </w:r>
      <w:r w:rsidR="00D0289B">
        <w:t>aïti, dans le plein respect des </w:t>
      </w:r>
      <w:r w:rsidRPr="00096CB5">
        <w:t>modalités de fonctionnement de l'aide humanitaire.</w:t>
      </w:r>
    </w:p>
    <w:p w:rsidR="00533401" w:rsidRPr="00096CB5" w:rsidRDefault="00533401" w:rsidP="00D0289B">
      <w:pPr>
        <w:pStyle w:val="ManualNumPar1"/>
        <w:spacing w:line="216" w:lineRule="auto"/>
        <w:ind w:left="851" w:hanging="851"/>
      </w:pPr>
      <w:r w:rsidRPr="00096CB5">
        <w:t>6.</w:t>
      </w:r>
      <w:r w:rsidRPr="00096CB5">
        <w:tab/>
        <w:t>Le Conseil rappelle que l'appui budgétaire de l'UE doit être conçu et mis en œuvre pour contribuer de manière efficace à la réduction de la pauvreté et au développement durable, et</w:t>
      </w:r>
      <w:r w:rsidR="00D0289B">
        <w:t xml:space="preserve"> </w:t>
      </w:r>
      <w:r w:rsidRPr="00096CB5">
        <w:t>tenir compte des objectifs, avantages et risques spécifiques, ainsi que de la faisabilité dans chaque pays partenaire. Le Conseil salue les efforts d</w:t>
      </w:r>
      <w:r w:rsidR="00D0289B">
        <w:t>e la Commission et prend note à </w:t>
      </w:r>
      <w:r w:rsidRPr="00096CB5">
        <w:t xml:space="preserve">cet égard du contrat d'appui à la consolidation de l'État mis </w:t>
      </w:r>
      <w:r w:rsidR="00D0289B">
        <w:t>en place dans le cadre de la </w:t>
      </w:r>
      <w:r w:rsidRPr="00096CB5">
        <w:t>modalité d'aide que représente l'appui budgétaire en faveur des pays fragiles, ainsi que de l'inclusion dans le programme indicatif national 2014-2020 du secteur prioritaire "Réforme de l'État et modernisation de l'administration publique". Le Conseil rappelle qu'un appui budgétaire sous la forme de contrats d'appui à la consolidation de l'État avec des pays partenaires en situation de fragilité devrait reposer sur une approche au cas par cas et sur une évaluation des avantages et risques potentiels</w:t>
      </w:r>
      <w:r w:rsidR="00D0289B">
        <w:t>, ainsi que sur une analyse des </w:t>
      </w:r>
      <w:r w:rsidRPr="00096CB5">
        <w:t>éventuelles autres modalités d'aide et du coût de l'inacti</w:t>
      </w:r>
      <w:r w:rsidR="00D0289B">
        <w:t>on. Un tel appui, y compris les </w:t>
      </w:r>
      <w:r w:rsidRPr="00096CB5">
        <w:t>dépenses, devrait faire l'objet d'un suivi étroit</w:t>
      </w:r>
      <w:r w:rsidRPr="00096CB5">
        <w:rPr>
          <w:rStyle w:val="FootnoteReference"/>
        </w:rPr>
        <w:footnoteReference w:id="11"/>
      </w:r>
      <w:r w:rsidR="00605D3C">
        <w:t>.</w:t>
      </w:r>
    </w:p>
    <w:p w:rsidR="00533401" w:rsidRPr="00096CB5" w:rsidRDefault="00533401" w:rsidP="00D0289B">
      <w:pPr>
        <w:pStyle w:val="ManualNumPar1"/>
        <w:spacing w:line="216" w:lineRule="auto"/>
        <w:ind w:left="851" w:hanging="851"/>
      </w:pPr>
      <w:r w:rsidRPr="00096CB5">
        <w:t>7.</w:t>
      </w:r>
      <w:r w:rsidRPr="00096CB5">
        <w:tab/>
        <w:t>Le Conseil invite la Commission et le SEAE à mettre l'accent, dans le dialogue qu'ils mènent avec le gouvernement haïtien, sur l'importance que revêt la gestion des finances publiques, à fournir un appui suffisant au renforcement des</w:t>
      </w:r>
      <w:r w:rsidR="00D0289B">
        <w:t xml:space="preserve"> capacités et à privilégier les </w:t>
      </w:r>
      <w:r w:rsidRPr="00096CB5">
        <w:t>fonctions essentielles en matière de gestion des finances publiques.</w:t>
      </w:r>
    </w:p>
    <w:p w:rsidR="001129A0" w:rsidRPr="00096CB5" w:rsidRDefault="00533401" w:rsidP="00D0289B">
      <w:pPr>
        <w:pStyle w:val="ManualNumPar1"/>
        <w:spacing w:line="216" w:lineRule="auto"/>
        <w:ind w:left="851" w:hanging="851"/>
      </w:pPr>
      <w:r w:rsidRPr="00096CB5">
        <w:t>8.</w:t>
      </w:r>
      <w:r w:rsidRPr="00096CB5">
        <w:tab/>
        <w:t>Le Conseil rappelle la réaction rapide de l'Union europé</w:t>
      </w:r>
      <w:r w:rsidR="00D0289B">
        <w:t>enne et de ses États membres au </w:t>
      </w:r>
      <w:r w:rsidRPr="00096CB5">
        <w:t>tremblement de terre qui a frappé Haïti le 12 juin 2010, lesquels ont fourni rapidement une aide humanitaire d'urgence et ont déployé sur place des experts de la Commission et des États membres dans les domaines humanitaire et de la protection civile; il rappelle également les efforts accomplis par les États membres en matière de coopération consulaire. Le Conseil se félicite des procédures de continuité</w:t>
      </w:r>
      <w:r w:rsidR="00D0289B">
        <w:t xml:space="preserve"> des activités établies sous la </w:t>
      </w:r>
      <w:r w:rsidRPr="00096CB5">
        <w:t>responsabilité du SEAE, ainsi que des dispositions pour le redéploiement du personnel d'intervention adoptées pour toutes les délégations depuis le tremblement de terre précité.</w:t>
      </w:r>
    </w:p>
    <w:p w:rsidR="00533401" w:rsidRPr="00096CB5" w:rsidRDefault="001129A0" w:rsidP="00605D3C">
      <w:pPr>
        <w:spacing w:line="216" w:lineRule="auto"/>
        <w:ind w:left="851" w:hanging="851"/>
      </w:pPr>
      <w:r w:rsidRPr="00096CB5">
        <w:br w:type="page"/>
        <w:t>9.</w:t>
      </w:r>
      <w:r w:rsidRPr="00096CB5">
        <w:tab/>
        <w:t xml:space="preserve">Le Conseil invite la Commission et le SEAE, agissant avec </w:t>
      </w:r>
      <w:r w:rsidR="00605D3C">
        <w:t>les États membres de l'UE et </w:t>
      </w:r>
      <w:r w:rsidR="00D0289B">
        <w:t>en </w:t>
      </w:r>
      <w:r w:rsidRPr="00096CB5">
        <w:t>coordination avec eux ainsi qu'avec d'autres donat</w:t>
      </w:r>
      <w:r w:rsidR="00605D3C">
        <w:t>eurs, dans le plein respect des </w:t>
      </w:r>
      <w:r w:rsidRPr="00096CB5">
        <w:t>principes humanitaires et compte tenu du rôle central que j</w:t>
      </w:r>
      <w:r w:rsidR="00605D3C">
        <w:t>ouent les Nations unies pour </w:t>
      </w:r>
      <w:r w:rsidR="003F0D52">
        <w:t>ce </w:t>
      </w:r>
      <w:r w:rsidRPr="00096CB5">
        <w:t>qui est d'assurer la direction et la coordination de l'actio</w:t>
      </w:r>
      <w:r w:rsidR="003F0D52">
        <w:t>n humanitaire internationale, à </w:t>
      </w:r>
      <w:r w:rsidRPr="00096CB5">
        <w:t>continuer d'œuvrer en vue d'analyser conjointement l</w:t>
      </w:r>
      <w:r w:rsidR="003F0D52">
        <w:t>es questions humanitaires et de </w:t>
      </w:r>
      <w:r w:rsidRPr="00096CB5">
        <w:t>développement et de réfléchir en commun à des soluti</w:t>
      </w:r>
      <w:r w:rsidR="00605D3C">
        <w:t>ons et au partage </w:t>
      </w:r>
      <w:r w:rsidR="003F0D52">
        <w:t>des tâches, y </w:t>
      </w:r>
      <w:r w:rsidRPr="00096CB5">
        <w:t>compris dans le cad</w:t>
      </w:r>
      <w:r w:rsidR="00D0289B">
        <w:t>re le </w:t>
      </w:r>
      <w:r w:rsidRPr="00096CB5">
        <w:t>cas échéant de la p</w:t>
      </w:r>
      <w:r w:rsidR="00605D3C">
        <w:t>rogrammation conjointe, afin de </w:t>
      </w:r>
      <w:r w:rsidRPr="00096CB5">
        <w:t>contribue</w:t>
      </w:r>
      <w:r w:rsidR="003F0D52">
        <w:t>r à </w:t>
      </w:r>
      <w:r w:rsidR="00D0289B">
        <w:t>renforcer la résilience des </w:t>
      </w:r>
      <w:r w:rsidRPr="00096CB5">
        <w:t>populations les plus vulnérables du pays.</w:t>
      </w:r>
    </w:p>
    <w:p w:rsidR="00B211E9" w:rsidRPr="00096CB5" w:rsidRDefault="00533401" w:rsidP="00605D3C">
      <w:pPr>
        <w:pStyle w:val="ManualNumPar1"/>
        <w:spacing w:line="216" w:lineRule="auto"/>
      </w:pPr>
      <w:r w:rsidRPr="00096CB5">
        <w:t>10.</w:t>
      </w:r>
      <w:r w:rsidRPr="00096CB5">
        <w:tab/>
        <w:t>Enfin, le Conseil souligne que pour aider Haïti dans so</w:t>
      </w:r>
      <w:r w:rsidR="00D0289B">
        <w:t>n processus de transition de la </w:t>
      </w:r>
      <w:r w:rsidRPr="00096CB5">
        <w:t>réhabilitation vers le développement, il faut agir aussi bien à moyen terme qu'à long terme. Le Conseil souligne que cette aide demeure une priorité de la coopération de l'UE."</w:t>
      </w:r>
    </w:p>
    <w:p w:rsidR="00687A1E" w:rsidRPr="00096CB5" w:rsidRDefault="00687A1E" w:rsidP="00605D3C">
      <w:pPr>
        <w:pStyle w:val="Sub-itemApproved"/>
        <w:spacing w:line="216" w:lineRule="auto"/>
      </w:pPr>
      <w:bookmarkStart w:id="11" w:name="_Toc426374853"/>
      <w:r w:rsidRPr="00096CB5">
        <w:t>Coopération financière avec les pays tiers</w:t>
      </w:r>
      <w:bookmarkEnd w:id="11"/>
    </w:p>
    <w:p w:rsidR="00687A1E" w:rsidRPr="00096CB5" w:rsidRDefault="00687A1E" w:rsidP="00605D3C">
      <w:pPr>
        <w:spacing w:line="216" w:lineRule="auto"/>
      </w:pPr>
      <w:r w:rsidRPr="00096CB5">
        <w:t>Le Conseil a adopté les conclusions ci-après sur le rapport spécial de la Cour des comptes intitulé "L'efficacité des financements mixtes combinant des subventions octroyées au titre des facilités d'investissement régionales et des prêts accordés par des institutions financières en vue de soutenir les politiques extérieures de l'Union européenne":</w:t>
      </w:r>
    </w:p>
    <w:p w:rsidR="00533401" w:rsidRPr="00096CB5" w:rsidRDefault="00687A1E" w:rsidP="00605D3C">
      <w:pPr>
        <w:pStyle w:val="ManualNumPar1"/>
        <w:spacing w:line="216" w:lineRule="auto"/>
      </w:pPr>
      <w:r w:rsidRPr="00096CB5">
        <w:t>"1.</w:t>
      </w:r>
      <w:r w:rsidRPr="00096CB5">
        <w:tab/>
        <w:t>Le Conseil se félicite du rapport spécial n° 16/2014 de la Cour des comptes intitulé "L'efficacité des financements mixtes combinant des sub</w:t>
      </w:r>
      <w:r w:rsidR="003F0D52">
        <w:t>ventions octroyées au titre des </w:t>
      </w:r>
      <w:r w:rsidRPr="00096CB5">
        <w:t xml:space="preserve">facilités d'investissement régionales et des prêts accordés par </w:t>
      </w:r>
      <w:r w:rsidR="00D0289B">
        <w:t>des institutions financières en </w:t>
      </w:r>
      <w:r w:rsidRPr="00096CB5">
        <w:t>vue de soutenir les politiques extérieures de l'Union européenne".</w:t>
      </w:r>
    </w:p>
    <w:p w:rsidR="00533401" w:rsidRPr="00096CB5" w:rsidRDefault="00533401" w:rsidP="00605D3C">
      <w:pPr>
        <w:pStyle w:val="ManualNumPar1"/>
        <w:spacing w:line="216" w:lineRule="auto"/>
        <w:rPr>
          <w:sz w:val="23"/>
          <w:szCs w:val="23"/>
        </w:rPr>
      </w:pPr>
      <w:bookmarkStart w:id="12" w:name="_GoBack"/>
      <w:r w:rsidRPr="00096CB5">
        <w:t>2.</w:t>
      </w:r>
      <w:bookmarkEnd w:id="12"/>
      <w:r w:rsidRPr="00096CB5">
        <w:tab/>
      </w:r>
      <w:r w:rsidRPr="00605D3C">
        <w:t>Le Conseil réaffirme qu'il soutient les principes expo</w:t>
      </w:r>
      <w:r w:rsidR="00D0289B" w:rsidRPr="00605D3C">
        <w:t>sés dans ses conclusions sur un </w:t>
      </w:r>
      <w:r w:rsidRPr="00605D3C">
        <w:t>programme pour le changement</w:t>
      </w:r>
      <w:r w:rsidRPr="00605D3C">
        <w:rPr>
          <w:rStyle w:val="FootnoteReference"/>
        </w:rPr>
        <w:footnoteReference w:id="12"/>
      </w:r>
      <w:r w:rsidRPr="00605D3C">
        <w:t xml:space="preserve"> en ce qui concerne la promotion de nouveaux instruments financiers, notamment les mécanismes combinan</w:t>
      </w:r>
      <w:r w:rsidR="00203C3C">
        <w:t>t subventions et prêts, afin </w:t>
      </w:r>
      <w:r w:rsidR="00D0289B" w:rsidRPr="00605D3C">
        <w:t>de </w:t>
      </w:r>
      <w:r w:rsidRPr="00605D3C">
        <w:t>mobiliser des ressources supplémentaires et d'accroître l'impact de l'UE sur l'éradication de la pauvreté et le développement durable. Le Cons</w:t>
      </w:r>
      <w:r w:rsidR="00605D3C">
        <w:t>eil rappelle par ailleurs ses </w:t>
      </w:r>
      <w:r w:rsidRPr="00605D3C">
        <w:t>conclusions de décembre 2013 sur le financement de l'é</w:t>
      </w:r>
      <w:r w:rsidR="00605D3C">
        <w:t>radication de la pauvreté et du </w:t>
      </w:r>
      <w:r w:rsidRPr="00605D3C">
        <w:t>développement durable au-delà de 2015</w:t>
      </w:r>
      <w:r w:rsidRPr="00605D3C">
        <w:rPr>
          <w:b/>
          <w:bCs/>
          <w:vertAlign w:val="superscript"/>
        </w:rPr>
        <w:footnoteReference w:id="13"/>
      </w:r>
      <w:r w:rsidRPr="00605D3C">
        <w:t>, dans lesquelles il souligne que le financement mixte doit tenir</w:t>
      </w:r>
      <w:r w:rsidR="00D0289B" w:rsidRPr="00605D3C">
        <w:t xml:space="preserve"> </w:t>
      </w:r>
      <w:r w:rsidRPr="00605D3C">
        <w:t>pleinement compte du caractère sout</w:t>
      </w:r>
      <w:r w:rsidR="00605D3C">
        <w:t>enable de la dette et de la </w:t>
      </w:r>
      <w:r w:rsidRPr="00605D3C">
        <w:t>r</w:t>
      </w:r>
      <w:r w:rsidR="00D0289B" w:rsidRPr="00605D3C">
        <w:t>esponsabilisation et éviter les </w:t>
      </w:r>
      <w:r w:rsidRPr="00605D3C">
        <w:t>perturbations du marché et les risques budgétaires.</w:t>
      </w:r>
    </w:p>
    <w:p w:rsidR="001129A0" w:rsidRPr="00096CB5" w:rsidRDefault="00353FFE" w:rsidP="00605D3C">
      <w:pPr>
        <w:pStyle w:val="ManualNumPar1"/>
        <w:spacing w:line="216" w:lineRule="auto"/>
        <w:rPr>
          <w:sz w:val="23"/>
          <w:szCs w:val="23"/>
        </w:rPr>
      </w:pPr>
      <w:r w:rsidRPr="00203C3C">
        <w:t>3.</w:t>
      </w:r>
      <w:r w:rsidRPr="00096CB5">
        <w:tab/>
      </w:r>
      <w:r w:rsidRPr="00605D3C">
        <w:t xml:space="preserve">Le Conseil souligne l'importance des mécanismes innovants </w:t>
      </w:r>
      <w:r w:rsidR="00D0289B" w:rsidRPr="00605D3C">
        <w:t>dans l'optique de mobiliser des </w:t>
      </w:r>
      <w:r w:rsidRPr="00605D3C">
        <w:t xml:space="preserve">ressources supplémentaires en faveur du développement </w:t>
      </w:r>
      <w:r w:rsidR="00D0289B" w:rsidRPr="00605D3C">
        <w:t>durable, de l'éradication de la </w:t>
      </w:r>
      <w:r w:rsidRPr="00605D3C">
        <w:t>pauvreté et des mesures de lutte contre le changement climatique. Ces questions devraient constituer un volet important de la troisième conférence inter</w:t>
      </w:r>
      <w:r w:rsidR="00605D3C">
        <w:t>nationale sur le </w:t>
      </w:r>
      <w:r w:rsidR="00D0289B" w:rsidRPr="00605D3C">
        <w:t>financement du </w:t>
      </w:r>
      <w:r w:rsidRPr="00605D3C">
        <w:t>développement qui aura lieu à Addis</w:t>
      </w:r>
      <w:r w:rsidRPr="00605D3C">
        <w:noBreakHyphen/>
        <w:t>Abeba en juillet 2015. Le Conseil est par ailleurs conscient du potentiel que présente le financement mixte pour des projets qui, sans cela, n'attireraient ni ressources ni investisseurs privés en raison de leur profil de risque élevé et/ou de leur faible rentabilité. Dans ce contexte, il deman</w:t>
      </w:r>
      <w:r w:rsidR="00D0289B" w:rsidRPr="00605D3C">
        <w:t>de que l'accent soit mis sur la </w:t>
      </w:r>
      <w:r w:rsidRPr="00605D3C">
        <w:t>diversification des sources de financement débloqué</w:t>
      </w:r>
      <w:r w:rsidR="00D0289B" w:rsidRPr="00605D3C">
        <w:t>es par le financement mixte, en </w:t>
      </w:r>
      <w:r w:rsidRPr="00605D3C">
        <w:t>provenance du secteur public comme du secteur privé.</w:t>
      </w:r>
    </w:p>
    <w:p w:rsidR="004F097D" w:rsidRPr="00096CB5" w:rsidRDefault="001129A0" w:rsidP="003F0D52">
      <w:pPr>
        <w:ind w:left="851" w:hanging="851"/>
        <w:rPr>
          <w:sz w:val="23"/>
          <w:szCs w:val="23"/>
        </w:rPr>
      </w:pPr>
      <w:r w:rsidRPr="00096CB5">
        <w:br w:type="page"/>
      </w:r>
      <w:r w:rsidRPr="00605D3C">
        <w:t>4.</w:t>
      </w:r>
      <w:r w:rsidRPr="00096CB5">
        <w:tab/>
      </w:r>
      <w:r w:rsidRPr="00096CB5">
        <w:rPr>
          <w:sz w:val="23"/>
        </w:rPr>
        <w:t>Le Conseil rappelle ses conclusions de décembre 2014</w:t>
      </w:r>
      <w:r w:rsidRPr="00605D3C">
        <w:rPr>
          <w:rStyle w:val="FootnoteReference"/>
        </w:rPr>
        <w:footnoteReference w:id="14"/>
      </w:r>
      <w:r w:rsidRPr="00096CB5">
        <w:rPr>
          <w:sz w:val="23"/>
        </w:rPr>
        <w:t>, dans lesquelles il énonçait de façon succincte les principes et critères de partenariats réussis avec le s</w:t>
      </w:r>
      <w:r w:rsidR="003F0D52">
        <w:rPr>
          <w:sz w:val="23"/>
        </w:rPr>
        <w:t>ecteur privé, constatant que le </w:t>
      </w:r>
      <w:r w:rsidRPr="00096CB5">
        <w:rPr>
          <w:sz w:val="23"/>
        </w:rPr>
        <w:t>financement mixte est un outil important pour stimuler la croissance économique, l'innovation et la création d'emplois, et prenant acte des efforts déployés par la Commission, les États membres et les institutions européennes de financement</w:t>
      </w:r>
      <w:r w:rsidR="003F0D52">
        <w:rPr>
          <w:sz w:val="23"/>
        </w:rPr>
        <w:t xml:space="preserve"> dans le cadre de la plateforme </w:t>
      </w:r>
      <w:r w:rsidRPr="00096CB5">
        <w:rPr>
          <w:sz w:val="23"/>
        </w:rPr>
        <w:t>de financement mixte de l'UE pour la coopération extérieure afin de renforcer l'efficacité - grâce à une meilleure coordination et participation des baill</w:t>
      </w:r>
      <w:r w:rsidR="003F0D52">
        <w:rPr>
          <w:sz w:val="23"/>
        </w:rPr>
        <w:t>eurs de fonds, en promouvant la </w:t>
      </w:r>
      <w:r w:rsidRPr="00096CB5">
        <w:rPr>
          <w:sz w:val="23"/>
        </w:rPr>
        <w:t>répartition des tâches et en réduisant les coûts de transaction supportés par les partenaires - et d'augmenter l'impact des opérations de financement mixte sur le</w:t>
      </w:r>
      <w:r w:rsidR="003F0D52">
        <w:rPr>
          <w:sz w:val="23"/>
        </w:rPr>
        <w:t> </w:t>
      </w:r>
      <w:r w:rsidRPr="00096CB5">
        <w:rPr>
          <w:sz w:val="23"/>
        </w:rPr>
        <w:t>dé</w:t>
      </w:r>
      <w:r w:rsidR="003F0D52">
        <w:rPr>
          <w:sz w:val="23"/>
        </w:rPr>
        <w:t>veloppement, en s'inspirant des </w:t>
      </w:r>
      <w:r w:rsidRPr="00096CB5">
        <w:rPr>
          <w:sz w:val="23"/>
        </w:rPr>
        <w:t>enseignements tirés.</w:t>
      </w:r>
    </w:p>
    <w:p w:rsidR="00533401" w:rsidRPr="00096CB5" w:rsidRDefault="00353FFE" w:rsidP="00353FFE">
      <w:pPr>
        <w:pStyle w:val="ManualNumPar1"/>
        <w:rPr>
          <w:sz w:val="23"/>
          <w:szCs w:val="23"/>
        </w:rPr>
      </w:pPr>
      <w:r w:rsidRPr="00605D3C">
        <w:t>5.</w:t>
      </w:r>
      <w:r w:rsidRPr="00096CB5">
        <w:tab/>
      </w:r>
      <w:r w:rsidRPr="00096CB5">
        <w:rPr>
          <w:sz w:val="23"/>
        </w:rPr>
        <w:t>Le Conseil constate que la Cour, dans son rapport spécial, conclut que les facilités d'investissement régionales ont été convenablement mises en place et que les financements combinant des subventions accordées par les facilités d'investissement régionales et des prêts octroyés par des institutions financières en vue de soutenir les po</w:t>
      </w:r>
      <w:r w:rsidR="003F0D52">
        <w:rPr>
          <w:sz w:val="23"/>
        </w:rPr>
        <w:t>litiques extérieures de l'UE se </w:t>
      </w:r>
      <w:r w:rsidRPr="00096CB5">
        <w:rPr>
          <w:sz w:val="23"/>
        </w:rPr>
        <w:t>sont avérés efficaces d'une manière générale. Le rapport indique en outre qu'un volume important de ressources supplémentaires a été mobilisé, principalement par les institutions financières européennes.</w:t>
      </w:r>
    </w:p>
    <w:p w:rsidR="00533401" w:rsidRPr="00096CB5" w:rsidRDefault="00353FFE" w:rsidP="00F13C21">
      <w:pPr>
        <w:pStyle w:val="ManualNumPar1"/>
        <w:rPr>
          <w:sz w:val="23"/>
          <w:szCs w:val="23"/>
        </w:rPr>
      </w:pPr>
      <w:r w:rsidRPr="00605D3C">
        <w:t>6.</w:t>
      </w:r>
      <w:r w:rsidRPr="00096CB5">
        <w:tab/>
      </w:r>
      <w:r w:rsidRPr="00096CB5">
        <w:rPr>
          <w:sz w:val="23"/>
        </w:rPr>
        <w:t>Le Conseil accueille avec satisfaction les conclusions de la C</w:t>
      </w:r>
      <w:r w:rsidR="003F0D52">
        <w:rPr>
          <w:sz w:val="23"/>
        </w:rPr>
        <w:t>our concernant la pertinence de </w:t>
      </w:r>
      <w:r w:rsidRPr="00096CB5">
        <w:rPr>
          <w:sz w:val="23"/>
        </w:rPr>
        <w:t>tous les projets audités au regard des besoins des régions e</w:t>
      </w:r>
      <w:r w:rsidR="003F0D52">
        <w:rPr>
          <w:sz w:val="23"/>
        </w:rPr>
        <w:t>t des pays concernés en matière </w:t>
      </w:r>
      <w:r w:rsidRPr="00096CB5">
        <w:rPr>
          <w:sz w:val="23"/>
        </w:rPr>
        <w:t>de développement, la coordination renforcée entre les</w:t>
      </w:r>
      <w:r w:rsidR="003F0D52">
        <w:rPr>
          <w:sz w:val="23"/>
        </w:rPr>
        <w:t xml:space="preserve"> partenaires dans le domaine du </w:t>
      </w:r>
      <w:r w:rsidRPr="00096CB5">
        <w:rPr>
          <w:sz w:val="23"/>
        </w:rPr>
        <w:t>développement, la réduction des coûts de transacti</w:t>
      </w:r>
      <w:r w:rsidR="003F0D52">
        <w:rPr>
          <w:sz w:val="23"/>
        </w:rPr>
        <w:t>on pour les bénéficiaires et le </w:t>
      </w:r>
      <w:r w:rsidRPr="00096CB5">
        <w:rPr>
          <w:sz w:val="23"/>
        </w:rPr>
        <w:t>financement de projets de trop grande envergure pour être financés par une seule institution. Dans le même temps, le Conseil prend acte de la conclusio</w:t>
      </w:r>
      <w:r w:rsidR="003F0D52">
        <w:rPr>
          <w:sz w:val="23"/>
        </w:rPr>
        <w:t>n de la Cour selon laquelle les </w:t>
      </w:r>
      <w:r w:rsidRPr="00096CB5">
        <w:rPr>
          <w:sz w:val="23"/>
        </w:rPr>
        <w:t>avantages que le financement mixte est susceptible de procurer ne se sont pas pleinement concrétisés en raison de faiblesses affectant la gestion et que, pour la moitié des projets examinés, aucune analyse ne démontre de manière convaincante qu'une subvention est indispensable pour permettre à l'institution financière de contracter les prêts.</w:t>
      </w:r>
    </w:p>
    <w:p w:rsidR="00533401" w:rsidRPr="00096CB5" w:rsidRDefault="00353FFE" w:rsidP="00353FFE">
      <w:pPr>
        <w:pStyle w:val="ManualNumPar1"/>
        <w:rPr>
          <w:sz w:val="23"/>
          <w:szCs w:val="23"/>
        </w:rPr>
      </w:pPr>
      <w:r w:rsidRPr="00605D3C">
        <w:t>7.</w:t>
      </w:r>
      <w:r w:rsidRPr="00096CB5">
        <w:tab/>
      </w:r>
      <w:r w:rsidRPr="00096CB5">
        <w:rPr>
          <w:sz w:val="23"/>
        </w:rPr>
        <w:t>Le Conseil se félicite des recommandations formulées par la</w:t>
      </w:r>
      <w:r w:rsidR="003F0D52">
        <w:rPr>
          <w:sz w:val="23"/>
        </w:rPr>
        <w:t xml:space="preserve"> Cour selon lesquelles, dans le </w:t>
      </w:r>
      <w:r w:rsidRPr="00096CB5">
        <w:rPr>
          <w:sz w:val="23"/>
        </w:rPr>
        <w:t>contexte des financements combinant des subventions octroyées au titre des facilités d'investissement régionales et des prêts accordés par d</w:t>
      </w:r>
      <w:r w:rsidR="003F0D52">
        <w:rPr>
          <w:sz w:val="23"/>
        </w:rPr>
        <w:t>es institutions financières, la </w:t>
      </w:r>
      <w:r w:rsidRPr="00096CB5">
        <w:rPr>
          <w:sz w:val="23"/>
        </w:rPr>
        <w:t>Commission devrait:</w:t>
      </w:r>
    </w:p>
    <w:p w:rsidR="00533401" w:rsidRPr="00096CB5" w:rsidRDefault="00533401" w:rsidP="00353FFE">
      <w:pPr>
        <w:pStyle w:val="Tiret0"/>
      </w:pPr>
      <w:r w:rsidRPr="00096CB5">
        <w:t xml:space="preserve">veiller à ce que les subventions de l'UE soient allouées sur la base d'une évaluation documentée de la valeur ajoutée qu'elles apportent sur le plan </w:t>
      </w:r>
      <w:r w:rsidR="003F0D52">
        <w:t>de la réalisation des objectifs </w:t>
      </w:r>
      <w:r w:rsidRPr="00096CB5">
        <w:t>de l'UE dans les domaines du développement, des relations de vois</w:t>
      </w:r>
      <w:r w:rsidR="003F0D52">
        <w:t>inage et de </w:t>
      </w:r>
      <w:r w:rsidRPr="00096CB5">
        <w:t>l'élargissement, notamment en adoptant et appliquant</w:t>
      </w:r>
      <w:r w:rsidR="003F0D52">
        <w:t xml:space="preserve"> des lignes directrices afin de </w:t>
      </w:r>
      <w:r w:rsidRPr="00096CB5">
        <w:t>guider l'action de la Commission à chaque étape du processus d'approbation et de suivi et en faisant preuve de plus d'initiative, en particulier au niveau des délégations de l'UE, lors du recensement et de la sélection des projets;</w:t>
      </w:r>
    </w:p>
    <w:p w:rsidR="00533401" w:rsidRPr="00096CB5" w:rsidRDefault="00533401" w:rsidP="00353FFE">
      <w:pPr>
        <w:pStyle w:val="Tiret0"/>
      </w:pPr>
      <w:r w:rsidRPr="00096CB5">
        <w:t>ne débloquer les fonds qu'une fois que le bénéficiaire en a effectivement besoin;</w:t>
      </w:r>
    </w:p>
    <w:p w:rsidR="00533401" w:rsidRPr="00096CB5" w:rsidRDefault="005E62CB" w:rsidP="00353FFE">
      <w:pPr>
        <w:pStyle w:val="Tiret0"/>
      </w:pPr>
      <w:r w:rsidRPr="00096CB5">
        <w:br w:type="page"/>
        <w:t>améliorer son suivi de l'utilisation des subventions d</w:t>
      </w:r>
      <w:r w:rsidR="003F0D52">
        <w:t>e l'UE, notamment au moyen d'un </w:t>
      </w:r>
      <w:r w:rsidRPr="00096CB5">
        <w:t>système de mesure des résultats qui comprendr</w:t>
      </w:r>
      <w:r w:rsidR="003F0D52">
        <w:t>ait des indicateurs de suivi de </w:t>
      </w:r>
      <w:r w:rsidRPr="00096CB5">
        <w:t>l'incidence des subventions de l'UE, des instructions claires aux délégations de l'UE concernant le rôle qu'elles ont à jouer dans le suivi et une m</w:t>
      </w:r>
      <w:r w:rsidR="003F0D52">
        <w:t>éthode adaptée de suivi axé sur </w:t>
      </w:r>
      <w:r w:rsidRPr="00096CB5">
        <w:t>les résultats;</w:t>
      </w:r>
    </w:p>
    <w:p w:rsidR="00533401" w:rsidRPr="00096CB5" w:rsidRDefault="00533401" w:rsidP="00353FFE">
      <w:pPr>
        <w:pStyle w:val="Tiret0"/>
      </w:pPr>
      <w:r w:rsidRPr="00096CB5">
        <w:t>intensifier ses efforts en vue d'assurer que les finance</w:t>
      </w:r>
      <w:r w:rsidR="003F0D52">
        <w:t>ments de l'UE bénéficient d'une </w:t>
      </w:r>
      <w:r w:rsidRPr="00096CB5">
        <w:t>bonne visibilité.</w:t>
      </w:r>
    </w:p>
    <w:p w:rsidR="00533401" w:rsidRPr="00096CB5" w:rsidRDefault="00353FFE" w:rsidP="00353FFE">
      <w:pPr>
        <w:pStyle w:val="ManualNumPar1"/>
        <w:rPr>
          <w:sz w:val="23"/>
          <w:szCs w:val="23"/>
        </w:rPr>
      </w:pPr>
      <w:r w:rsidRPr="00605D3C">
        <w:t>8.</w:t>
      </w:r>
      <w:r w:rsidRPr="00096CB5">
        <w:tab/>
      </w:r>
      <w:r w:rsidRPr="00096CB5">
        <w:rPr>
          <w:sz w:val="23"/>
        </w:rPr>
        <w:t>Le Conseil souligne qu'il faut préserver le rôle des institutions financières et l'approche ascendante qui sont essentiels au succès des opérations de fin</w:t>
      </w:r>
      <w:r w:rsidR="003F0D52">
        <w:rPr>
          <w:sz w:val="23"/>
        </w:rPr>
        <w:t>ancement mixte. Il souligne que </w:t>
      </w:r>
      <w:r w:rsidRPr="00096CB5">
        <w:rPr>
          <w:sz w:val="23"/>
        </w:rPr>
        <w:t>la Commission doit limiter le déblocage des fonds à ce qui est nécessaire pour servir de catalyseur aux investissements, tout en tenant compte égaleme</w:t>
      </w:r>
      <w:r w:rsidR="003F0D52">
        <w:rPr>
          <w:sz w:val="23"/>
        </w:rPr>
        <w:t>nt des besoins opérationnels du </w:t>
      </w:r>
      <w:r w:rsidRPr="00096CB5">
        <w:rPr>
          <w:sz w:val="23"/>
        </w:rPr>
        <w:t>projet faisant l'objet d'une opération de financement mi</w:t>
      </w:r>
      <w:r w:rsidR="003F0D52">
        <w:rPr>
          <w:sz w:val="23"/>
        </w:rPr>
        <w:t>xte. Par ailleurs, il invite la </w:t>
      </w:r>
      <w:r w:rsidRPr="00096CB5">
        <w:rPr>
          <w:sz w:val="23"/>
        </w:rPr>
        <w:t>Commission à pleinement tirer parti de la possibilité qu'offrent les opérations de ce type d'imprimer davantage sa marque sur la politique du secteur concerné.</w:t>
      </w:r>
    </w:p>
    <w:p w:rsidR="00533401" w:rsidRPr="00096CB5" w:rsidRDefault="00353FFE" w:rsidP="00353FFE">
      <w:pPr>
        <w:pStyle w:val="ManualNumPar1"/>
        <w:rPr>
          <w:sz w:val="23"/>
          <w:szCs w:val="23"/>
        </w:rPr>
      </w:pPr>
      <w:r w:rsidRPr="00605D3C">
        <w:t>9.</w:t>
      </w:r>
      <w:r w:rsidRPr="00096CB5">
        <w:tab/>
      </w:r>
      <w:r w:rsidRPr="00096CB5">
        <w:rPr>
          <w:sz w:val="23"/>
        </w:rPr>
        <w:t>Le Conseil prend note des travaux engagés par la</w:t>
      </w:r>
      <w:r w:rsidR="00D0289B">
        <w:rPr>
          <w:sz w:val="23"/>
        </w:rPr>
        <w:t xml:space="preserve"> </w:t>
      </w:r>
      <w:r w:rsidRPr="00096CB5">
        <w:rPr>
          <w:sz w:val="23"/>
        </w:rPr>
        <w:t>plateforme de financement mixte de l'UE pour la coopération extérieure et de ceux menés jusqu'</w:t>
      </w:r>
      <w:r w:rsidR="003F0D52">
        <w:rPr>
          <w:sz w:val="23"/>
        </w:rPr>
        <w:t>ici par la Commission en vue de </w:t>
      </w:r>
      <w:r w:rsidRPr="00096CB5">
        <w:rPr>
          <w:sz w:val="23"/>
        </w:rPr>
        <w:t>réformer les facilités d'investissement régionales et améliorer</w:t>
      </w:r>
      <w:r w:rsidR="003F0D52">
        <w:rPr>
          <w:sz w:val="23"/>
        </w:rPr>
        <w:t xml:space="preserve"> l'efficacité des opérations de </w:t>
      </w:r>
      <w:r w:rsidRPr="00096CB5">
        <w:rPr>
          <w:sz w:val="23"/>
        </w:rPr>
        <w:t>financement mixte et encourage leur poursuite. Les mesures mises en place tiennent compte des principales recommandations de la Cour. Elles portent n</w:t>
      </w:r>
      <w:r w:rsidR="003F0D52">
        <w:rPr>
          <w:sz w:val="23"/>
        </w:rPr>
        <w:t>otamment sur l'évaluation de la </w:t>
      </w:r>
      <w:r w:rsidRPr="00096CB5">
        <w:rPr>
          <w:sz w:val="23"/>
        </w:rPr>
        <w:t>valeur ajoutée de la subvention et des besoins réels de débloca</w:t>
      </w:r>
      <w:r w:rsidR="003F0D52">
        <w:rPr>
          <w:sz w:val="23"/>
        </w:rPr>
        <w:t>ge des fonds, l'amélioration du </w:t>
      </w:r>
      <w:r w:rsidRPr="00096CB5">
        <w:rPr>
          <w:sz w:val="23"/>
        </w:rPr>
        <w:t>suivi, des instructions et des lignes directrices à l'intention des agents de l'UE, y compris une participation accrue des délégations de l'UE, ainsi q</w:t>
      </w:r>
      <w:r w:rsidR="003F0D52">
        <w:rPr>
          <w:sz w:val="23"/>
        </w:rPr>
        <w:t>ue de la communication et de la </w:t>
      </w:r>
      <w:r w:rsidRPr="00096CB5">
        <w:rPr>
          <w:sz w:val="23"/>
        </w:rPr>
        <w:t>visibilité de l'UE, tant au niveau des mécanismes de financement mixte que des projets individuels.</w:t>
      </w:r>
    </w:p>
    <w:p w:rsidR="00533401" w:rsidRPr="00096CB5" w:rsidRDefault="00353FFE">
      <w:pPr>
        <w:pStyle w:val="ManualNumPar1"/>
        <w:rPr>
          <w:sz w:val="23"/>
          <w:szCs w:val="23"/>
        </w:rPr>
      </w:pPr>
      <w:r w:rsidRPr="00605D3C">
        <w:t>10.</w:t>
      </w:r>
      <w:r w:rsidRPr="00096CB5">
        <w:tab/>
      </w:r>
      <w:r w:rsidRPr="00096CB5">
        <w:rPr>
          <w:sz w:val="23"/>
        </w:rPr>
        <w:t>Le Conseil se félicite du rapport établi récemment par la Commission concernant les activités de la plateforme de financement mixte de l'UE pour la coopérati</w:t>
      </w:r>
      <w:r w:rsidR="003F0D52">
        <w:rPr>
          <w:sz w:val="23"/>
        </w:rPr>
        <w:t>on extérieure depuis sa mise en </w:t>
      </w:r>
      <w:r w:rsidRPr="00096CB5">
        <w:rPr>
          <w:sz w:val="23"/>
        </w:rPr>
        <w:t>place jusqu'à fin juillet 2014</w:t>
      </w:r>
      <w:r w:rsidRPr="00605D3C">
        <w:rPr>
          <w:rStyle w:val="FootnoteReference"/>
        </w:rPr>
        <w:footnoteReference w:id="15"/>
      </w:r>
      <w:r w:rsidRPr="00096CB5">
        <w:rPr>
          <w:sz w:val="23"/>
        </w:rPr>
        <w:t xml:space="preserve"> et salue les mesures qui o</w:t>
      </w:r>
      <w:r w:rsidR="003F0D52">
        <w:rPr>
          <w:sz w:val="23"/>
        </w:rPr>
        <w:t>nt été prises pour améliorer le </w:t>
      </w:r>
      <w:r w:rsidRPr="00096CB5">
        <w:rPr>
          <w:sz w:val="23"/>
        </w:rPr>
        <w:t>fonctionnement des mécanismes de financement mixte. Par ailleurs, il accueille favorablement la mise en place de la nouvelle structure de gou</w:t>
      </w:r>
      <w:r w:rsidR="003F0D52">
        <w:rPr>
          <w:sz w:val="23"/>
        </w:rPr>
        <w:t>vernance destinée à permettre à </w:t>
      </w:r>
      <w:r w:rsidRPr="00096CB5">
        <w:rPr>
          <w:sz w:val="23"/>
        </w:rPr>
        <w:t>l'ensemble des États membres d'être plus étroitement associés auxdits mécanismes.</w:t>
      </w:r>
    </w:p>
    <w:p w:rsidR="00533401" w:rsidRPr="00096CB5" w:rsidRDefault="00353FFE" w:rsidP="00353FFE">
      <w:pPr>
        <w:pStyle w:val="ManualNumPar1"/>
        <w:rPr>
          <w:sz w:val="23"/>
          <w:szCs w:val="23"/>
        </w:rPr>
      </w:pPr>
      <w:r w:rsidRPr="00605D3C">
        <w:t>11.</w:t>
      </w:r>
      <w:r w:rsidRPr="00096CB5">
        <w:tab/>
      </w:r>
      <w:r w:rsidRPr="00096CB5">
        <w:rPr>
          <w:sz w:val="23"/>
        </w:rPr>
        <w:t>Le Conseil souligne qu'il convient de veiller, dans toutes les opérations de financement mixte, à l'appropriation et à l'alignement sur les stratégies de développement nationales et/ou régionales. À cet effet, des discussions stratégiques avec les autorités nationales et/ou régionales concernées devraient être encouragées. Le Conseil ra</w:t>
      </w:r>
      <w:r w:rsidR="003F0D52">
        <w:rPr>
          <w:sz w:val="23"/>
        </w:rPr>
        <w:t>ppelle que l'UE s'est engagée à </w:t>
      </w:r>
      <w:r w:rsidRPr="00096CB5">
        <w:rPr>
          <w:sz w:val="23"/>
        </w:rPr>
        <w:t>intégrer la lutte contre le changement climatique dans la coopération au développement et insiste sur le rôle considérable que le financement mixte pourrait</w:t>
      </w:r>
      <w:r w:rsidR="003F0D52">
        <w:rPr>
          <w:sz w:val="23"/>
        </w:rPr>
        <w:t xml:space="preserve"> jouer à l'appui de l'action de </w:t>
      </w:r>
      <w:r w:rsidRPr="00096CB5">
        <w:rPr>
          <w:sz w:val="23"/>
        </w:rPr>
        <w:t>l'UE en la matière. Il rappelle aussi que l'UE est déterminée à intégrer les questions de l'égalité des sexes et de l'émancipation des femmes dans l'ensemble de ses politiques et programmes dans le domaine du développement, y compris les opérations de financement mixte.</w:t>
      </w:r>
    </w:p>
    <w:p w:rsidR="00533401" w:rsidRPr="00605D3C" w:rsidRDefault="005E62CB" w:rsidP="00353FFE">
      <w:pPr>
        <w:pStyle w:val="ManualNumPar1"/>
      </w:pPr>
      <w:r w:rsidRPr="00096CB5">
        <w:br w:type="page"/>
      </w:r>
      <w:r w:rsidRPr="00605D3C">
        <w:t>12.</w:t>
      </w:r>
      <w:r w:rsidRPr="00096CB5">
        <w:tab/>
      </w:r>
      <w:r w:rsidRPr="00605D3C">
        <w:t>Le Conseil demande à la Commission de veiller à ce que les</w:t>
      </w:r>
      <w:r w:rsidR="003F0D52" w:rsidRPr="00605D3C">
        <w:t xml:space="preserve"> recommandations formulées dans </w:t>
      </w:r>
      <w:r w:rsidRPr="00605D3C">
        <w:t>le rapport spécial soient correctement appliquées et fassent l'objet d'un suivi approprié et de contrôles effectifs et de continuer à améliorer les mécan</w:t>
      </w:r>
      <w:r w:rsidR="003F0D52" w:rsidRPr="00605D3C">
        <w:t>ismes de finance</w:t>
      </w:r>
      <w:r w:rsidR="00605D3C">
        <w:t>ment mixte </w:t>
      </w:r>
      <w:r w:rsidR="003F0D52" w:rsidRPr="00605D3C">
        <w:t>et à </w:t>
      </w:r>
      <w:r w:rsidRPr="00605D3C">
        <w:t>démontrer la valeur ajoutée de la subvention, y c</w:t>
      </w:r>
      <w:r w:rsidR="00605D3C">
        <w:t>ompris en termes financiers, en </w:t>
      </w:r>
      <w:r w:rsidRPr="00605D3C">
        <w:t>évitant que les opérations de financement mixte n'</w:t>
      </w:r>
      <w:r w:rsidR="00605D3C">
        <w:t>entraînent des perturbations du </w:t>
      </w:r>
      <w:r w:rsidRPr="00605D3C">
        <w:t>marché. Il souligne qu'il importe que la Commission,</w:t>
      </w:r>
      <w:r w:rsidR="00605D3C">
        <w:t xml:space="preserve"> lorsqu'elles s'acquitte de ses </w:t>
      </w:r>
      <w:r w:rsidRPr="00605D3C">
        <w:t>obligations de rapport annuel, présente des informations complètes et probantes concernant toutes les opérations de financement mixt</w:t>
      </w:r>
      <w:r w:rsidR="00605D3C">
        <w:t>e réalisées dans le cadre de la </w:t>
      </w:r>
      <w:r w:rsidRPr="00605D3C">
        <w:t>coopération extérieure de l'UE.</w:t>
      </w:r>
    </w:p>
    <w:p w:rsidR="00A810A4" w:rsidRPr="00605D3C" w:rsidRDefault="00353FFE" w:rsidP="00353FFE">
      <w:pPr>
        <w:pStyle w:val="ManualNumPar1"/>
      </w:pPr>
      <w:r w:rsidRPr="00605D3C">
        <w:t>13.</w:t>
      </w:r>
      <w:r w:rsidRPr="00605D3C">
        <w:tab/>
        <w:t>Le Conseil attend avec intérêt les résultats de la réfle</w:t>
      </w:r>
      <w:r w:rsidR="003F0D52" w:rsidRPr="00605D3C">
        <w:t>xion, entamée il y a peu par la </w:t>
      </w:r>
      <w:r w:rsidRPr="00605D3C">
        <w:t>Commission, sur le financement mixte en tant que modalité d'aide et il souligne qu'il convient d'apporter une attention particulière à l'évaluation d</w:t>
      </w:r>
      <w:r w:rsidR="003F0D52" w:rsidRPr="00605D3C">
        <w:t>e l'incidence des opérations de </w:t>
      </w:r>
      <w:r w:rsidRPr="00605D3C">
        <w:t>financement mixte sur le développement. Puisqu'elle est ce</w:t>
      </w:r>
      <w:r w:rsidR="00605D3C">
        <w:t>nsée compléter le rapport de </w:t>
      </w:r>
      <w:r w:rsidR="003F0D52" w:rsidRPr="00605D3C">
        <w:t>la </w:t>
      </w:r>
      <w:r w:rsidRPr="00605D3C">
        <w:t>Cour, cette réflexion devrait contribuer grandement à l'évaluation de l</w:t>
      </w:r>
      <w:r w:rsidR="00605D3C">
        <w:t>'intérêt global </w:t>
      </w:r>
      <w:r w:rsidR="003F0D52" w:rsidRPr="00605D3C">
        <w:t>du </w:t>
      </w:r>
      <w:r w:rsidRPr="00605D3C">
        <w:t>financement mixte. Il sera crucial, pour garantir</w:t>
      </w:r>
      <w:r w:rsidR="00605D3C">
        <w:t xml:space="preserve"> l'incidence et l'efficacité du </w:t>
      </w:r>
      <w:r w:rsidRPr="00605D3C">
        <w:t>financement mixte en tant qu'instrument de développem</w:t>
      </w:r>
      <w:r w:rsidR="00605D3C">
        <w:t>ent, d'appliquer en temps voulu </w:t>
      </w:r>
      <w:r w:rsidRPr="00605D3C">
        <w:t xml:space="preserve">le cadre de mesure des résultats et de faire rapport sur les résultats </w:t>
      </w:r>
      <w:r w:rsidR="00605D3C">
        <w:t>des opérations de </w:t>
      </w:r>
      <w:r w:rsidRPr="00605D3C">
        <w:t>financement mixte."</w:t>
      </w:r>
    </w:p>
    <w:p w:rsidR="00687A1E" w:rsidRPr="00096CB5" w:rsidRDefault="00687A1E" w:rsidP="00687A1E">
      <w:pPr>
        <w:pStyle w:val="Sub-itemApproved"/>
      </w:pPr>
      <w:bookmarkStart w:id="13" w:name="_Toc426374854"/>
      <w:r w:rsidRPr="00096CB5">
        <w:t>Systèmes d'évaluation et de suivi d'EuropeAid</w:t>
      </w:r>
      <w:bookmarkEnd w:id="13"/>
    </w:p>
    <w:p w:rsidR="00687A1E" w:rsidRPr="00096CB5" w:rsidRDefault="00687A1E">
      <w:r w:rsidRPr="00096CB5">
        <w:t>Le Conseil a adopté des conclusions sur le rapport spécial de la Cour des comptes européenne intitulé "Les systèmes d'évaluation et de suivi axé sur les résultats d'EuropeAid".</w:t>
      </w:r>
    </w:p>
    <w:p w:rsidR="00687A1E" w:rsidRPr="00096CB5" w:rsidRDefault="00687A1E" w:rsidP="00687A1E">
      <w:pPr>
        <w:pStyle w:val="Sub-itemApproved"/>
      </w:pPr>
      <w:bookmarkStart w:id="14" w:name="_Toc426374855"/>
      <w:r w:rsidRPr="00096CB5">
        <w:t xml:space="preserve">Rapport sur les systèmes d'évaluation et de suivi axé sur les résultats d'EuropeAid </w:t>
      </w:r>
      <w:bookmarkEnd w:id="14"/>
    </w:p>
    <w:p w:rsidR="00687A1E" w:rsidRPr="00096CB5" w:rsidRDefault="00687A1E">
      <w:pPr>
        <w:rPr>
          <w:rFonts w:asciiTheme="majorBidi" w:hAnsiTheme="majorBidi" w:cstheme="majorBidi"/>
        </w:rPr>
      </w:pPr>
      <w:r w:rsidRPr="00096CB5">
        <w:rPr>
          <w:rFonts w:asciiTheme="majorBidi" w:hAnsiTheme="majorBidi" w:cstheme="majorBidi"/>
        </w:rPr>
        <w:t>Le Conseil a approuvé les conclusions sur le rapport spécial n° 18/2014 de la Cour des comptes européenne intitulé "Les systèmes d</w:t>
      </w:r>
      <w:r w:rsidR="00D0289B">
        <w:rPr>
          <w:rFonts w:asciiTheme="majorBidi" w:hAnsiTheme="majorBidi" w:cstheme="majorBidi"/>
        </w:rPr>
        <w:t>'</w:t>
      </w:r>
      <w:r w:rsidRPr="00096CB5">
        <w:rPr>
          <w:rFonts w:asciiTheme="majorBidi" w:hAnsiTheme="majorBidi" w:cstheme="majorBidi"/>
        </w:rPr>
        <w:t>évaluation et de suivi axé sur les résultats d</w:t>
      </w:r>
      <w:r w:rsidR="00D0289B">
        <w:rPr>
          <w:rFonts w:asciiTheme="majorBidi" w:hAnsiTheme="majorBidi" w:cstheme="majorBidi"/>
        </w:rPr>
        <w:t>'</w:t>
      </w:r>
      <w:r w:rsidR="003F0D52">
        <w:rPr>
          <w:rFonts w:asciiTheme="majorBidi" w:hAnsiTheme="majorBidi" w:cstheme="majorBidi"/>
        </w:rPr>
        <w:t>EuropeAid". Pour </w:t>
      </w:r>
      <w:r w:rsidRPr="00096CB5">
        <w:rPr>
          <w:rFonts w:asciiTheme="majorBidi" w:hAnsiTheme="majorBidi" w:cstheme="majorBidi"/>
        </w:rPr>
        <w:t>l'UE, il est capital de disposer de systèmes d'évaluation et de</w:t>
      </w:r>
      <w:r w:rsidR="003F0D52">
        <w:rPr>
          <w:rFonts w:asciiTheme="majorBidi" w:hAnsiTheme="majorBidi" w:cstheme="majorBidi"/>
        </w:rPr>
        <w:t xml:space="preserve"> suivi performants pour être en </w:t>
      </w:r>
      <w:r w:rsidRPr="00096CB5">
        <w:rPr>
          <w:rFonts w:asciiTheme="majorBidi" w:hAnsiTheme="majorBidi" w:cstheme="majorBidi"/>
        </w:rPr>
        <w:t>mesure de garantir l'efficacité de l'aide au développement et de s'assurer qu'el</w:t>
      </w:r>
      <w:r w:rsidR="003F0D52">
        <w:rPr>
          <w:rFonts w:asciiTheme="majorBidi" w:hAnsiTheme="majorBidi" w:cstheme="majorBidi"/>
        </w:rPr>
        <w:t>le produit l'effet escompté. Le </w:t>
      </w:r>
      <w:r w:rsidRPr="00096CB5">
        <w:rPr>
          <w:rFonts w:asciiTheme="majorBidi" w:hAnsiTheme="majorBidi" w:cstheme="majorBidi"/>
        </w:rPr>
        <w:t xml:space="preserve">Conseil a pris note des recommandations figurant </w:t>
      </w:r>
      <w:r w:rsidR="003F0D52">
        <w:rPr>
          <w:rFonts w:asciiTheme="majorBidi" w:hAnsiTheme="majorBidi" w:cstheme="majorBidi"/>
        </w:rPr>
        <w:t>dans le rapport et appelé à les </w:t>
      </w:r>
      <w:r w:rsidRPr="00096CB5">
        <w:rPr>
          <w:rFonts w:asciiTheme="majorBidi" w:hAnsiTheme="majorBidi" w:cstheme="majorBidi"/>
        </w:rPr>
        <w:t>mettre en œuvre.</w:t>
      </w:r>
    </w:p>
    <w:p w:rsidR="00C02C0D" w:rsidRPr="00096CB5" w:rsidRDefault="005E62CB" w:rsidP="006A6B84">
      <w:pPr>
        <w:pStyle w:val="ItemApproved"/>
      </w:pPr>
      <w:r w:rsidRPr="00096CB5">
        <w:br w:type="page"/>
        <w:t>AFFAIRES ÉTRANGÈRES</w:t>
      </w:r>
    </w:p>
    <w:p w:rsidR="00687A1E" w:rsidRPr="00096CB5" w:rsidRDefault="00687A1E" w:rsidP="00C02C0D">
      <w:pPr>
        <w:pStyle w:val="Sub-itemApproved"/>
      </w:pPr>
      <w:bookmarkStart w:id="15" w:name="_Toc426374857"/>
      <w:r w:rsidRPr="00096CB5">
        <w:t>Mesures restrictives au regard de la situation en Libye</w:t>
      </w:r>
      <w:bookmarkEnd w:id="15"/>
    </w:p>
    <w:p w:rsidR="00063F88" w:rsidRPr="00096CB5" w:rsidRDefault="00063F88">
      <w:pPr>
        <w:spacing w:before="0" w:after="0"/>
        <w:rPr>
          <w:rFonts w:asciiTheme="majorBidi" w:eastAsia="Calibri" w:hAnsiTheme="majorBidi" w:cstheme="majorBidi"/>
        </w:rPr>
      </w:pPr>
      <w:r w:rsidRPr="00096CB5">
        <w:rPr>
          <w:rFonts w:asciiTheme="majorBidi" w:hAnsiTheme="majorBidi" w:cstheme="majorBidi"/>
        </w:rPr>
        <w:t>Le Conseil a mis en œuvre la résolution 2213 (2015) du Conseil d</w:t>
      </w:r>
      <w:r w:rsidR="003F0D52">
        <w:rPr>
          <w:rFonts w:asciiTheme="majorBidi" w:hAnsiTheme="majorBidi" w:cstheme="majorBidi"/>
        </w:rPr>
        <w:t>e sécurité des Nations unies en </w:t>
      </w:r>
      <w:r w:rsidRPr="00096CB5">
        <w:rPr>
          <w:rFonts w:asciiTheme="majorBidi" w:hAnsiTheme="majorBidi" w:cstheme="majorBidi"/>
        </w:rPr>
        <w:t>modifiant certains critères d'inscription sur les listes pour ce q</w:t>
      </w:r>
      <w:r w:rsidR="003F0D52">
        <w:rPr>
          <w:rFonts w:asciiTheme="majorBidi" w:hAnsiTheme="majorBidi" w:cstheme="majorBidi"/>
        </w:rPr>
        <w:t>ui concerne les restrictions en </w:t>
      </w:r>
      <w:r w:rsidRPr="00096CB5">
        <w:rPr>
          <w:rFonts w:asciiTheme="majorBidi" w:hAnsiTheme="majorBidi" w:cstheme="majorBidi"/>
        </w:rPr>
        <w:t>matière de déplacements et les mesures de gel des avoirs. Il a é</w:t>
      </w:r>
      <w:r w:rsidR="003F0D52">
        <w:rPr>
          <w:rFonts w:asciiTheme="majorBidi" w:hAnsiTheme="majorBidi" w:cstheme="majorBidi"/>
        </w:rPr>
        <w:t>galement mis en œuvre certaines </w:t>
      </w:r>
      <w:r w:rsidRPr="00096CB5">
        <w:rPr>
          <w:rFonts w:asciiTheme="majorBidi" w:hAnsiTheme="majorBidi" w:cstheme="majorBidi"/>
        </w:rPr>
        <w:t>mises à jour de la liste des personnes et entités soumises à des re</w:t>
      </w:r>
      <w:r w:rsidR="003F0D52">
        <w:rPr>
          <w:rFonts w:asciiTheme="majorBidi" w:hAnsiTheme="majorBidi" w:cstheme="majorBidi"/>
        </w:rPr>
        <w:t>strictions en matière de </w:t>
      </w:r>
      <w:r w:rsidRPr="00096CB5">
        <w:rPr>
          <w:rFonts w:asciiTheme="majorBidi" w:hAnsiTheme="majorBidi" w:cstheme="majorBidi"/>
        </w:rPr>
        <w:t>déplacements et à des mesures de gel des avoirs, décidées par le comité du Conseil de sécurité créé en vertu de la résolution 1970 (2011) du Conseil de sécurité des Nations unies.</w:t>
      </w:r>
    </w:p>
    <w:p w:rsidR="00063F88" w:rsidRPr="00096CB5" w:rsidRDefault="00063F88">
      <w:pPr>
        <w:spacing w:before="0" w:after="0"/>
        <w:rPr>
          <w:rFonts w:asciiTheme="majorBidi" w:eastAsia="Calibri" w:hAnsiTheme="majorBidi" w:cstheme="majorBidi"/>
        </w:rPr>
      </w:pPr>
      <w:r w:rsidRPr="00096CB5">
        <w:rPr>
          <w:rFonts w:asciiTheme="majorBidi" w:hAnsiTheme="majorBidi" w:cstheme="majorBidi"/>
        </w:rPr>
        <w:t>En outre, le Conseil a également modifié les critères d'inscription sur la</w:t>
      </w:r>
      <w:r w:rsidR="003F0D52">
        <w:rPr>
          <w:rFonts w:asciiTheme="majorBidi" w:hAnsiTheme="majorBidi" w:cstheme="majorBidi"/>
        </w:rPr>
        <w:t xml:space="preserve"> liste des personnes et entités </w:t>
      </w:r>
      <w:r w:rsidRPr="00096CB5">
        <w:rPr>
          <w:rFonts w:asciiTheme="majorBidi" w:hAnsiTheme="majorBidi" w:cstheme="majorBidi"/>
        </w:rPr>
        <w:t>au titre des mesures autonomes de l'UE pour ce qui concerne</w:t>
      </w:r>
      <w:r w:rsidR="003F0D52">
        <w:rPr>
          <w:rFonts w:asciiTheme="majorBidi" w:hAnsiTheme="majorBidi" w:cstheme="majorBidi"/>
        </w:rPr>
        <w:t xml:space="preserve"> les restrictions en matière de </w:t>
      </w:r>
      <w:r w:rsidRPr="00096CB5">
        <w:rPr>
          <w:rFonts w:asciiTheme="majorBidi" w:hAnsiTheme="majorBidi" w:cstheme="majorBidi"/>
        </w:rPr>
        <w:t>déplacements et les mesures de gel des avoirs.</w:t>
      </w:r>
    </w:p>
    <w:p w:rsidR="006D330D" w:rsidRPr="00096CB5" w:rsidRDefault="006D330D" w:rsidP="006D330D">
      <w:pPr>
        <w:pStyle w:val="Sub-itemApproved"/>
      </w:pPr>
      <w:bookmarkStart w:id="16" w:name="_Toc426374858"/>
      <w:r w:rsidRPr="00096CB5">
        <w:t xml:space="preserve">Accord entre l'UE et la Moldavie sur la sécurité des informations </w:t>
      </w:r>
      <w:bookmarkEnd w:id="16"/>
    </w:p>
    <w:p w:rsidR="006D330D" w:rsidRPr="00096CB5" w:rsidRDefault="006D330D" w:rsidP="006D330D">
      <w:r w:rsidRPr="00096CB5">
        <w:t>Le Conseil a autorisé l'ouverture de négociations avec la Répu</w:t>
      </w:r>
      <w:r w:rsidR="003F0D52">
        <w:t>blique de Moldavie en vue de la </w:t>
      </w:r>
      <w:r w:rsidRPr="00096CB5">
        <w:t xml:space="preserve">conclusion d'un accord entre l'Union européenne et la République </w:t>
      </w:r>
      <w:r w:rsidR="003F0D52">
        <w:t>de Moldavie sur la sécurité des </w:t>
      </w:r>
      <w:r w:rsidRPr="00096CB5">
        <w:t>informations.</w:t>
      </w:r>
    </w:p>
    <w:p w:rsidR="00687A1E" w:rsidRPr="00096CB5" w:rsidRDefault="00687A1E" w:rsidP="006A6B84">
      <w:pPr>
        <w:pStyle w:val="ItemApproved"/>
      </w:pPr>
      <w:r w:rsidRPr="00096CB5">
        <w:t>AFFAIRES ÉCONOMIQUES ET FINANCIÈRES</w:t>
      </w:r>
    </w:p>
    <w:p w:rsidR="00687A1E" w:rsidRPr="00096CB5" w:rsidRDefault="00687A1E" w:rsidP="00687A1E">
      <w:pPr>
        <w:pStyle w:val="Sub-itemApproved"/>
      </w:pPr>
      <w:bookmarkStart w:id="17" w:name="_Toc426374860"/>
      <w:r w:rsidRPr="00096CB5">
        <w:t>Accord fiscal entre l'UE et la Suisse - Échange automatique d'informations</w:t>
      </w:r>
      <w:bookmarkEnd w:id="17"/>
    </w:p>
    <w:p w:rsidR="00687A1E" w:rsidRPr="00096CB5" w:rsidRDefault="00687A1E" w:rsidP="00687A1E">
      <w:r w:rsidRPr="00096CB5">
        <w:t>Le Conseil a adopté une décision autorisant la signature d'un accord avec la Suisse sur l'échange automatique de renseignements relatifs aux comptes financiers, visant à accroître le respect d</w:t>
      </w:r>
      <w:r w:rsidR="003F0D52">
        <w:t>es </w:t>
      </w:r>
      <w:r w:rsidRPr="00096CB5">
        <w:t>obligations fiscales au niveau international.</w:t>
      </w:r>
    </w:p>
    <w:p w:rsidR="00687A1E" w:rsidRPr="00096CB5" w:rsidRDefault="00687A1E">
      <w:r w:rsidRPr="00096CB5">
        <w:t>Le projet d'accord fait partie des efforts actuellement déployés pour lutter contre la fraude et l'évasion fiscales. Il renforce un accord de 2004 qui garantit que la Suisse applique des mesures équivalentes à celles de la directive de l'UE en matière de fiscalité des revenus de l'épargne.</w:t>
      </w:r>
    </w:p>
    <w:p w:rsidR="00687A1E" w:rsidRPr="00096CB5" w:rsidRDefault="00687A1E" w:rsidP="00687A1E">
      <w:r w:rsidRPr="00096CB5">
        <w:t>L'objectif est de traiter les cas de figure dans lesquels un contri</w:t>
      </w:r>
      <w:r w:rsidR="003F0D52">
        <w:t>buable cherche à dissimuler des </w:t>
      </w:r>
      <w:r w:rsidRPr="00096CB5">
        <w:t>capitaux qui correspondent à un revenu ou des actifs sur lesquels l'impôt a été éludé.</w:t>
      </w:r>
    </w:p>
    <w:p w:rsidR="00687A1E" w:rsidRPr="00096CB5" w:rsidRDefault="00966847">
      <w:r w:rsidRPr="00096CB5">
        <w:br w:type="page"/>
      </w:r>
      <w:bookmarkStart w:id="18" w:name="ControlPages"/>
      <w:bookmarkEnd w:id="18"/>
      <w:r w:rsidRPr="00096CB5">
        <w:t>Deux objectifs spécifiques sont poursuivis. Premièrement, l'accord g</w:t>
      </w:r>
      <w:r w:rsidR="003F0D52">
        <w:t>arantira que la Suisse applique </w:t>
      </w:r>
      <w:r w:rsidRPr="00096CB5">
        <w:t>des mesures renforcées équivalentes à celles prévues par la direct</w:t>
      </w:r>
      <w:r w:rsidR="003F0D52">
        <w:t>ive de l'UE, actualisée en mars </w:t>
      </w:r>
      <w:r w:rsidRPr="00096CB5">
        <w:t>2014. Deuxièmement, il comprend des modifications conce</w:t>
      </w:r>
      <w:r w:rsidR="003F0D52">
        <w:t>rnant l'échange automatique des </w:t>
      </w:r>
      <w:r w:rsidRPr="00096CB5">
        <w:t>renseignements relatifs aux comptes financiers préconisées pa</w:t>
      </w:r>
      <w:r w:rsidR="003F0D52">
        <w:t>r une norme mondiale de 2014 de </w:t>
      </w:r>
      <w:r w:rsidRPr="00096CB5">
        <w:t>l'OCDE.</w:t>
      </w:r>
    </w:p>
    <w:p w:rsidR="00687A1E" w:rsidRPr="00096CB5" w:rsidRDefault="00687A1E">
      <w:r w:rsidRPr="00096CB5">
        <w:t>La signature de l'accord est prévue le 27 mai 2015 à Bruxelles. Le texte doit être conclu par l'UE et la Suisse avant d'entrer en vigueur. Les parties s'attendent à ce que les exigences nécessaires soient remplies à temps pour permettre l'entrée en vigueur le 1</w:t>
      </w:r>
      <w:r w:rsidRPr="00096CB5">
        <w:rPr>
          <w:vertAlign w:val="superscript"/>
        </w:rPr>
        <w:t>er</w:t>
      </w:r>
      <w:r w:rsidRPr="00096CB5">
        <w:t xml:space="preserve"> janvier 2017.</w:t>
      </w:r>
    </w:p>
    <w:p w:rsidR="00895676" w:rsidRPr="00692D8D" w:rsidRDefault="00895676" w:rsidP="00725EF5">
      <w:pPr>
        <w:pStyle w:val="FinalLine"/>
      </w:pPr>
    </w:p>
    <w:sectPr w:rsidR="00895676" w:rsidRPr="00692D8D" w:rsidSect="00096CB5">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4B" w:rsidRDefault="00C6224B">
      <w:pPr>
        <w:spacing w:before="0" w:after="0"/>
      </w:pPr>
      <w:r>
        <w:separator/>
      </w:r>
    </w:p>
  </w:endnote>
  <w:endnote w:type="continuationSeparator" w:id="0">
    <w:p w:rsidR="00C6224B" w:rsidRDefault="00C622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96CB5" w:rsidRPr="007410E8" w:rsidTr="00096CB5">
      <w:trPr>
        <w:jc w:val="center"/>
      </w:trPr>
      <w:tc>
        <w:tcPr>
          <w:tcW w:w="2604" w:type="pct"/>
          <w:shd w:val="clear" w:color="auto" w:fill="auto"/>
        </w:tcPr>
        <w:p w:rsidR="00096CB5" w:rsidRPr="007410E8" w:rsidRDefault="00096CB5" w:rsidP="0035025C">
          <w:pPr>
            <w:pStyle w:val="FooterText"/>
            <w:rPr>
              <w:sz w:val="16"/>
              <w:szCs w:val="16"/>
            </w:rPr>
          </w:pPr>
          <w:bookmarkStart w:id="1" w:name="FOOTER_PR_STANDARD"/>
        </w:p>
      </w:tc>
      <w:tc>
        <w:tcPr>
          <w:tcW w:w="1319" w:type="pct"/>
          <w:shd w:val="clear" w:color="auto" w:fill="auto"/>
        </w:tcPr>
        <w:p w:rsidR="00096CB5" w:rsidRPr="007410E8" w:rsidRDefault="00096CB5" w:rsidP="0035025C">
          <w:pPr>
            <w:pStyle w:val="FooterText"/>
            <w:rPr>
              <w:sz w:val="16"/>
              <w:szCs w:val="16"/>
            </w:rPr>
          </w:pPr>
        </w:p>
      </w:tc>
      <w:tc>
        <w:tcPr>
          <w:tcW w:w="1077" w:type="pct"/>
          <w:shd w:val="clear" w:color="auto" w:fill="auto"/>
        </w:tcPr>
        <w:p w:rsidR="00096CB5" w:rsidRPr="007410E8" w:rsidRDefault="00096CB5" w:rsidP="0035025C">
          <w:pPr>
            <w:pStyle w:val="FooterText"/>
            <w:jc w:val="right"/>
            <w:rPr>
              <w:sz w:val="16"/>
              <w:szCs w:val="16"/>
            </w:rPr>
          </w:pPr>
        </w:p>
      </w:tc>
    </w:tr>
    <w:tr w:rsidR="00096CB5" w:rsidRPr="007410E8" w:rsidTr="00096CB5">
      <w:trPr>
        <w:jc w:val="center"/>
      </w:trPr>
      <w:tc>
        <w:tcPr>
          <w:tcW w:w="2604" w:type="pct"/>
          <w:shd w:val="clear" w:color="auto" w:fill="auto"/>
        </w:tcPr>
        <w:p w:rsidR="00096CB5" w:rsidRPr="007410E8" w:rsidRDefault="00096CB5" w:rsidP="0035025C">
          <w:pPr>
            <w:pStyle w:val="FooterText"/>
            <w:rPr>
              <w:sz w:val="16"/>
            </w:rPr>
          </w:pPr>
          <w:r>
            <w:t>9240/15</w:t>
          </w:r>
          <w:r w:rsidRPr="002511D8">
            <w:t xml:space="preserve"> </w:t>
          </w:r>
        </w:p>
      </w:tc>
      <w:tc>
        <w:tcPr>
          <w:tcW w:w="1319" w:type="pct"/>
          <w:shd w:val="clear" w:color="auto" w:fill="auto"/>
        </w:tcPr>
        <w:p w:rsidR="00096CB5" w:rsidRPr="007410E8" w:rsidRDefault="00096CB5" w:rsidP="0035025C">
          <w:pPr>
            <w:pStyle w:val="FooterText"/>
            <w:rPr>
              <w:sz w:val="16"/>
            </w:rPr>
          </w:pPr>
        </w:p>
      </w:tc>
      <w:tc>
        <w:tcPr>
          <w:tcW w:w="1077" w:type="pct"/>
          <w:shd w:val="clear" w:color="auto" w:fill="auto"/>
        </w:tcPr>
        <w:p w:rsidR="00096CB5" w:rsidRPr="007410E8" w:rsidRDefault="00096CB5" w:rsidP="0035025C">
          <w:pPr>
            <w:pStyle w:val="FooterText"/>
            <w:jc w:val="right"/>
            <w:rPr>
              <w:sz w:val="16"/>
            </w:rPr>
          </w:pPr>
          <w:r>
            <w:fldChar w:fldCharType="begin"/>
          </w:r>
          <w:r>
            <w:instrText xml:space="preserve"> PAGE  \* MERGEFORMAT </w:instrText>
          </w:r>
          <w:r>
            <w:fldChar w:fldCharType="separate"/>
          </w:r>
          <w:r w:rsidR="008F7763">
            <w:rPr>
              <w:noProof/>
            </w:rPr>
            <w:t>15</w:t>
          </w:r>
          <w:r>
            <w:fldChar w:fldCharType="end"/>
          </w:r>
        </w:p>
      </w:tc>
    </w:tr>
    <w:tr w:rsidR="00096CB5" w:rsidRPr="007410E8" w:rsidTr="00096CB5">
      <w:trPr>
        <w:jc w:val="center"/>
      </w:trPr>
      <w:tc>
        <w:tcPr>
          <w:tcW w:w="2604" w:type="pct"/>
          <w:shd w:val="clear" w:color="auto" w:fill="auto"/>
        </w:tcPr>
        <w:p w:rsidR="00096CB5" w:rsidRPr="007410E8" w:rsidRDefault="00096CB5" w:rsidP="0035025C">
          <w:pPr>
            <w:pStyle w:val="FooterText"/>
            <w:rPr>
              <w:sz w:val="16"/>
            </w:rPr>
          </w:pPr>
        </w:p>
      </w:tc>
      <w:tc>
        <w:tcPr>
          <w:tcW w:w="1319" w:type="pct"/>
          <w:shd w:val="clear" w:color="auto" w:fill="auto"/>
        </w:tcPr>
        <w:p w:rsidR="00096CB5" w:rsidRPr="007410E8" w:rsidRDefault="00096CB5" w:rsidP="0035025C">
          <w:pPr>
            <w:pStyle w:val="FooterText"/>
            <w:rPr>
              <w:sz w:val="16"/>
            </w:rPr>
          </w:pPr>
        </w:p>
      </w:tc>
      <w:tc>
        <w:tcPr>
          <w:tcW w:w="1077" w:type="pct"/>
          <w:shd w:val="clear" w:color="auto" w:fill="auto"/>
        </w:tcPr>
        <w:p w:rsidR="00096CB5" w:rsidRPr="007410E8" w:rsidRDefault="00096CB5" w:rsidP="0035025C">
          <w:pPr>
            <w:pStyle w:val="FooterText"/>
            <w:jc w:val="right"/>
            <w:rPr>
              <w:sz w:val="16"/>
            </w:rPr>
          </w:pPr>
          <w:r>
            <w:rPr>
              <w:b/>
              <w:position w:val="-4"/>
              <w:sz w:val="36"/>
            </w:rPr>
            <w:t>FR</w:t>
          </w:r>
        </w:p>
      </w:tc>
    </w:tr>
    <w:bookmarkEnd w:id="1"/>
  </w:tbl>
  <w:p w:rsidR="00C6224B" w:rsidRPr="00096CB5" w:rsidRDefault="00C6224B" w:rsidP="00096CB5">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096CB5" w:rsidRPr="009C2FB3" w:rsidTr="00096CB5">
      <w:trPr>
        <w:jc w:val="center"/>
      </w:trPr>
      <w:tc>
        <w:tcPr>
          <w:tcW w:w="569" w:type="pct"/>
          <w:shd w:val="clear" w:color="auto" w:fill="auto"/>
        </w:tcPr>
        <w:p w:rsidR="00096CB5" w:rsidRPr="009C2FB3" w:rsidRDefault="00096CB5" w:rsidP="0035025C">
          <w:pPr>
            <w:pStyle w:val="FooterText"/>
          </w:pPr>
          <w:bookmarkStart w:id="2" w:name="FOOTER_PR_COVERPAGE"/>
        </w:p>
      </w:tc>
      <w:tc>
        <w:tcPr>
          <w:tcW w:w="3760" w:type="pct"/>
          <w:gridSpan w:val="3"/>
          <w:shd w:val="clear" w:color="auto" w:fill="auto"/>
          <w:noWrap/>
        </w:tcPr>
        <w:p w:rsidR="00096CB5" w:rsidRPr="00F37CD6" w:rsidRDefault="00096CB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096CB5" w:rsidRPr="009C2FB3" w:rsidRDefault="00096CB5" w:rsidP="0035025C">
          <w:pPr>
            <w:pStyle w:val="FooterText"/>
          </w:pPr>
        </w:p>
      </w:tc>
    </w:tr>
    <w:tr w:rsidR="00096CB5" w:rsidRPr="007410E8" w:rsidTr="00096CB5">
      <w:trPr>
        <w:jc w:val="center"/>
      </w:trPr>
      <w:tc>
        <w:tcPr>
          <w:tcW w:w="5000" w:type="pct"/>
          <w:gridSpan w:val="5"/>
          <w:shd w:val="clear" w:color="auto" w:fill="auto"/>
        </w:tcPr>
        <w:p w:rsidR="00096CB5" w:rsidRPr="00827A78" w:rsidRDefault="00096CB5" w:rsidP="0035025C">
          <w:pPr>
            <w:pStyle w:val="FooterAddressText"/>
          </w:pPr>
        </w:p>
        <w:p w:rsidR="00096CB5" w:rsidRPr="007410E8" w:rsidRDefault="00096CB5" w:rsidP="0035025C">
          <w:pPr>
            <w:pStyle w:val="FooterAddressText"/>
          </w:pPr>
          <w:r>
            <w:t>Rue de la Loi 175</w:t>
          </w:r>
          <w:r w:rsidR="00D0289B">
            <w:t xml:space="preserve"> </w:t>
          </w:r>
          <w:r>
            <w:t>B – 1048 BRUXELLES</w:t>
          </w:r>
          <w:r w:rsidR="00D0289B">
            <w:t xml:space="preserve"> </w:t>
          </w:r>
          <w:r>
            <w:t>Tél. +32 (0)2 281 6319</w:t>
          </w:r>
          <w:r w:rsidR="00D0289B">
            <w:t xml:space="preserve"> </w:t>
          </w:r>
          <w:r>
            <w:t>Fax +32 (0)2 281 8026</w:t>
          </w:r>
        </w:p>
      </w:tc>
    </w:tr>
    <w:tr w:rsidR="00096CB5" w:rsidRPr="007410E8" w:rsidTr="00096CB5">
      <w:trPr>
        <w:jc w:val="center"/>
      </w:trPr>
      <w:tc>
        <w:tcPr>
          <w:tcW w:w="5000" w:type="pct"/>
          <w:gridSpan w:val="5"/>
          <w:shd w:val="clear" w:color="auto" w:fill="auto"/>
        </w:tcPr>
        <w:p w:rsidR="00096CB5" w:rsidRPr="007410E8" w:rsidRDefault="008F7763" w:rsidP="0035025C">
          <w:pPr>
            <w:pStyle w:val="FooterText"/>
            <w:jc w:val="center"/>
            <w:rPr>
              <w:sz w:val="20"/>
              <w:szCs w:val="20"/>
            </w:rPr>
          </w:pPr>
          <w:hyperlink r:id="rId1" w:history="1">
            <w:r w:rsidR="00096CB5" w:rsidRPr="00096CB5">
              <w:rPr>
                <w:rStyle w:val="Hyperlink"/>
                <w:sz w:val="20"/>
              </w:rPr>
              <w:t>press.office@consilium.europa.eu</w:t>
            </w:r>
          </w:hyperlink>
          <w:r w:rsidR="00D0289B">
            <w:rPr>
              <w:sz w:val="20"/>
              <w:szCs w:val="20"/>
            </w:rPr>
            <w:t xml:space="preserve"> </w:t>
          </w:r>
          <w:hyperlink r:id="rId2" w:history="1">
            <w:r w:rsidR="00096CB5" w:rsidRPr="00096CB5">
              <w:rPr>
                <w:rStyle w:val="Hyperlink"/>
                <w:sz w:val="20"/>
              </w:rPr>
              <w:t>http://www.consilium.europa.eu/press</w:t>
            </w:r>
          </w:hyperlink>
        </w:p>
      </w:tc>
    </w:tr>
    <w:tr w:rsidR="00096CB5" w:rsidRPr="007410E8" w:rsidTr="00096CB5">
      <w:trPr>
        <w:jc w:val="center"/>
      </w:trPr>
      <w:tc>
        <w:tcPr>
          <w:tcW w:w="2604" w:type="pct"/>
          <w:gridSpan w:val="2"/>
          <w:shd w:val="clear" w:color="auto" w:fill="auto"/>
        </w:tcPr>
        <w:p w:rsidR="00096CB5" w:rsidRPr="007410E8" w:rsidRDefault="00096CB5" w:rsidP="0035025C">
          <w:pPr>
            <w:pStyle w:val="FooterText"/>
            <w:spacing w:before="60"/>
            <w:rPr>
              <w:sz w:val="16"/>
            </w:rPr>
          </w:pPr>
          <w:r>
            <w:t>9240/15</w:t>
          </w:r>
          <w:r w:rsidRPr="002511D8">
            <w:t xml:space="preserve"> </w:t>
          </w:r>
        </w:p>
      </w:tc>
      <w:tc>
        <w:tcPr>
          <w:tcW w:w="1319" w:type="pct"/>
          <w:shd w:val="clear" w:color="auto" w:fill="auto"/>
        </w:tcPr>
        <w:p w:rsidR="00096CB5" w:rsidRPr="007410E8" w:rsidRDefault="00096CB5" w:rsidP="0035025C">
          <w:pPr>
            <w:pStyle w:val="FooterText"/>
            <w:spacing w:before="120"/>
            <w:rPr>
              <w:sz w:val="16"/>
            </w:rPr>
          </w:pPr>
        </w:p>
      </w:tc>
      <w:tc>
        <w:tcPr>
          <w:tcW w:w="1077" w:type="pct"/>
          <w:gridSpan w:val="2"/>
          <w:shd w:val="clear" w:color="auto" w:fill="auto"/>
        </w:tcPr>
        <w:p w:rsidR="00096CB5" w:rsidRPr="007410E8" w:rsidRDefault="00096CB5" w:rsidP="0035025C">
          <w:pPr>
            <w:pStyle w:val="FooterText"/>
            <w:spacing w:before="60"/>
            <w:jc w:val="right"/>
            <w:rPr>
              <w:sz w:val="16"/>
            </w:rPr>
          </w:pPr>
          <w:r>
            <w:fldChar w:fldCharType="begin"/>
          </w:r>
          <w:r>
            <w:instrText xml:space="preserve"> PAGE  \* MERGEFORMAT </w:instrText>
          </w:r>
          <w:r>
            <w:fldChar w:fldCharType="separate"/>
          </w:r>
          <w:r w:rsidR="008F7763">
            <w:rPr>
              <w:noProof/>
            </w:rPr>
            <w:t>1</w:t>
          </w:r>
          <w:r>
            <w:fldChar w:fldCharType="end"/>
          </w:r>
        </w:p>
      </w:tc>
    </w:tr>
    <w:tr w:rsidR="00096CB5" w:rsidRPr="007410E8" w:rsidTr="00096CB5">
      <w:trPr>
        <w:jc w:val="center"/>
      </w:trPr>
      <w:tc>
        <w:tcPr>
          <w:tcW w:w="2604" w:type="pct"/>
          <w:gridSpan w:val="2"/>
          <w:shd w:val="clear" w:color="auto" w:fill="auto"/>
        </w:tcPr>
        <w:p w:rsidR="00096CB5" w:rsidRPr="007410E8" w:rsidRDefault="00096CB5" w:rsidP="0035025C">
          <w:pPr>
            <w:pStyle w:val="FooterText"/>
            <w:rPr>
              <w:sz w:val="16"/>
            </w:rPr>
          </w:pPr>
        </w:p>
      </w:tc>
      <w:tc>
        <w:tcPr>
          <w:tcW w:w="1319" w:type="pct"/>
          <w:shd w:val="clear" w:color="auto" w:fill="auto"/>
        </w:tcPr>
        <w:p w:rsidR="00096CB5" w:rsidRPr="007410E8" w:rsidRDefault="00096CB5" w:rsidP="0035025C">
          <w:pPr>
            <w:pStyle w:val="FooterText"/>
            <w:rPr>
              <w:sz w:val="16"/>
            </w:rPr>
          </w:pPr>
        </w:p>
      </w:tc>
      <w:tc>
        <w:tcPr>
          <w:tcW w:w="1077" w:type="pct"/>
          <w:gridSpan w:val="2"/>
          <w:shd w:val="clear" w:color="auto" w:fill="auto"/>
        </w:tcPr>
        <w:p w:rsidR="00096CB5" w:rsidRPr="007410E8" w:rsidRDefault="00096CB5" w:rsidP="0035025C">
          <w:pPr>
            <w:pStyle w:val="FooterText"/>
            <w:jc w:val="right"/>
            <w:rPr>
              <w:sz w:val="16"/>
            </w:rPr>
          </w:pPr>
          <w:r>
            <w:rPr>
              <w:b/>
              <w:position w:val="-4"/>
              <w:sz w:val="36"/>
            </w:rPr>
            <w:t>FR</w:t>
          </w:r>
        </w:p>
      </w:tc>
    </w:tr>
    <w:bookmarkEnd w:id="2"/>
  </w:tbl>
  <w:p w:rsidR="00C6224B" w:rsidRPr="00096CB5" w:rsidRDefault="00C6224B" w:rsidP="00096CB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96CB5" w:rsidRPr="007410E8" w:rsidTr="00096CB5">
      <w:trPr>
        <w:jc w:val="center"/>
      </w:trPr>
      <w:tc>
        <w:tcPr>
          <w:tcW w:w="5000" w:type="pct"/>
          <w:gridSpan w:val="3"/>
          <w:shd w:val="clear" w:color="auto" w:fill="auto"/>
        </w:tcPr>
        <w:p w:rsidR="00096CB5" w:rsidRPr="007410E8" w:rsidRDefault="00096CB5"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096CB5" w:rsidRPr="007410E8" w:rsidRDefault="00096CB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096CB5" w:rsidRPr="007410E8" w:rsidRDefault="00096CB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w:t>
          </w:r>
          <w:r w:rsidR="00605D3C">
            <w:rPr>
              <w:sz w:val="21"/>
              <w:szCs w:val="21"/>
            </w:rPr>
            <w:t xml:space="preserve"> au public sont signalés par un </w:t>
          </w:r>
          <w:r>
            <w:rPr>
              <w:sz w:val="21"/>
              <w:szCs w:val="21"/>
            </w:rPr>
            <w:t>astérisque; ces déclarations sont accessibles sur le site internet du</w:t>
          </w:r>
          <w:r w:rsidR="00605D3C">
            <w:rPr>
              <w:sz w:val="21"/>
              <w:szCs w:val="21"/>
            </w:rPr>
            <w:t xml:space="preserve"> Conseil mentionné ci-dessus ou </w:t>
          </w:r>
          <w:r>
            <w:rPr>
              <w:sz w:val="21"/>
              <w:szCs w:val="21"/>
            </w:rPr>
            <w:t>peuvent être obtenues auprès du Service de presse.</w:t>
          </w:r>
        </w:p>
        <w:p w:rsidR="00096CB5" w:rsidRPr="007410E8" w:rsidRDefault="00096CB5" w:rsidP="0035025C">
          <w:pPr>
            <w:pStyle w:val="FooterText"/>
            <w:tabs>
              <w:tab w:val="left" w:pos="285"/>
              <w:tab w:val="left" w:pos="585"/>
            </w:tabs>
            <w:rPr>
              <w:sz w:val="21"/>
              <w:szCs w:val="21"/>
            </w:rPr>
          </w:pPr>
        </w:p>
      </w:tc>
    </w:tr>
    <w:tr w:rsidR="00096CB5" w:rsidRPr="007410E8" w:rsidTr="00096CB5">
      <w:trPr>
        <w:jc w:val="center"/>
      </w:trPr>
      <w:tc>
        <w:tcPr>
          <w:tcW w:w="2604" w:type="pct"/>
          <w:shd w:val="clear" w:color="auto" w:fill="auto"/>
        </w:tcPr>
        <w:p w:rsidR="00096CB5" w:rsidRPr="007410E8" w:rsidRDefault="00096CB5" w:rsidP="0035025C">
          <w:pPr>
            <w:pStyle w:val="FooterText"/>
            <w:rPr>
              <w:sz w:val="16"/>
            </w:rPr>
          </w:pPr>
          <w:r>
            <w:t>9240/15</w:t>
          </w:r>
          <w:r w:rsidRPr="002511D8">
            <w:t xml:space="preserve"> </w:t>
          </w:r>
        </w:p>
      </w:tc>
      <w:tc>
        <w:tcPr>
          <w:tcW w:w="1319" w:type="pct"/>
          <w:shd w:val="clear" w:color="auto" w:fill="auto"/>
        </w:tcPr>
        <w:p w:rsidR="00096CB5" w:rsidRPr="007410E8" w:rsidRDefault="00096CB5" w:rsidP="0035025C">
          <w:pPr>
            <w:pStyle w:val="FooterText"/>
            <w:rPr>
              <w:sz w:val="16"/>
            </w:rPr>
          </w:pPr>
        </w:p>
      </w:tc>
      <w:tc>
        <w:tcPr>
          <w:tcW w:w="1077" w:type="pct"/>
          <w:shd w:val="clear" w:color="auto" w:fill="auto"/>
        </w:tcPr>
        <w:p w:rsidR="00096CB5" w:rsidRPr="007410E8" w:rsidRDefault="00096CB5" w:rsidP="0035025C">
          <w:pPr>
            <w:pStyle w:val="FooterText"/>
            <w:jc w:val="right"/>
            <w:rPr>
              <w:sz w:val="16"/>
            </w:rPr>
          </w:pPr>
          <w:r>
            <w:fldChar w:fldCharType="begin"/>
          </w:r>
          <w:r>
            <w:instrText xml:space="preserve"> PAGE  \* MERGEFORMAT </w:instrText>
          </w:r>
          <w:r>
            <w:fldChar w:fldCharType="separate"/>
          </w:r>
          <w:r w:rsidR="008F7763">
            <w:rPr>
              <w:noProof/>
            </w:rPr>
            <w:t>2</w:t>
          </w:r>
          <w:r>
            <w:fldChar w:fldCharType="end"/>
          </w:r>
        </w:p>
      </w:tc>
    </w:tr>
    <w:tr w:rsidR="00096CB5" w:rsidRPr="007410E8" w:rsidTr="00096CB5">
      <w:trPr>
        <w:jc w:val="center"/>
      </w:trPr>
      <w:tc>
        <w:tcPr>
          <w:tcW w:w="2604" w:type="pct"/>
          <w:shd w:val="clear" w:color="auto" w:fill="auto"/>
        </w:tcPr>
        <w:p w:rsidR="00096CB5" w:rsidRPr="007410E8" w:rsidRDefault="00096CB5" w:rsidP="0035025C">
          <w:pPr>
            <w:pStyle w:val="FooterText"/>
            <w:rPr>
              <w:sz w:val="16"/>
            </w:rPr>
          </w:pPr>
        </w:p>
      </w:tc>
      <w:tc>
        <w:tcPr>
          <w:tcW w:w="1319" w:type="pct"/>
          <w:shd w:val="clear" w:color="auto" w:fill="auto"/>
        </w:tcPr>
        <w:p w:rsidR="00096CB5" w:rsidRPr="007410E8" w:rsidRDefault="00096CB5" w:rsidP="0035025C">
          <w:pPr>
            <w:pStyle w:val="FooterText"/>
            <w:rPr>
              <w:sz w:val="16"/>
            </w:rPr>
          </w:pPr>
        </w:p>
      </w:tc>
      <w:tc>
        <w:tcPr>
          <w:tcW w:w="1077" w:type="pct"/>
          <w:shd w:val="clear" w:color="auto" w:fill="auto"/>
        </w:tcPr>
        <w:p w:rsidR="00096CB5" w:rsidRPr="007410E8" w:rsidRDefault="00096CB5" w:rsidP="0035025C">
          <w:pPr>
            <w:pStyle w:val="FooterText"/>
            <w:jc w:val="right"/>
            <w:rPr>
              <w:sz w:val="16"/>
            </w:rPr>
          </w:pPr>
          <w:r>
            <w:rPr>
              <w:b/>
              <w:position w:val="-4"/>
              <w:sz w:val="36"/>
            </w:rPr>
            <w:t>FR</w:t>
          </w:r>
        </w:p>
      </w:tc>
    </w:tr>
    <w:bookmarkEnd w:id="4"/>
  </w:tbl>
  <w:p w:rsidR="00C6224B" w:rsidRPr="00096CB5" w:rsidRDefault="00C6224B" w:rsidP="00096CB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4B" w:rsidRDefault="00C6224B">
      <w:pPr>
        <w:spacing w:before="0" w:after="0"/>
      </w:pPr>
      <w:r>
        <w:separator/>
      </w:r>
    </w:p>
  </w:footnote>
  <w:footnote w:type="continuationSeparator" w:id="0">
    <w:p w:rsidR="00C6224B" w:rsidRDefault="00C6224B">
      <w:pPr>
        <w:spacing w:before="0" w:after="0"/>
      </w:pPr>
      <w:r>
        <w:continuationSeparator/>
      </w:r>
    </w:p>
  </w:footnote>
  <w:footnote w:id="1">
    <w:p w:rsidR="00C6224B" w:rsidRPr="000C0890" w:rsidRDefault="00C6224B" w:rsidP="0070237E">
      <w:pPr>
        <w:pStyle w:val="FootnoteText"/>
        <w:ind w:left="567" w:hanging="567"/>
        <w:rPr>
          <w:lang w:val="lv-LV"/>
        </w:rPr>
      </w:pPr>
      <w:r>
        <w:rPr>
          <w:rStyle w:val="FootnoteReference"/>
        </w:rPr>
        <w:footnoteRef/>
      </w:r>
      <w:r w:rsidRPr="00692B50">
        <w:rPr>
          <w:lang w:val="pl-PL"/>
        </w:rPr>
        <w:tab/>
        <w:t>Doc. 9328/13.</w:t>
      </w:r>
    </w:p>
  </w:footnote>
  <w:footnote w:id="2">
    <w:p w:rsidR="00C6224B" w:rsidRPr="000C0890" w:rsidRDefault="00C6224B" w:rsidP="00687A1E">
      <w:pPr>
        <w:pStyle w:val="FootnoteText"/>
        <w:ind w:left="567" w:hanging="567"/>
        <w:rPr>
          <w:lang w:val="lv-LV"/>
        </w:rPr>
      </w:pPr>
      <w:r>
        <w:rPr>
          <w:rStyle w:val="FootnoteReference"/>
        </w:rPr>
        <w:footnoteRef/>
      </w:r>
      <w:r w:rsidRPr="00692B50">
        <w:rPr>
          <w:lang w:val="pl-PL"/>
        </w:rPr>
        <w:tab/>
        <w:t>Doc. 8107/13.</w:t>
      </w:r>
    </w:p>
  </w:footnote>
  <w:footnote w:id="3">
    <w:p w:rsidR="00C6224B" w:rsidRPr="000C0890" w:rsidRDefault="00C6224B">
      <w:pPr>
        <w:pStyle w:val="FootnoteText"/>
        <w:ind w:left="567" w:hanging="567"/>
        <w:rPr>
          <w:lang w:val="lv-LV"/>
        </w:rPr>
      </w:pPr>
      <w:r>
        <w:rPr>
          <w:rStyle w:val="FootnoteReference"/>
        </w:rPr>
        <w:footnoteRef/>
      </w:r>
      <w:r w:rsidRPr="00692B50">
        <w:rPr>
          <w:lang w:val="pl-PL"/>
        </w:rPr>
        <w:tab/>
        <w:t>Doc. 9653/10.</w:t>
      </w:r>
    </w:p>
  </w:footnote>
  <w:footnote w:id="4">
    <w:p w:rsidR="00C6224B" w:rsidRPr="000C0890" w:rsidRDefault="00C6224B" w:rsidP="00687A1E">
      <w:pPr>
        <w:pStyle w:val="FootnoteText"/>
        <w:ind w:left="567" w:hanging="567"/>
        <w:rPr>
          <w:lang w:val="lv-LV"/>
        </w:rPr>
      </w:pPr>
      <w:r>
        <w:rPr>
          <w:rStyle w:val="FootnoteReference"/>
        </w:rPr>
        <w:footnoteRef/>
      </w:r>
      <w:r w:rsidRPr="00692B50">
        <w:rPr>
          <w:lang w:val="pl-PL"/>
        </w:rPr>
        <w:tab/>
        <w:t>Doc. 9654/10.</w:t>
      </w:r>
    </w:p>
  </w:footnote>
  <w:footnote w:id="5">
    <w:p w:rsidR="00C6224B" w:rsidRPr="000C0890" w:rsidRDefault="00C6224B">
      <w:pPr>
        <w:pStyle w:val="FootnoteText"/>
        <w:ind w:left="567" w:hanging="567"/>
        <w:rPr>
          <w:lang w:val="lv-LV"/>
        </w:rPr>
      </w:pPr>
      <w:r>
        <w:rPr>
          <w:rStyle w:val="FootnoteReference"/>
        </w:rPr>
        <w:footnoteRef/>
      </w:r>
      <w:r w:rsidRPr="00692B50">
        <w:rPr>
          <w:lang w:val="pl-PL"/>
        </w:rPr>
        <w:tab/>
        <w:t>Doc. 9325/13.</w:t>
      </w:r>
    </w:p>
  </w:footnote>
  <w:footnote w:id="6">
    <w:p w:rsidR="00C6224B" w:rsidRPr="000C0890" w:rsidRDefault="00C6224B" w:rsidP="00687A1E">
      <w:pPr>
        <w:pStyle w:val="FootnoteText"/>
        <w:ind w:left="567" w:hanging="567"/>
        <w:rPr>
          <w:lang w:val="lv-LV"/>
        </w:rPr>
      </w:pPr>
      <w:r>
        <w:rPr>
          <w:rStyle w:val="FootnoteReference"/>
        </w:rPr>
        <w:footnoteRef/>
      </w:r>
      <w:r w:rsidRPr="00692B50">
        <w:rPr>
          <w:lang w:val="da-DK"/>
        </w:rPr>
        <w:tab/>
        <w:t>Doc. 16857/14.</w:t>
      </w:r>
    </w:p>
  </w:footnote>
  <w:footnote w:id="7">
    <w:p w:rsidR="00C6224B" w:rsidRPr="00692B50" w:rsidRDefault="00C6224B">
      <w:pPr>
        <w:pStyle w:val="FootnoteText"/>
        <w:ind w:left="567" w:hanging="567"/>
        <w:rPr>
          <w:lang w:val="da-DK"/>
        </w:rPr>
      </w:pPr>
      <w:r>
        <w:rPr>
          <w:rStyle w:val="FootnoteReference"/>
        </w:rPr>
        <w:footnoteRef/>
      </w:r>
      <w:r w:rsidRPr="00692B50">
        <w:rPr>
          <w:lang w:val="da-DK"/>
        </w:rPr>
        <w:tab/>
        <w:t>Doc. 16855/14.</w:t>
      </w:r>
    </w:p>
  </w:footnote>
  <w:footnote w:id="8">
    <w:p w:rsidR="00C6224B" w:rsidRPr="00692B50" w:rsidRDefault="00C6224B" w:rsidP="00687A1E">
      <w:pPr>
        <w:pStyle w:val="FootnoteText"/>
        <w:tabs>
          <w:tab w:val="left" w:pos="567"/>
        </w:tabs>
        <w:ind w:left="567" w:hanging="567"/>
        <w:rPr>
          <w:lang w:val="da-DK"/>
        </w:rPr>
      </w:pPr>
      <w:r>
        <w:rPr>
          <w:rStyle w:val="FootnoteReference"/>
        </w:rPr>
        <w:footnoteRef/>
      </w:r>
      <w:r w:rsidRPr="00692B50">
        <w:rPr>
          <w:lang w:val="da-DK"/>
        </w:rPr>
        <w:tab/>
        <w:t>JO C 334 du 25.9.2014, p. 7.</w:t>
      </w:r>
    </w:p>
  </w:footnote>
  <w:footnote w:id="9">
    <w:p w:rsidR="00C6224B" w:rsidRPr="00692B50" w:rsidRDefault="00C6224B">
      <w:pPr>
        <w:pStyle w:val="FootnoteText"/>
        <w:tabs>
          <w:tab w:val="left" w:pos="567"/>
        </w:tabs>
        <w:ind w:left="567" w:hanging="567"/>
        <w:rPr>
          <w:szCs w:val="24"/>
          <w:lang w:val="fr-BE"/>
        </w:rPr>
      </w:pPr>
      <w:r>
        <w:rPr>
          <w:rStyle w:val="FootnoteReference"/>
        </w:rPr>
        <w:footnoteRef/>
      </w:r>
      <w:r>
        <w:tab/>
        <w:t xml:space="preserve">Doc. 9325/13: "Conclusions du Conseil sur l'approche de l'UE à </w:t>
      </w:r>
      <w:r w:rsidR="00D0289B">
        <w:t>l'égard de la résilience". Voir </w:t>
      </w:r>
      <w:r>
        <w:t>également le document de travail des services de la Commission intitulé "Action Plan for Resilience in Crisis Prone Countries 2013-2020" (plan d'action 2013-2020 pour la résilience des pays exposés à des crises).</w:t>
      </w:r>
    </w:p>
  </w:footnote>
  <w:footnote w:id="10">
    <w:p w:rsidR="00C6224B" w:rsidRPr="00692B50" w:rsidRDefault="00C6224B" w:rsidP="00B211E9">
      <w:pPr>
        <w:pStyle w:val="FootnoteText"/>
        <w:tabs>
          <w:tab w:val="left" w:pos="567"/>
        </w:tabs>
        <w:ind w:left="567" w:hanging="567"/>
        <w:rPr>
          <w:szCs w:val="24"/>
          <w:lang w:val="fr-BE"/>
        </w:rPr>
      </w:pPr>
      <w:r>
        <w:rPr>
          <w:rStyle w:val="FootnoteReference"/>
        </w:rPr>
        <w:footnoteRef/>
      </w:r>
      <w:r>
        <w:tab/>
        <w:t>Doc. 9369/12: "Accroître l'impact de la politique de développement de l'Union européenne: un programme pour le changement".</w:t>
      </w:r>
    </w:p>
  </w:footnote>
  <w:footnote w:id="11">
    <w:p w:rsidR="00C6224B" w:rsidRPr="00692B50" w:rsidRDefault="00C6224B">
      <w:pPr>
        <w:pStyle w:val="FootnoteText"/>
        <w:ind w:left="567" w:hanging="567"/>
        <w:rPr>
          <w:lang w:val="fr-BE"/>
        </w:rPr>
      </w:pPr>
      <w:r>
        <w:rPr>
          <w:rStyle w:val="FootnoteReference"/>
        </w:rPr>
        <w:footnoteRef/>
      </w:r>
      <w:r>
        <w:tab/>
        <w:t>Doc. 9371/12: "Conclusions du Conseil intitulées "La future approche de l'appui budgétaire de l'UE en faveur des pays tiers"".</w:t>
      </w:r>
    </w:p>
  </w:footnote>
  <w:footnote w:id="12">
    <w:p w:rsidR="00C6224B" w:rsidRPr="000B15EE" w:rsidRDefault="00C6224B" w:rsidP="003F0D52">
      <w:pPr>
        <w:pStyle w:val="FootnoteText"/>
        <w:ind w:left="567" w:hanging="567"/>
        <w:rPr>
          <w:lang w:val="fr-BE"/>
        </w:rPr>
      </w:pPr>
      <w:r>
        <w:rPr>
          <w:rStyle w:val="FootnoteReference"/>
        </w:rPr>
        <w:footnoteRef/>
      </w:r>
      <w:r w:rsidR="00D0289B">
        <w:tab/>
      </w:r>
      <w:r>
        <w:rPr>
          <w:color w:val="000000"/>
          <w:sz w:val="23"/>
        </w:rPr>
        <w:t>Doc. 9369/12.</w:t>
      </w:r>
    </w:p>
  </w:footnote>
  <w:footnote w:id="13">
    <w:p w:rsidR="00C6224B" w:rsidRPr="000B15EE" w:rsidRDefault="00C6224B" w:rsidP="003F0D52">
      <w:pPr>
        <w:pStyle w:val="FootnoteText"/>
        <w:ind w:left="567" w:hanging="567"/>
        <w:rPr>
          <w:lang w:val="fr-BE"/>
        </w:rPr>
      </w:pPr>
      <w:r>
        <w:rPr>
          <w:rStyle w:val="FootnoteReference"/>
        </w:rPr>
        <w:footnoteRef/>
      </w:r>
      <w:r w:rsidR="00D0289B">
        <w:tab/>
      </w:r>
      <w:r>
        <w:rPr>
          <w:color w:val="000000"/>
          <w:sz w:val="23"/>
        </w:rPr>
        <w:t>Doc. 17553/13.</w:t>
      </w:r>
    </w:p>
  </w:footnote>
  <w:footnote w:id="14">
    <w:p w:rsidR="00C6224B" w:rsidRPr="000B15EE" w:rsidRDefault="00C6224B" w:rsidP="003F0D52">
      <w:pPr>
        <w:pStyle w:val="FootnoteText"/>
        <w:ind w:left="567" w:hanging="567"/>
        <w:rPr>
          <w:color w:val="000000"/>
          <w:sz w:val="23"/>
          <w:szCs w:val="23"/>
          <w:lang w:eastAsia="de-DE"/>
        </w:rPr>
      </w:pPr>
      <w:r>
        <w:rPr>
          <w:rStyle w:val="FootnoteReference"/>
        </w:rPr>
        <w:footnoteRef/>
      </w:r>
      <w:r>
        <w:tab/>
      </w:r>
      <w:r>
        <w:rPr>
          <w:color w:val="000000"/>
          <w:sz w:val="23"/>
        </w:rPr>
        <w:t>Doc. 16856/14.</w:t>
      </w:r>
    </w:p>
  </w:footnote>
  <w:footnote w:id="15">
    <w:p w:rsidR="003506CA" w:rsidRDefault="003506CA" w:rsidP="003F0D52">
      <w:pPr>
        <w:pStyle w:val="FootnoteText"/>
        <w:ind w:left="567" w:hanging="567"/>
      </w:pPr>
      <w:r>
        <w:rPr>
          <w:rStyle w:val="FootnoteReference"/>
        </w:rPr>
        <w:footnoteRef/>
      </w:r>
      <w:r>
        <w:tab/>
      </w:r>
      <w:r>
        <w:rPr>
          <w:color w:val="000000"/>
          <w:sz w:val="23"/>
        </w:rPr>
        <w:t>Doc. 17001/14.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96CB5" w:rsidRPr="007410E8" w:rsidTr="00096CB5">
      <w:trPr>
        <w:jc w:val="center"/>
      </w:trPr>
      <w:tc>
        <w:tcPr>
          <w:tcW w:w="2500" w:type="pct"/>
          <w:shd w:val="clear" w:color="auto" w:fill="auto"/>
        </w:tcPr>
        <w:p w:rsidR="00096CB5" w:rsidRPr="007410E8" w:rsidRDefault="00096CB5" w:rsidP="0035025C">
          <w:pPr>
            <w:pStyle w:val="HeaderText"/>
            <w:rPr>
              <w:b/>
              <w:i/>
              <w:sz w:val="16"/>
              <w:u w:val="single"/>
            </w:rPr>
          </w:pPr>
          <w:bookmarkStart w:id="3" w:name="HEADER_PRMEET"/>
        </w:p>
      </w:tc>
      <w:tc>
        <w:tcPr>
          <w:tcW w:w="2500" w:type="pct"/>
          <w:shd w:val="clear" w:color="auto" w:fill="auto"/>
        </w:tcPr>
        <w:p w:rsidR="00096CB5" w:rsidRPr="007410E8" w:rsidRDefault="00096CB5" w:rsidP="00096CB5">
          <w:pPr>
            <w:pStyle w:val="HeaderText"/>
            <w:jc w:val="right"/>
            <w:rPr>
              <w:sz w:val="16"/>
            </w:rPr>
          </w:pPr>
          <w:r w:rsidRPr="00096CB5">
            <w:t>26 mai 2015</w:t>
          </w:r>
        </w:p>
      </w:tc>
    </w:tr>
    <w:bookmarkEnd w:id="3"/>
  </w:tbl>
  <w:p w:rsidR="00C6224B" w:rsidRPr="00096CB5" w:rsidRDefault="00C6224B" w:rsidP="00096CB5">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96CB5" w:rsidRPr="007410E8" w:rsidTr="00096CB5">
      <w:trPr>
        <w:jc w:val="center"/>
      </w:trPr>
      <w:tc>
        <w:tcPr>
          <w:tcW w:w="2500" w:type="pct"/>
          <w:shd w:val="clear" w:color="auto" w:fill="auto"/>
        </w:tcPr>
        <w:p w:rsidR="00096CB5" w:rsidRPr="007410E8" w:rsidRDefault="00096CB5" w:rsidP="0035025C">
          <w:pPr>
            <w:pStyle w:val="HeaderText"/>
            <w:rPr>
              <w:b/>
              <w:i/>
              <w:sz w:val="16"/>
              <w:u w:val="single"/>
            </w:rPr>
          </w:pPr>
        </w:p>
      </w:tc>
      <w:tc>
        <w:tcPr>
          <w:tcW w:w="2500" w:type="pct"/>
          <w:shd w:val="clear" w:color="auto" w:fill="auto"/>
        </w:tcPr>
        <w:p w:rsidR="00096CB5" w:rsidRPr="007410E8" w:rsidRDefault="00096CB5" w:rsidP="00096CB5">
          <w:pPr>
            <w:pStyle w:val="HeaderText"/>
            <w:jc w:val="right"/>
            <w:rPr>
              <w:sz w:val="16"/>
            </w:rPr>
          </w:pPr>
          <w:r w:rsidRPr="00096CB5">
            <w:t>26 mai 2015</w:t>
          </w:r>
        </w:p>
      </w:tc>
    </w:tr>
  </w:tbl>
  <w:p w:rsidR="00C6224B" w:rsidRPr="00096CB5" w:rsidRDefault="00C6224B" w:rsidP="00096CB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7"/>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8601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72b28d0d-76c8-4809-90aa-24814b074788&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240&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6&lt;/text&gt;_x000d__x000a_      &lt;text&gt;PR CO 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pour les affaires étrangères et &amp;#xD;&amp;#xA;la politique de sécurité&quot; name=&quot;Federica Mogherini&quot; text=&quot;Federica Mogherini, Haute Représentante pour les affaires étrangères et  la politique de sécurité&quot; genderKeyBds=&quot;gend_02&quot; /&gt;_x000d__x000a_    &lt;/presidents&gt;_x000d__x000a_  &lt;/metadata&gt;_x000d__x000a_  &lt;metadata key=&quot;md_MeetingNumber&quot;&gt;_x000d__x000a_    &lt;text&gt;3391e session du Conseil &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gt;_x000d__x000a_    &lt;text&gt;Développemen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5-26&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725EF5"/>
    <w:rsid w:val="00005B92"/>
    <w:rsid w:val="00014D99"/>
    <w:rsid w:val="000275B8"/>
    <w:rsid w:val="00035E1C"/>
    <w:rsid w:val="00062D8F"/>
    <w:rsid w:val="00063F88"/>
    <w:rsid w:val="00071053"/>
    <w:rsid w:val="00083F26"/>
    <w:rsid w:val="000908FA"/>
    <w:rsid w:val="00091C05"/>
    <w:rsid w:val="00096CB5"/>
    <w:rsid w:val="000A63B0"/>
    <w:rsid w:val="000B15EE"/>
    <w:rsid w:val="000B423D"/>
    <w:rsid w:val="000C24DD"/>
    <w:rsid w:val="000D493E"/>
    <w:rsid w:val="001018A7"/>
    <w:rsid w:val="001129A0"/>
    <w:rsid w:val="00154AF2"/>
    <w:rsid w:val="001A1C55"/>
    <w:rsid w:val="001B6872"/>
    <w:rsid w:val="001C36E4"/>
    <w:rsid w:val="001D79B2"/>
    <w:rsid w:val="001E5C6C"/>
    <w:rsid w:val="00203C3C"/>
    <w:rsid w:val="00236758"/>
    <w:rsid w:val="00247740"/>
    <w:rsid w:val="00250E32"/>
    <w:rsid w:val="00252119"/>
    <w:rsid w:val="002D76B5"/>
    <w:rsid w:val="0032219A"/>
    <w:rsid w:val="003506CA"/>
    <w:rsid w:val="00353FFE"/>
    <w:rsid w:val="0039173E"/>
    <w:rsid w:val="003946C8"/>
    <w:rsid w:val="003D5D93"/>
    <w:rsid w:val="003E214E"/>
    <w:rsid w:val="003E54F1"/>
    <w:rsid w:val="003E7DE9"/>
    <w:rsid w:val="003F0D52"/>
    <w:rsid w:val="004134D5"/>
    <w:rsid w:val="004930C6"/>
    <w:rsid w:val="00493149"/>
    <w:rsid w:val="004A254F"/>
    <w:rsid w:val="004B4279"/>
    <w:rsid w:val="004C3746"/>
    <w:rsid w:val="004E7D14"/>
    <w:rsid w:val="004F097D"/>
    <w:rsid w:val="00502DB9"/>
    <w:rsid w:val="00507674"/>
    <w:rsid w:val="0052599B"/>
    <w:rsid w:val="00533401"/>
    <w:rsid w:val="00546259"/>
    <w:rsid w:val="00555527"/>
    <w:rsid w:val="00566EC9"/>
    <w:rsid w:val="005A6EB2"/>
    <w:rsid w:val="005E3AA2"/>
    <w:rsid w:val="005E62CB"/>
    <w:rsid w:val="00600A8C"/>
    <w:rsid w:val="00605D3C"/>
    <w:rsid w:val="00626B1A"/>
    <w:rsid w:val="00653D4F"/>
    <w:rsid w:val="00687A1E"/>
    <w:rsid w:val="00692B50"/>
    <w:rsid w:val="00692D8D"/>
    <w:rsid w:val="006A209F"/>
    <w:rsid w:val="006A56D8"/>
    <w:rsid w:val="006A6B84"/>
    <w:rsid w:val="006B0B6E"/>
    <w:rsid w:val="006D330D"/>
    <w:rsid w:val="006D5F8D"/>
    <w:rsid w:val="006E2F9D"/>
    <w:rsid w:val="006F19FB"/>
    <w:rsid w:val="006F4E9F"/>
    <w:rsid w:val="006F7FA6"/>
    <w:rsid w:val="0070237E"/>
    <w:rsid w:val="007143F5"/>
    <w:rsid w:val="00725EF5"/>
    <w:rsid w:val="00752D0F"/>
    <w:rsid w:val="007A1E18"/>
    <w:rsid w:val="007F7ECC"/>
    <w:rsid w:val="00821A71"/>
    <w:rsid w:val="00850CB7"/>
    <w:rsid w:val="00875C03"/>
    <w:rsid w:val="008774FD"/>
    <w:rsid w:val="00887BB9"/>
    <w:rsid w:val="00895676"/>
    <w:rsid w:val="008F3D96"/>
    <w:rsid w:val="008F5043"/>
    <w:rsid w:val="008F7763"/>
    <w:rsid w:val="0091214D"/>
    <w:rsid w:val="00924B06"/>
    <w:rsid w:val="00926EAF"/>
    <w:rsid w:val="00966847"/>
    <w:rsid w:val="009931D0"/>
    <w:rsid w:val="009E5A0C"/>
    <w:rsid w:val="00A050E1"/>
    <w:rsid w:val="00A26197"/>
    <w:rsid w:val="00A33747"/>
    <w:rsid w:val="00A36655"/>
    <w:rsid w:val="00A67613"/>
    <w:rsid w:val="00A76CDC"/>
    <w:rsid w:val="00A80F04"/>
    <w:rsid w:val="00A810A4"/>
    <w:rsid w:val="00AD1A36"/>
    <w:rsid w:val="00AF0063"/>
    <w:rsid w:val="00B03546"/>
    <w:rsid w:val="00B13299"/>
    <w:rsid w:val="00B211E9"/>
    <w:rsid w:val="00B258E6"/>
    <w:rsid w:val="00B25F50"/>
    <w:rsid w:val="00B27C03"/>
    <w:rsid w:val="00B34272"/>
    <w:rsid w:val="00B3470C"/>
    <w:rsid w:val="00B37E31"/>
    <w:rsid w:val="00B5753D"/>
    <w:rsid w:val="00BB1DA2"/>
    <w:rsid w:val="00BD5018"/>
    <w:rsid w:val="00BD54A3"/>
    <w:rsid w:val="00BE2CA6"/>
    <w:rsid w:val="00C02C0D"/>
    <w:rsid w:val="00C069A4"/>
    <w:rsid w:val="00C145C3"/>
    <w:rsid w:val="00C35186"/>
    <w:rsid w:val="00C43B07"/>
    <w:rsid w:val="00C448B1"/>
    <w:rsid w:val="00C57AAC"/>
    <w:rsid w:val="00C6224B"/>
    <w:rsid w:val="00CA0D26"/>
    <w:rsid w:val="00CA63B4"/>
    <w:rsid w:val="00CD2802"/>
    <w:rsid w:val="00D0289B"/>
    <w:rsid w:val="00D45C7C"/>
    <w:rsid w:val="00D5760E"/>
    <w:rsid w:val="00D62334"/>
    <w:rsid w:val="00DC23F0"/>
    <w:rsid w:val="00DC41B1"/>
    <w:rsid w:val="00E01DD9"/>
    <w:rsid w:val="00E410B1"/>
    <w:rsid w:val="00E66185"/>
    <w:rsid w:val="00E71829"/>
    <w:rsid w:val="00E737DC"/>
    <w:rsid w:val="00EB1056"/>
    <w:rsid w:val="00EF2ACD"/>
    <w:rsid w:val="00F0331C"/>
    <w:rsid w:val="00F13C21"/>
    <w:rsid w:val="00F24254"/>
    <w:rsid w:val="00F36CE8"/>
    <w:rsid w:val="00F5715B"/>
    <w:rsid w:val="00FA58AB"/>
    <w:rsid w:val="00FC7382"/>
    <w:rsid w:val="00FD5BB9"/>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25EF5"/>
    <w:pPr>
      <w:spacing w:before="0" w:after="440"/>
      <w:ind w:left="-1134" w:right="-1134"/>
    </w:pPr>
    <w:rPr>
      <w:sz w:val="2"/>
    </w:rPr>
  </w:style>
  <w:style w:type="character" w:customStyle="1" w:styleId="TechnicalBlockChar">
    <w:name w:val="Technical Block Char"/>
    <w:basedOn w:val="DefaultParagraphFont"/>
    <w:rsid w:val="00725EF5"/>
    <w:rPr>
      <w:sz w:val="24"/>
      <w:szCs w:val="24"/>
      <w:lang w:val="fr-FR" w:eastAsia="fr-FR"/>
    </w:rPr>
  </w:style>
  <w:style w:type="character" w:customStyle="1" w:styleId="HeaderCouncilLargeChar">
    <w:name w:val="Header Council Large Char"/>
    <w:basedOn w:val="TechnicalBlockChar"/>
    <w:link w:val="HeaderCouncilLarge"/>
    <w:rsid w:val="00725EF5"/>
    <w:rPr>
      <w:sz w:val="2"/>
      <w:szCs w:val="24"/>
      <w:lang w:val="fr-FR" w:eastAsia="fr-FR"/>
    </w:rPr>
  </w:style>
  <w:style w:type="paragraph" w:customStyle="1" w:styleId="FooterText">
    <w:name w:val="Footer Text"/>
    <w:basedOn w:val="Normal"/>
    <w:rsid w:val="00725EF5"/>
    <w:pPr>
      <w:spacing w:before="0" w:after="0"/>
    </w:pPr>
  </w:style>
  <w:style w:type="paragraph" w:customStyle="1" w:styleId="FooterAddressText">
    <w:name w:val="Footer Address Text"/>
    <w:basedOn w:val="FooterText"/>
    <w:qFormat/>
    <w:rsid w:val="00725EF5"/>
    <w:pPr>
      <w:jc w:val="center"/>
    </w:pPr>
    <w:rPr>
      <w:spacing w:val="10"/>
      <w:sz w:val="16"/>
      <w:szCs w:val="16"/>
    </w:rPr>
  </w:style>
  <w:style w:type="character" w:styleId="Hyperlink">
    <w:name w:val="Hyperlink"/>
    <w:basedOn w:val="DefaultParagraphFont"/>
    <w:uiPriority w:val="99"/>
    <w:unhideWhenUsed/>
    <w:rsid w:val="00725EF5"/>
    <w:rPr>
      <w:color w:val="0000FF" w:themeColor="hyperlink"/>
      <w:u w:val="single"/>
    </w:rPr>
  </w:style>
  <w:style w:type="paragraph" w:customStyle="1" w:styleId="HeaderText">
    <w:name w:val="Header Text"/>
    <w:basedOn w:val="Normal"/>
    <w:rsid w:val="00725EF5"/>
    <w:pPr>
      <w:spacing w:before="0" w:after="0"/>
    </w:pPr>
  </w:style>
  <w:style w:type="character" w:customStyle="1" w:styleId="FootnoteTextChar">
    <w:name w:val="Footnote Text Char"/>
    <w:basedOn w:val="DefaultParagraphFont"/>
    <w:uiPriority w:val="99"/>
    <w:rsid w:val="00687A1E"/>
    <w:rPr>
      <w:sz w:val="24"/>
      <w:lang w:val="fr-FR" w:eastAsia="fr-FR"/>
    </w:rPr>
  </w:style>
  <w:style w:type="paragraph" w:customStyle="1" w:styleId="Default">
    <w:name w:val="Default"/>
    <w:rsid w:val="00687A1E"/>
    <w:pPr>
      <w:autoSpaceDE w:val="0"/>
      <w:autoSpaceDN w:val="0"/>
      <w:adjustRightInd w:val="0"/>
    </w:pPr>
    <w:rPr>
      <w:rFonts w:eastAsia="Calibri"/>
      <w:color w:val="000000"/>
      <w:sz w:val="24"/>
      <w:szCs w:val="24"/>
    </w:rPr>
  </w:style>
  <w:style w:type="paragraph" w:styleId="EndnoteText">
    <w:name w:val="endnote text"/>
    <w:basedOn w:val="Normal"/>
    <w:link w:val="EndnoteTextChar"/>
    <w:uiPriority w:val="99"/>
    <w:semiHidden/>
    <w:unhideWhenUsed/>
    <w:rsid w:val="000B15EE"/>
    <w:pPr>
      <w:spacing w:before="0" w:after="0"/>
    </w:pPr>
    <w:rPr>
      <w:sz w:val="20"/>
      <w:szCs w:val="20"/>
    </w:rPr>
  </w:style>
  <w:style w:type="character" w:customStyle="1" w:styleId="EndnoteTextChar">
    <w:name w:val="Endnote Text Char"/>
    <w:basedOn w:val="DefaultParagraphFont"/>
    <w:link w:val="EndnoteText"/>
    <w:uiPriority w:val="99"/>
    <w:semiHidden/>
    <w:rsid w:val="000B15EE"/>
    <w:rPr>
      <w:lang w:val="fr-FR" w:eastAsia="fr-FR"/>
    </w:rPr>
  </w:style>
  <w:style w:type="character" w:styleId="EndnoteReference">
    <w:name w:val="endnote reference"/>
    <w:basedOn w:val="DefaultParagraphFont"/>
    <w:uiPriority w:val="99"/>
    <w:semiHidden/>
    <w:unhideWhenUsed/>
    <w:rsid w:val="000B15EE"/>
    <w:rPr>
      <w:vertAlign w:val="superscript"/>
    </w:rPr>
  </w:style>
  <w:style w:type="character" w:customStyle="1" w:styleId="Heading1Char">
    <w:name w:val="Heading 1 Char"/>
    <w:basedOn w:val="DefaultParagraphFont"/>
    <w:rsid w:val="00236758"/>
    <w:rPr>
      <w:b/>
      <w:bCs/>
      <w:smallCaps/>
      <w:sz w:val="24"/>
      <w:szCs w:val="32"/>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5715B"/>
    <w:rPr>
      <w:lang w:val="fr-FR" w:eastAsia="fr-FR"/>
    </w:rPr>
  </w:style>
  <w:style w:type="paragraph" w:styleId="CommentSubject">
    <w:name w:val="annotation subject"/>
    <w:basedOn w:val="CommentText"/>
    <w:next w:val="CommentText"/>
    <w:link w:val="CommentSubjectChar"/>
    <w:uiPriority w:val="99"/>
    <w:semiHidden/>
    <w:unhideWhenUsed/>
    <w:rsid w:val="00F5715B"/>
    <w:rPr>
      <w:b/>
      <w:bCs/>
    </w:rPr>
  </w:style>
  <w:style w:type="character" w:customStyle="1" w:styleId="CommentSubjectChar">
    <w:name w:val="Comment Subject Char"/>
    <w:basedOn w:val="CommentTextChar"/>
    <w:link w:val="CommentSubject"/>
    <w:uiPriority w:val="99"/>
    <w:semiHidden/>
    <w:rsid w:val="00F5715B"/>
    <w:rPr>
      <w:b/>
      <w:bCs/>
      <w:lang w:val="fr-FR" w:eastAsia="fr-FR"/>
    </w:rPr>
  </w:style>
  <w:style w:type="paragraph" w:styleId="BalloonText">
    <w:name w:val="Balloon Text"/>
    <w:basedOn w:val="Normal"/>
    <w:link w:val="BalloonTextChar"/>
    <w:uiPriority w:val="99"/>
    <w:semiHidden/>
    <w:unhideWhenUsed/>
    <w:rsid w:val="00005B9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92"/>
    <w:rPr>
      <w:rFonts w:ascii="Tahoma" w:hAnsi="Tahoma" w:cs="Tahoma"/>
      <w:sz w:val="16"/>
      <w:szCs w:val="16"/>
      <w:lang w:val="fr-FR" w:eastAsia="fr-FR"/>
    </w:rPr>
  </w:style>
  <w:style w:type="paragraph" w:customStyle="1" w:styleId="PointManual">
    <w:name w:val="Point Manual"/>
    <w:basedOn w:val="Normal"/>
    <w:rsid w:val="00E71829"/>
    <w:pPr>
      <w:spacing w:before="200" w:after="0"/>
      <w:ind w:left="567" w:hanging="567"/>
    </w:pPr>
  </w:style>
  <w:style w:type="character" w:styleId="FollowedHyperlink">
    <w:name w:val="FollowedHyperlink"/>
    <w:basedOn w:val="DefaultParagraphFont"/>
    <w:uiPriority w:val="99"/>
    <w:semiHidden/>
    <w:unhideWhenUsed/>
    <w:rsid w:val="0070237E"/>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05D3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25EF5"/>
    <w:pPr>
      <w:spacing w:before="0" w:after="440"/>
      <w:ind w:left="-1134" w:right="-1134"/>
    </w:pPr>
    <w:rPr>
      <w:sz w:val="2"/>
    </w:rPr>
  </w:style>
  <w:style w:type="character" w:customStyle="1" w:styleId="TechnicalBlockChar">
    <w:name w:val="Technical Block Char"/>
    <w:basedOn w:val="DefaultParagraphFont"/>
    <w:rsid w:val="00725EF5"/>
    <w:rPr>
      <w:sz w:val="24"/>
      <w:szCs w:val="24"/>
      <w:lang w:val="fr-FR" w:eastAsia="fr-FR"/>
    </w:rPr>
  </w:style>
  <w:style w:type="character" w:customStyle="1" w:styleId="HeaderCouncilLargeChar">
    <w:name w:val="Header Council Large Char"/>
    <w:basedOn w:val="TechnicalBlockChar"/>
    <w:link w:val="HeaderCouncilLarge"/>
    <w:rsid w:val="00725EF5"/>
    <w:rPr>
      <w:sz w:val="2"/>
      <w:szCs w:val="24"/>
      <w:lang w:val="fr-FR" w:eastAsia="fr-FR"/>
    </w:rPr>
  </w:style>
  <w:style w:type="paragraph" w:customStyle="1" w:styleId="FooterText">
    <w:name w:val="Footer Text"/>
    <w:basedOn w:val="Normal"/>
    <w:rsid w:val="00725EF5"/>
    <w:pPr>
      <w:spacing w:before="0" w:after="0"/>
    </w:pPr>
  </w:style>
  <w:style w:type="paragraph" w:customStyle="1" w:styleId="FooterAddressText">
    <w:name w:val="Footer Address Text"/>
    <w:basedOn w:val="FooterText"/>
    <w:qFormat/>
    <w:rsid w:val="00725EF5"/>
    <w:pPr>
      <w:jc w:val="center"/>
    </w:pPr>
    <w:rPr>
      <w:spacing w:val="10"/>
      <w:sz w:val="16"/>
      <w:szCs w:val="16"/>
    </w:rPr>
  </w:style>
  <w:style w:type="character" w:styleId="Hyperlink">
    <w:name w:val="Hyperlink"/>
    <w:basedOn w:val="DefaultParagraphFont"/>
    <w:uiPriority w:val="99"/>
    <w:unhideWhenUsed/>
    <w:rsid w:val="00725EF5"/>
    <w:rPr>
      <w:color w:val="0000FF" w:themeColor="hyperlink"/>
      <w:u w:val="single"/>
    </w:rPr>
  </w:style>
  <w:style w:type="paragraph" w:customStyle="1" w:styleId="HeaderText">
    <w:name w:val="Header Text"/>
    <w:basedOn w:val="Normal"/>
    <w:rsid w:val="00725EF5"/>
    <w:pPr>
      <w:spacing w:before="0" w:after="0"/>
    </w:pPr>
  </w:style>
  <w:style w:type="character" w:customStyle="1" w:styleId="FootnoteTextChar">
    <w:name w:val="Footnote Text Char"/>
    <w:basedOn w:val="DefaultParagraphFont"/>
    <w:uiPriority w:val="99"/>
    <w:rsid w:val="00687A1E"/>
    <w:rPr>
      <w:sz w:val="24"/>
      <w:lang w:val="fr-FR" w:eastAsia="fr-FR"/>
    </w:rPr>
  </w:style>
  <w:style w:type="paragraph" w:customStyle="1" w:styleId="Default">
    <w:name w:val="Default"/>
    <w:rsid w:val="00687A1E"/>
    <w:pPr>
      <w:autoSpaceDE w:val="0"/>
      <w:autoSpaceDN w:val="0"/>
      <w:adjustRightInd w:val="0"/>
    </w:pPr>
    <w:rPr>
      <w:rFonts w:eastAsia="Calibri"/>
      <w:color w:val="000000"/>
      <w:sz w:val="24"/>
      <w:szCs w:val="24"/>
    </w:rPr>
  </w:style>
  <w:style w:type="paragraph" w:styleId="EndnoteText">
    <w:name w:val="endnote text"/>
    <w:basedOn w:val="Normal"/>
    <w:link w:val="EndnoteTextChar"/>
    <w:uiPriority w:val="99"/>
    <w:semiHidden/>
    <w:unhideWhenUsed/>
    <w:rsid w:val="000B15EE"/>
    <w:pPr>
      <w:spacing w:before="0" w:after="0"/>
    </w:pPr>
    <w:rPr>
      <w:sz w:val="20"/>
      <w:szCs w:val="20"/>
    </w:rPr>
  </w:style>
  <w:style w:type="character" w:customStyle="1" w:styleId="EndnoteTextChar">
    <w:name w:val="Endnote Text Char"/>
    <w:basedOn w:val="DefaultParagraphFont"/>
    <w:link w:val="EndnoteText"/>
    <w:uiPriority w:val="99"/>
    <w:semiHidden/>
    <w:rsid w:val="000B15EE"/>
    <w:rPr>
      <w:lang w:val="fr-FR" w:eastAsia="fr-FR"/>
    </w:rPr>
  </w:style>
  <w:style w:type="character" w:styleId="EndnoteReference">
    <w:name w:val="endnote reference"/>
    <w:basedOn w:val="DefaultParagraphFont"/>
    <w:uiPriority w:val="99"/>
    <w:semiHidden/>
    <w:unhideWhenUsed/>
    <w:rsid w:val="000B15EE"/>
    <w:rPr>
      <w:vertAlign w:val="superscript"/>
    </w:rPr>
  </w:style>
  <w:style w:type="character" w:customStyle="1" w:styleId="Heading1Char">
    <w:name w:val="Heading 1 Char"/>
    <w:basedOn w:val="DefaultParagraphFont"/>
    <w:rsid w:val="00236758"/>
    <w:rPr>
      <w:b/>
      <w:bCs/>
      <w:smallCaps/>
      <w:sz w:val="24"/>
      <w:szCs w:val="32"/>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5715B"/>
    <w:rPr>
      <w:lang w:val="fr-FR" w:eastAsia="fr-FR"/>
    </w:rPr>
  </w:style>
  <w:style w:type="paragraph" w:styleId="CommentSubject">
    <w:name w:val="annotation subject"/>
    <w:basedOn w:val="CommentText"/>
    <w:next w:val="CommentText"/>
    <w:link w:val="CommentSubjectChar"/>
    <w:uiPriority w:val="99"/>
    <w:semiHidden/>
    <w:unhideWhenUsed/>
    <w:rsid w:val="00F5715B"/>
    <w:rPr>
      <w:b/>
      <w:bCs/>
    </w:rPr>
  </w:style>
  <w:style w:type="character" w:customStyle="1" w:styleId="CommentSubjectChar">
    <w:name w:val="Comment Subject Char"/>
    <w:basedOn w:val="CommentTextChar"/>
    <w:link w:val="CommentSubject"/>
    <w:uiPriority w:val="99"/>
    <w:semiHidden/>
    <w:rsid w:val="00F5715B"/>
    <w:rPr>
      <w:b/>
      <w:bCs/>
      <w:lang w:val="fr-FR" w:eastAsia="fr-FR"/>
    </w:rPr>
  </w:style>
  <w:style w:type="paragraph" w:styleId="BalloonText">
    <w:name w:val="Balloon Text"/>
    <w:basedOn w:val="Normal"/>
    <w:link w:val="BalloonTextChar"/>
    <w:uiPriority w:val="99"/>
    <w:semiHidden/>
    <w:unhideWhenUsed/>
    <w:rsid w:val="00005B9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92"/>
    <w:rPr>
      <w:rFonts w:ascii="Tahoma" w:hAnsi="Tahoma" w:cs="Tahoma"/>
      <w:sz w:val="16"/>
      <w:szCs w:val="16"/>
      <w:lang w:val="fr-FR" w:eastAsia="fr-FR"/>
    </w:rPr>
  </w:style>
  <w:style w:type="paragraph" w:customStyle="1" w:styleId="PointManual">
    <w:name w:val="Point Manual"/>
    <w:basedOn w:val="Normal"/>
    <w:rsid w:val="00E71829"/>
    <w:pPr>
      <w:spacing w:before="200" w:after="0"/>
      <w:ind w:left="567" w:hanging="567"/>
    </w:pPr>
  </w:style>
  <w:style w:type="character" w:styleId="FollowedHyperlink">
    <w:name w:val="FollowedHyperlink"/>
    <w:basedOn w:val="DefaultParagraphFont"/>
    <w:uiPriority w:val="99"/>
    <w:semiHidden/>
    <w:unhideWhenUsed/>
    <w:rsid w:val="0070237E"/>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05D3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697">
      <w:bodyDiv w:val="1"/>
      <w:marLeft w:val="0"/>
      <w:marRight w:val="0"/>
      <w:marTop w:val="0"/>
      <w:marBottom w:val="0"/>
      <w:divBdr>
        <w:top w:val="none" w:sz="0" w:space="0" w:color="auto"/>
        <w:left w:val="none" w:sz="0" w:space="0" w:color="auto"/>
        <w:bottom w:val="none" w:sz="0" w:space="0" w:color="auto"/>
        <w:right w:val="none" w:sz="0" w:space="0" w:color="auto"/>
      </w:divBdr>
    </w:div>
    <w:div w:id="221794200">
      <w:bodyDiv w:val="1"/>
      <w:marLeft w:val="0"/>
      <w:marRight w:val="0"/>
      <w:marTop w:val="0"/>
      <w:marBottom w:val="0"/>
      <w:divBdr>
        <w:top w:val="none" w:sz="0" w:space="0" w:color="auto"/>
        <w:left w:val="none" w:sz="0" w:space="0" w:color="auto"/>
        <w:bottom w:val="none" w:sz="0" w:space="0" w:color="auto"/>
        <w:right w:val="none" w:sz="0" w:space="0" w:color="auto"/>
      </w:divBdr>
    </w:div>
    <w:div w:id="10787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onsilium.europa.eu/fr/press/press-releases/2015/05/26-fac-conclusions-development-aid-targets/" TargetMode="External"/><Relationship Id="rId2" Type="http://schemas.openxmlformats.org/officeDocument/2006/relationships/numbering" Target="numbering.xml"/><Relationship Id="rId16" Type="http://schemas.openxmlformats.org/officeDocument/2006/relationships/hyperlink" Target="http://www.consilium.europa.eu/fr/press/press-releases/2015/05/26-fac-dev-council-conclusions-gender-develop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onsilium.europa.eu/fr/press/press-releases/2015/05/26-fac-dev-council-conclusions-global-partnership/"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07BA-89BA-4DC1-9396-FBC788B0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15</Pages>
  <Words>5321</Words>
  <Characters>29268</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FORTAN Kelly</cp:lastModifiedBy>
  <cp:revision>2</cp:revision>
  <cp:lastPrinted>2015-08-03T12:34:00Z</cp:lastPrinted>
  <dcterms:created xsi:type="dcterms:W3CDTF">2015-08-04T13:14:00Z</dcterms:created>
  <dcterms:modified xsi:type="dcterms:W3CDTF">2015-08-04T13:14:00Z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