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90A18" w14:textId="7E4DEF79" w:rsidR="00F40D7F" w:rsidRPr="009240A5" w:rsidRDefault="00230F20" w:rsidP="009240A5">
      <w:pPr>
        <w:pStyle w:val="TechnicalBlock"/>
        <w:ind w:left="-1134" w:right="-1134"/>
      </w:pPr>
      <w:bookmarkStart w:id="0" w:name="DW_BM_COVERPAGE"/>
      <w:bookmarkStart w:id="1" w:name="_GoBack"/>
      <w:bookmarkEnd w:id="1"/>
      <w:r>
        <w:pict w14:anchorId="7F050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0d14dc4-b926-4aba-8a92-a99c46772e94_0" style="width:572.25pt;height:425.45pt">
            <v:imagedata r:id="rId9" o:title=""/>
          </v:shape>
        </w:pict>
      </w:r>
      <w:bookmarkEnd w:id="0"/>
    </w:p>
    <w:p w14:paraId="5B353886" w14:textId="77777777" w:rsidR="00D15446" w:rsidRDefault="00D15446" w:rsidP="00D15446">
      <w:pPr>
        <w:pStyle w:val="TechnicalBlock"/>
        <w:ind w:left="-1134" w:right="-1134"/>
        <w:sectPr w:rsidR="00D15446" w:rsidSect="00230F2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14:paraId="6A47591E" w14:textId="66C9B406" w:rsidR="00EB33B7" w:rsidRDefault="00CF04C0" w:rsidP="00CF04C0">
      <w:pPr>
        <w:pStyle w:val="TOCHeading"/>
      </w:pPr>
      <w:r>
        <w:lastRenderedPageBreak/>
        <w:t>CONTENTS</w:t>
      </w:r>
      <w:r w:rsidRPr="00CF04C0">
        <w:rPr>
          <w:vertAlign w:val="superscript"/>
        </w:rPr>
        <w:t>1</w:t>
      </w:r>
    </w:p>
    <w:p w14:paraId="3BC4FE65" w14:textId="109E3DC9" w:rsidR="00CF04C0" w:rsidRDefault="00CF04C0" w:rsidP="00CF04C0">
      <w:pPr>
        <w:pStyle w:val="TOC5"/>
      </w:pPr>
      <w:r>
        <w:t>ITEMS DEBATED</w:t>
      </w:r>
    </w:p>
    <w:p w14:paraId="7A6871EF" w14:textId="4E43D40E" w:rsidR="00CF04C0" w:rsidRDefault="00CF04C0" w:rsidP="00CF04C0">
      <w:pPr>
        <w:pStyle w:val="TOC6"/>
        <w:rPr>
          <w:rFonts w:asciiTheme="minorHAnsi" w:eastAsiaTheme="minorEastAsia" w:hAnsiTheme="minorHAnsi" w:cstheme="minorBidi"/>
          <w:noProof/>
          <w:sz w:val="22"/>
          <w:szCs w:val="22"/>
          <w:lang w:eastAsia="en-GB"/>
        </w:rPr>
      </w:pPr>
      <w:r>
        <w:rPr>
          <w:noProof/>
        </w:rPr>
        <w:t>PRESIDENCY WORK PROGRAMME</w:t>
      </w:r>
      <w:r>
        <w:rPr>
          <w:noProof/>
        </w:rPr>
        <w:tab/>
      </w:r>
      <w:r>
        <w:rPr>
          <w:noProof/>
        </w:rPr>
        <w:fldChar w:fldCharType="begin"/>
      </w:r>
      <w:r>
        <w:rPr>
          <w:noProof/>
        </w:rPr>
        <w:instrText xml:space="preserve"> PAGEREF \h _Toc426453477 \* MERGEFORMAT </w:instrText>
      </w:r>
      <w:r>
        <w:rPr>
          <w:noProof/>
        </w:rPr>
      </w:r>
      <w:r>
        <w:rPr>
          <w:noProof/>
        </w:rPr>
        <w:fldChar w:fldCharType="separate"/>
      </w:r>
      <w:r w:rsidR="00230F20">
        <w:rPr>
          <w:noProof/>
        </w:rPr>
        <w:t>4</w:t>
      </w:r>
      <w:r>
        <w:rPr>
          <w:noProof/>
        </w:rPr>
        <w:fldChar w:fldCharType="end"/>
      </w:r>
    </w:p>
    <w:p w14:paraId="13E7DDE1" w14:textId="4A7CF009" w:rsidR="00CF04C0" w:rsidRDefault="00CF04C0" w:rsidP="00CF04C0">
      <w:pPr>
        <w:pStyle w:val="TOC6"/>
        <w:keepNext/>
        <w:rPr>
          <w:rFonts w:asciiTheme="minorHAnsi" w:eastAsiaTheme="minorEastAsia" w:hAnsiTheme="minorHAnsi" w:cstheme="minorBidi"/>
          <w:noProof/>
          <w:sz w:val="22"/>
          <w:szCs w:val="22"/>
          <w:lang w:eastAsia="en-GB"/>
        </w:rPr>
      </w:pPr>
      <w:r>
        <w:rPr>
          <w:noProof/>
        </w:rPr>
        <w:t>AGRICULTURE</w:t>
      </w:r>
      <w:r>
        <w:rPr>
          <w:noProof/>
        </w:rPr>
        <w:tab/>
      </w:r>
      <w:r>
        <w:rPr>
          <w:noProof/>
        </w:rPr>
        <w:fldChar w:fldCharType="begin"/>
      </w:r>
      <w:r>
        <w:rPr>
          <w:noProof/>
        </w:rPr>
        <w:instrText xml:space="preserve"> PAGEREF \h _Toc426453478 \* MERGEFORMAT </w:instrText>
      </w:r>
      <w:r>
        <w:rPr>
          <w:noProof/>
        </w:rPr>
      </w:r>
      <w:r>
        <w:rPr>
          <w:noProof/>
        </w:rPr>
        <w:fldChar w:fldCharType="separate"/>
      </w:r>
      <w:r w:rsidR="00230F20">
        <w:rPr>
          <w:noProof/>
        </w:rPr>
        <w:t>5</w:t>
      </w:r>
      <w:r>
        <w:rPr>
          <w:noProof/>
        </w:rPr>
        <w:fldChar w:fldCharType="end"/>
      </w:r>
    </w:p>
    <w:p w14:paraId="4137C48C" w14:textId="2CA30C32" w:rsidR="00CF04C0" w:rsidRDefault="00CF04C0" w:rsidP="00CF04C0">
      <w:pPr>
        <w:pStyle w:val="TOC7"/>
        <w:keepNext/>
        <w:rPr>
          <w:rFonts w:asciiTheme="minorHAnsi" w:eastAsiaTheme="minorEastAsia" w:hAnsiTheme="minorHAnsi" w:cstheme="minorBidi"/>
          <w:noProof/>
          <w:sz w:val="22"/>
          <w:szCs w:val="22"/>
          <w:lang w:eastAsia="en-GB"/>
        </w:rPr>
      </w:pPr>
      <w:r>
        <w:rPr>
          <w:noProof/>
        </w:rPr>
        <w:t>Restriction of use of genetically modified food and feed</w:t>
      </w:r>
      <w:r>
        <w:rPr>
          <w:noProof/>
        </w:rPr>
        <w:tab/>
      </w:r>
      <w:r>
        <w:rPr>
          <w:noProof/>
        </w:rPr>
        <w:fldChar w:fldCharType="begin"/>
      </w:r>
      <w:r>
        <w:rPr>
          <w:noProof/>
        </w:rPr>
        <w:instrText xml:space="preserve"> PAGEREF \h _Toc426453479 \* MERGEFORMAT </w:instrText>
      </w:r>
      <w:r>
        <w:rPr>
          <w:noProof/>
        </w:rPr>
      </w:r>
      <w:r>
        <w:rPr>
          <w:noProof/>
        </w:rPr>
        <w:fldChar w:fldCharType="separate"/>
      </w:r>
      <w:r w:rsidR="00230F20">
        <w:rPr>
          <w:noProof/>
        </w:rPr>
        <w:t>5</w:t>
      </w:r>
      <w:r>
        <w:rPr>
          <w:noProof/>
        </w:rPr>
        <w:fldChar w:fldCharType="end"/>
      </w:r>
    </w:p>
    <w:p w14:paraId="137C1776" w14:textId="3D229C35" w:rsidR="00CF04C0" w:rsidRDefault="00CF04C0" w:rsidP="00CF04C0">
      <w:pPr>
        <w:pStyle w:val="TOC7"/>
        <w:keepNext/>
        <w:rPr>
          <w:rFonts w:asciiTheme="minorHAnsi" w:eastAsiaTheme="minorEastAsia" w:hAnsiTheme="minorHAnsi" w:cstheme="minorBidi"/>
          <w:noProof/>
          <w:sz w:val="22"/>
          <w:szCs w:val="22"/>
          <w:lang w:eastAsia="en-GB"/>
        </w:rPr>
      </w:pPr>
      <w:r>
        <w:rPr>
          <w:noProof/>
        </w:rPr>
        <w:t>Market developments</w:t>
      </w:r>
      <w:r>
        <w:rPr>
          <w:noProof/>
        </w:rPr>
        <w:tab/>
      </w:r>
      <w:r>
        <w:rPr>
          <w:noProof/>
        </w:rPr>
        <w:fldChar w:fldCharType="begin"/>
      </w:r>
      <w:r>
        <w:rPr>
          <w:noProof/>
        </w:rPr>
        <w:instrText xml:space="preserve"> PAGEREF \h _Toc426453480 \* MERGEFORMAT </w:instrText>
      </w:r>
      <w:r>
        <w:rPr>
          <w:noProof/>
        </w:rPr>
      </w:r>
      <w:r>
        <w:rPr>
          <w:noProof/>
        </w:rPr>
        <w:fldChar w:fldCharType="separate"/>
      </w:r>
      <w:r w:rsidR="00230F20">
        <w:rPr>
          <w:noProof/>
        </w:rPr>
        <w:t>6</w:t>
      </w:r>
      <w:r>
        <w:rPr>
          <w:noProof/>
        </w:rPr>
        <w:fldChar w:fldCharType="end"/>
      </w:r>
    </w:p>
    <w:p w14:paraId="1A9CD339" w14:textId="5C262551" w:rsidR="00CF04C0" w:rsidRDefault="00CF04C0" w:rsidP="00CF04C0">
      <w:pPr>
        <w:pStyle w:val="TOC7"/>
        <w:rPr>
          <w:rFonts w:asciiTheme="minorHAnsi" w:eastAsiaTheme="minorEastAsia" w:hAnsiTheme="minorHAnsi" w:cstheme="minorBidi"/>
          <w:noProof/>
          <w:sz w:val="22"/>
          <w:szCs w:val="22"/>
          <w:lang w:eastAsia="en-GB"/>
        </w:rPr>
      </w:pPr>
      <w:r>
        <w:rPr>
          <w:noProof/>
        </w:rPr>
        <w:t>School fruit, vegetables and milk schemes</w:t>
      </w:r>
      <w:r>
        <w:rPr>
          <w:noProof/>
        </w:rPr>
        <w:tab/>
      </w:r>
      <w:r>
        <w:rPr>
          <w:noProof/>
        </w:rPr>
        <w:fldChar w:fldCharType="begin"/>
      </w:r>
      <w:r>
        <w:rPr>
          <w:noProof/>
        </w:rPr>
        <w:instrText xml:space="preserve"> PAGEREF \h _Toc426453481 \* MERGEFORMAT </w:instrText>
      </w:r>
      <w:r>
        <w:rPr>
          <w:noProof/>
        </w:rPr>
      </w:r>
      <w:r>
        <w:rPr>
          <w:noProof/>
        </w:rPr>
        <w:fldChar w:fldCharType="separate"/>
      </w:r>
      <w:r w:rsidR="00230F20">
        <w:rPr>
          <w:noProof/>
        </w:rPr>
        <w:t>7</w:t>
      </w:r>
      <w:r>
        <w:rPr>
          <w:noProof/>
        </w:rPr>
        <w:fldChar w:fldCharType="end"/>
      </w:r>
    </w:p>
    <w:p w14:paraId="0D6004E1" w14:textId="0ACEE4F8" w:rsidR="00CF04C0" w:rsidRDefault="00CF04C0" w:rsidP="00CF04C0">
      <w:pPr>
        <w:pStyle w:val="TOC6"/>
        <w:rPr>
          <w:rFonts w:asciiTheme="minorHAnsi" w:eastAsiaTheme="minorEastAsia" w:hAnsiTheme="minorHAnsi" w:cstheme="minorBidi"/>
          <w:noProof/>
          <w:sz w:val="22"/>
          <w:szCs w:val="22"/>
          <w:lang w:eastAsia="en-GB"/>
        </w:rPr>
      </w:pPr>
      <w:r>
        <w:rPr>
          <w:noProof/>
        </w:rPr>
        <w:t>ANY OTHER BUSINESS</w:t>
      </w:r>
      <w:r>
        <w:rPr>
          <w:noProof/>
        </w:rPr>
        <w:tab/>
      </w:r>
      <w:r>
        <w:rPr>
          <w:noProof/>
        </w:rPr>
        <w:fldChar w:fldCharType="begin"/>
      </w:r>
      <w:r>
        <w:rPr>
          <w:noProof/>
        </w:rPr>
        <w:instrText xml:space="preserve"> PAGEREF \h _Toc426453482 \* MERGEFORMAT </w:instrText>
      </w:r>
      <w:r>
        <w:rPr>
          <w:noProof/>
        </w:rPr>
      </w:r>
      <w:r>
        <w:rPr>
          <w:noProof/>
        </w:rPr>
        <w:fldChar w:fldCharType="separate"/>
      </w:r>
      <w:r w:rsidR="00230F20">
        <w:rPr>
          <w:noProof/>
        </w:rPr>
        <w:t>8</w:t>
      </w:r>
      <w:r>
        <w:rPr>
          <w:noProof/>
        </w:rPr>
        <w:fldChar w:fldCharType="end"/>
      </w:r>
    </w:p>
    <w:p w14:paraId="37A7F70B" w14:textId="46BD3488" w:rsidR="00CF04C0" w:rsidRDefault="00CF04C0" w:rsidP="00CF04C0">
      <w:pPr>
        <w:pStyle w:val="TOC9"/>
        <w:rPr>
          <w:rFonts w:asciiTheme="minorHAnsi" w:eastAsiaTheme="minorEastAsia" w:hAnsiTheme="minorHAnsi" w:cstheme="minorBidi"/>
          <w:noProof/>
          <w:sz w:val="22"/>
          <w:szCs w:val="22"/>
          <w:lang w:eastAsia="en-GB"/>
        </w:rPr>
      </w:pPr>
      <w:r>
        <w:rPr>
          <w:noProof/>
        </w:rPr>
        <w:t>Research on soils</w:t>
      </w:r>
      <w:r>
        <w:rPr>
          <w:noProof/>
        </w:rPr>
        <w:tab/>
      </w:r>
      <w:r>
        <w:rPr>
          <w:noProof/>
        </w:rPr>
        <w:fldChar w:fldCharType="begin"/>
      </w:r>
      <w:r>
        <w:rPr>
          <w:noProof/>
        </w:rPr>
        <w:instrText xml:space="preserve"> PAGEREF \h _Toc426453483 \* MERGEFORMAT </w:instrText>
      </w:r>
      <w:r>
        <w:rPr>
          <w:noProof/>
        </w:rPr>
      </w:r>
      <w:r>
        <w:rPr>
          <w:noProof/>
        </w:rPr>
        <w:fldChar w:fldCharType="separate"/>
      </w:r>
      <w:r w:rsidR="00230F20">
        <w:rPr>
          <w:noProof/>
        </w:rPr>
        <w:t>8</w:t>
      </w:r>
      <w:r>
        <w:rPr>
          <w:noProof/>
        </w:rPr>
        <w:fldChar w:fldCharType="end"/>
      </w:r>
    </w:p>
    <w:p w14:paraId="41BD2987" w14:textId="22337982" w:rsidR="00CF04C0" w:rsidRDefault="00CF04C0" w:rsidP="00CF04C0">
      <w:pPr>
        <w:pStyle w:val="TOC9"/>
        <w:rPr>
          <w:rFonts w:asciiTheme="minorHAnsi" w:eastAsiaTheme="minorEastAsia" w:hAnsiTheme="minorHAnsi" w:cstheme="minorBidi"/>
          <w:noProof/>
          <w:sz w:val="22"/>
          <w:szCs w:val="22"/>
          <w:lang w:eastAsia="en-GB"/>
        </w:rPr>
      </w:pPr>
      <w:r>
        <w:rPr>
          <w:noProof/>
        </w:rPr>
        <w:t>Plant patenting</w:t>
      </w:r>
      <w:r>
        <w:rPr>
          <w:noProof/>
        </w:rPr>
        <w:tab/>
      </w:r>
      <w:r>
        <w:rPr>
          <w:noProof/>
        </w:rPr>
        <w:fldChar w:fldCharType="begin"/>
      </w:r>
      <w:r>
        <w:rPr>
          <w:noProof/>
        </w:rPr>
        <w:instrText xml:space="preserve"> PAGEREF \h _Toc426453484 \* MERGEFORMAT </w:instrText>
      </w:r>
      <w:r>
        <w:rPr>
          <w:noProof/>
        </w:rPr>
      </w:r>
      <w:r>
        <w:rPr>
          <w:noProof/>
        </w:rPr>
        <w:fldChar w:fldCharType="separate"/>
      </w:r>
      <w:r w:rsidR="00230F20">
        <w:rPr>
          <w:noProof/>
        </w:rPr>
        <w:t>8</w:t>
      </w:r>
      <w:r>
        <w:rPr>
          <w:noProof/>
        </w:rPr>
        <w:fldChar w:fldCharType="end"/>
      </w:r>
    </w:p>
    <w:p w14:paraId="10EEF34B" w14:textId="5AE4CF39" w:rsidR="00CF04C0" w:rsidRDefault="00CF04C0" w:rsidP="00CF04C0">
      <w:pPr>
        <w:pStyle w:val="TOC9"/>
        <w:rPr>
          <w:rFonts w:asciiTheme="minorHAnsi" w:eastAsiaTheme="minorEastAsia" w:hAnsiTheme="minorHAnsi" w:cstheme="minorBidi"/>
          <w:noProof/>
          <w:sz w:val="22"/>
          <w:szCs w:val="22"/>
          <w:lang w:eastAsia="en-GB"/>
        </w:rPr>
      </w:pPr>
      <w:r>
        <w:rPr>
          <w:noProof/>
        </w:rPr>
        <w:t>Crop protection</w:t>
      </w:r>
      <w:r>
        <w:rPr>
          <w:noProof/>
        </w:rPr>
        <w:tab/>
      </w:r>
      <w:r>
        <w:rPr>
          <w:noProof/>
        </w:rPr>
        <w:fldChar w:fldCharType="begin"/>
      </w:r>
      <w:r>
        <w:rPr>
          <w:noProof/>
        </w:rPr>
        <w:instrText xml:space="preserve"> PAGEREF \h _Toc426453485 \* MERGEFORMAT </w:instrText>
      </w:r>
      <w:r>
        <w:rPr>
          <w:noProof/>
        </w:rPr>
      </w:r>
      <w:r>
        <w:rPr>
          <w:noProof/>
        </w:rPr>
        <w:fldChar w:fldCharType="separate"/>
      </w:r>
      <w:r w:rsidR="00230F20">
        <w:rPr>
          <w:noProof/>
        </w:rPr>
        <w:t>9</w:t>
      </w:r>
      <w:r>
        <w:rPr>
          <w:noProof/>
        </w:rPr>
        <w:fldChar w:fldCharType="end"/>
      </w:r>
    </w:p>
    <w:p w14:paraId="39F83028" w14:textId="3179CF38" w:rsidR="00CF04C0" w:rsidRDefault="00CF04C0" w:rsidP="00CF04C0">
      <w:pPr>
        <w:pStyle w:val="TOC9"/>
        <w:rPr>
          <w:rFonts w:asciiTheme="minorHAnsi" w:eastAsiaTheme="minorEastAsia" w:hAnsiTheme="minorHAnsi" w:cstheme="minorBidi"/>
          <w:noProof/>
          <w:sz w:val="22"/>
          <w:szCs w:val="22"/>
          <w:lang w:eastAsia="en-GB"/>
        </w:rPr>
      </w:pPr>
      <w:r>
        <w:rPr>
          <w:noProof/>
        </w:rPr>
        <w:t>Forestry</w:t>
      </w:r>
      <w:r>
        <w:rPr>
          <w:noProof/>
        </w:rPr>
        <w:tab/>
      </w:r>
      <w:r>
        <w:rPr>
          <w:noProof/>
        </w:rPr>
        <w:fldChar w:fldCharType="begin"/>
      </w:r>
      <w:r>
        <w:rPr>
          <w:noProof/>
        </w:rPr>
        <w:instrText xml:space="preserve"> PAGEREF \h _Toc426453486 \* MERGEFORMAT </w:instrText>
      </w:r>
      <w:r>
        <w:rPr>
          <w:noProof/>
        </w:rPr>
      </w:r>
      <w:r>
        <w:rPr>
          <w:noProof/>
        </w:rPr>
        <w:fldChar w:fldCharType="separate"/>
      </w:r>
      <w:r w:rsidR="00230F20">
        <w:rPr>
          <w:noProof/>
        </w:rPr>
        <w:t>9</w:t>
      </w:r>
      <w:r>
        <w:rPr>
          <w:noProof/>
        </w:rPr>
        <w:fldChar w:fldCharType="end"/>
      </w:r>
    </w:p>
    <w:p w14:paraId="21B4F6DA" w14:textId="4FD2702F" w:rsidR="00CF04C0" w:rsidRPr="00CF04C0" w:rsidRDefault="00CF04C0" w:rsidP="00CF04C0">
      <w:pPr>
        <w:pStyle w:val="TOC9"/>
      </w:pPr>
      <w:r>
        <w:rPr>
          <w:noProof/>
        </w:rPr>
        <w:t>Blue week</w:t>
      </w:r>
      <w:r>
        <w:rPr>
          <w:noProof/>
        </w:rPr>
        <w:tab/>
      </w:r>
      <w:r>
        <w:rPr>
          <w:noProof/>
        </w:rPr>
        <w:fldChar w:fldCharType="begin"/>
      </w:r>
      <w:r>
        <w:rPr>
          <w:noProof/>
        </w:rPr>
        <w:instrText xml:space="preserve"> PAGEREF \h _Toc426453487 \* MERGEFORMAT </w:instrText>
      </w:r>
      <w:r>
        <w:rPr>
          <w:noProof/>
        </w:rPr>
      </w:r>
      <w:r>
        <w:rPr>
          <w:noProof/>
        </w:rPr>
        <w:fldChar w:fldCharType="separate"/>
      </w:r>
      <w:r w:rsidR="00230F20">
        <w:rPr>
          <w:noProof/>
        </w:rPr>
        <w:t>9</w:t>
      </w:r>
      <w:r>
        <w:rPr>
          <w:noProof/>
        </w:rPr>
        <w:fldChar w:fldCharType="end"/>
      </w:r>
    </w:p>
    <w:p w14:paraId="6424E19B" w14:textId="1B30CDF0" w:rsidR="00CF04C0" w:rsidRDefault="00CF04C0" w:rsidP="00CF04C0">
      <w:pPr>
        <w:pStyle w:val="TOC5"/>
      </w:pPr>
      <w:r>
        <w:t>OTHER ITEMS APPROVED</w:t>
      </w:r>
    </w:p>
    <w:p w14:paraId="60E341FF" w14:textId="40564F14" w:rsidR="00CF04C0" w:rsidRDefault="00CF04C0" w:rsidP="00CF04C0">
      <w:pPr>
        <w:pStyle w:val="TOC8"/>
        <w:rPr>
          <w:rFonts w:asciiTheme="minorHAnsi" w:eastAsiaTheme="minorEastAsia" w:hAnsiTheme="minorHAnsi" w:cstheme="minorBidi"/>
          <w:i w:val="0"/>
          <w:noProof/>
          <w:sz w:val="22"/>
          <w:szCs w:val="22"/>
          <w:lang w:eastAsia="en-GB"/>
        </w:rPr>
      </w:pPr>
      <w:r>
        <w:rPr>
          <w:noProof/>
        </w:rPr>
        <w:t>FISHERIES</w:t>
      </w:r>
    </w:p>
    <w:p w14:paraId="0967BDD0" w14:textId="7554ED54" w:rsidR="00CF04C0" w:rsidRDefault="00CF04C0" w:rsidP="00CF04C0">
      <w:pPr>
        <w:pStyle w:val="TOC9"/>
        <w:rPr>
          <w:rFonts w:asciiTheme="minorHAnsi" w:eastAsiaTheme="minorEastAsia" w:hAnsiTheme="minorHAnsi" w:cstheme="minorBidi"/>
          <w:noProof/>
          <w:sz w:val="22"/>
          <w:szCs w:val="22"/>
          <w:lang w:eastAsia="en-GB"/>
        </w:rPr>
      </w:pPr>
      <w:r>
        <w:rPr>
          <w:noProof/>
        </w:rPr>
        <w:t>General fisheries Commission for the Mediterranean - Adoption of the Council position</w:t>
      </w:r>
      <w:r>
        <w:rPr>
          <w:noProof/>
        </w:rPr>
        <w:tab/>
      </w:r>
      <w:r>
        <w:rPr>
          <w:noProof/>
        </w:rPr>
        <w:fldChar w:fldCharType="begin"/>
      </w:r>
      <w:r>
        <w:rPr>
          <w:noProof/>
        </w:rPr>
        <w:instrText xml:space="preserve"> PAGEREF \h _Toc426453489 \* MERGEFORMAT </w:instrText>
      </w:r>
      <w:r>
        <w:rPr>
          <w:noProof/>
        </w:rPr>
      </w:r>
      <w:r>
        <w:rPr>
          <w:noProof/>
        </w:rPr>
        <w:fldChar w:fldCharType="separate"/>
      </w:r>
      <w:r w:rsidR="00230F20">
        <w:rPr>
          <w:noProof/>
        </w:rPr>
        <w:t>10</w:t>
      </w:r>
      <w:r>
        <w:rPr>
          <w:noProof/>
        </w:rPr>
        <w:fldChar w:fldCharType="end"/>
      </w:r>
    </w:p>
    <w:p w14:paraId="6BE996CC" w14:textId="4A247E2B" w:rsidR="00CF04C0" w:rsidRDefault="00CF04C0" w:rsidP="00CF04C0">
      <w:pPr>
        <w:pStyle w:val="TOC8"/>
        <w:rPr>
          <w:rFonts w:asciiTheme="minorHAnsi" w:eastAsiaTheme="minorEastAsia" w:hAnsiTheme="minorHAnsi" w:cstheme="minorBidi"/>
          <w:i w:val="0"/>
          <w:noProof/>
          <w:sz w:val="22"/>
          <w:szCs w:val="22"/>
          <w:lang w:eastAsia="en-GB"/>
        </w:rPr>
      </w:pPr>
      <w:r>
        <w:rPr>
          <w:noProof/>
        </w:rPr>
        <w:t>FOREIGN AFFAIRS</w:t>
      </w:r>
    </w:p>
    <w:p w14:paraId="7B4AFFD3" w14:textId="1925BD80" w:rsidR="00CF04C0" w:rsidRDefault="00CF04C0" w:rsidP="00CF04C0">
      <w:pPr>
        <w:pStyle w:val="TOC9"/>
        <w:rPr>
          <w:rFonts w:asciiTheme="minorHAnsi" w:eastAsiaTheme="minorEastAsia" w:hAnsiTheme="minorHAnsi" w:cstheme="minorBidi"/>
          <w:noProof/>
          <w:sz w:val="22"/>
          <w:szCs w:val="22"/>
          <w:lang w:eastAsia="en-GB"/>
        </w:rPr>
      </w:pPr>
      <w:r>
        <w:rPr>
          <w:noProof/>
        </w:rPr>
        <w:t>Restrictive measures - Belarus</w:t>
      </w:r>
      <w:r>
        <w:rPr>
          <w:noProof/>
        </w:rPr>
        <w:tab/>
      </w:r>
      <w:r>
        <w:rPr>
          <w:noProof/>
        </w:rPr>
        <w:fldChar w:fldCharType="begin"/>
      </w:r>
      <w:r>
        <w:rPr>
          <w:noProof/>
        </w:rPr>
        <w:instrText xml:space="preserve"> PAGEREF \h _Toc426453491 \* MERGEFORMAT </w:instrText>
      </w:r>
      <w:r>
        <w:rPr>
          <w:noProof/>
        </w:rPr>
      </w:r>
      <w:r>
        <w:rPr>
          <w:noProof/>
        </w:rPr>
        <w:fldChar w:fldCharType="separate"/>
      </w:r>
      <w:r w:rsidR="00230F20">
        <w:rPr>
          <w:noProof/>
        </w:rPr>
        <w:t>10</w:t>
      </w:r>
      <w:r>
        <w:rPr>
          <w:noProof/>
        </w:rPr>
        <w:fldChar w:fldCharType="end"/>
      </w:r>
    </w:p>
    <w:p w14:paraId="07453B44" w14:textId="75091188" w:rsidR="00CF04C0" w:rsidRDefault="00CF04C0" w:rsidP="00CF04C0">
      <w:pPr>
        <w:pStyle w:val="TOC8"/>
        <w:rPr>
          <w:rFonts w:asciiTheme="minorHAnsi" w:eastAsiaTheme="minorEastAsia" w:hAnsiTheme="minorHAnsi" w:cstheme="minorBidi"/>
          <w:i w:val="0"/>
          <w:noProof/>
          <w:sz w:val="22"/>
          <w:szCs w:val="22"/>
          <w:lang w:eastAsia="en-GB"/>
        </w:rPr>
      </w:pPr>
      <w:r>
        <w:rPr>
          <w:noProof/>
        </w:rPr>
        <w:t>ENLARGEMENT</w:t>
      </w:r>
    </w:p>
    <w:p w14:paraId="05FF4BB1" w14:textId="26BC80E1" w:rsidR="00CF04C0" w:rsidRDefault="00CF04C0" w:rsidP="00CF04C0">
      <w:pPr>
        <w:pStyle w:val="TOC9"/>
        <w:rPr>
          <w:rFonts w:asciiTheme="minorHAnsi" w:eastAsiaTheme="minorEastAsia" w:hAnsiTheme="minorHAnsi" w:cstheme="minorBidi"/>
          <w:noProof/>
          <w:sz w:val="22"/>
          <w:szCs w:val="22"/>
          <w:lang w:eastAsia="en-GB"/>
        </w:rPr>
      </w:pPr>
      <w:r>
        <w:rPr>
          <w:noProof/>
        </w:rPr>
        <w:t>Relations with the former Yugoslav Republic of Macedonia</w:t>
      </w:r>
      <w:r>
        <w:rPr>
          <w:noProof/>
        </w:rPr>
        <w:tab/>
      </w:r>
      <w:r>
        <w:rPr>
          <w:noProof/>
        </w:rPr>
        <w:fldChar w:fldCharType="begin"/>
      </w:r>
      <w:r>
        <w:rPr>
          <w:noProof/>
        </w:rPr>
        <w:instrText xml:space="preserve"> PAGEREF \h _Toc426453493 \* MERGEFORMAT </w:instrText>
      </w:r>
      <w:r>
        <w:rPr>
          <w:noProof/>
        </w:rPr>
      </w:r>
      <w:r>
        <w:rPr>
          <w:noProof/>
        </w:rPr>
        <w:fldChar w:fldCharType="separate"/>
      </w:r>
      <w:r w:rsidR="00230F20">
        <w:rPr>
          <w:noProof/>
        </w:rPr>
        <w:t>11</w:t>
      </w:r>
      <w:r>
        <w:rPr>
          <w:noProof/>
        </w:rPr>
        <w:fldChar w:fldCharType="end"/>
      </w:r>
    </w:p>
    <w:p w14:paraId="2E076A51" w14:textId="05087953" w:rsidR="00CF04C0" w:rsidRDefault="00230F20" w:rsidP="00CF04C0">
      <w:pPr>
        <w:pStyle w:val="TOC8"/>
        <w:rPr>
          <w:rFonts w:asciiTheme="minorHAnsi" w:eastAsiaTheme="minorEastAsia" w:hAnsiTheme="minorHAnsi" w:cstheme="minorBidi"/>
          <w:i w:val="0"/>
          <w:noProof/>
          <w:sz w:val="22"/>
          <w:szCs w:val="22"/>
          <w:lang w:eastAsia="en-GB"/>
        </w:rPr>
      </w:pPr>
      <w:r>
        <w:rPr>
          <w:noProof/>
        </w:rPr>
        <w:br w:type="page"/>
      </w:r>
      <w:r w:rsidR="00CF04C0">
        <w:rPr>
          <w:noProof/>
        </w:rPr>
        <w:lastRenderedPageBreak/>
        <w:t>COMMON SECURITY AND DEFENCE POLICY</w:t>
      </w:r>
    </w:p>
    <w:p w14:paraId="6D8674EC" w14:textId="4AB29869" w:rsidR="00CF04C0" w:rsidRDefault="00CF04C0" w:rsidP="00CF04C0">
      <w:pPr>
        <w:pStyle w:val="TOC9"/>
        <w:rPr>
          <w:rFonts w:asciiTheme="minorHAnsi" w:eastAsiaTheme="minorEastAsia" w:hAnsiTheme="minorHAnsi" w:cstheme="minorBidi"/>
          <w:noProof/>
          <w:sz w:val="22"/>
          <w:szCs w:val="22"/>
          <w:lang w:eastAsia="en-GB"/>
        </w:rPr>
      </w:pPr>
      <w:r>
        <w:rPr>
          <w:noProof/>
        </w:rPr>
        <w:t>EUCAP Sahel Niger</w:t>
      </w:r>
      <w:r>
        <w:rPr>
          <w:noProof/>
        </w:rPr>
        <w:tab/>
      </w:r>
      <w:r>
        <w:rPr>
          <w:noProof/>
        </w:rPr>
        <w:fldChar w:fldCharType="begin"/>
      </w:r>
      <w:r>
        <w:rPr>
          <w:noProof/>
        </w:rPr>
        <w:instrText xml:space="preserve"> PAGEREF \h _Toc426453495 \* MERGEFORMAT </w:instrText>
      </w:r>
      <w:r>
        <w:rPr>
          <w:noProof/>
        </w:rPr>
      </w:r>
      <w:r>
        <w:rPr>
          <w:noProof/>
        </w:rPr>
        <w:fldChar w:fldCharType="separate"/>
      </w:r>
      <w:r w:rsidR="00230F20">
        <w:rPr>
          <w:noProof/>
        </w:rPr>
        <w:t>11</w:t>
      </w:r>
      <w:r>
        <w:rPr>
          <w:noProof/>
        </w:rPr>
        <w:fldChar w:fldCharType="end"/>
      </w:r>
    </w:p>
    <w:p w14:paraId="5A407738" w14:textId="2F27CA7D" w:rsidR="00CF04C0" w:rsidRDefault="00CF04C0" w:rsidP="00CF04C0">
      <w:pPr>
        <w:pStyle w:val="TOC8"/>
        <w:rPr>
          <w:rFonts w:asciiTheme="minorHAnsi" w:eastAsiaTheme="minorEastAsia" w:hAnsiTheme="minorHAnsi" w:cstheme="minorBidi"/>
          <w:i w:val="0"/>
          <w:noProof/>
          <w:sz w:val="22"/>
          <w:szCs w:val="22"/>
          <w:lang w:eastAsia="en-GB"/>
        </w:rPr>
      </w:pPr>
      <w:r>
        <w:rPr>
          <w:noProof/>
        </w:rPr>
        <w:t>ECONOMIC AND FINANCIAL AFFAIRS</w:t>
      </w:r>
    </w:p>
    <w:p w14:paraId="762A985A" w14:textId="5BA2AE11" w:rsidR="00CF04C0" w:rsidRDefault="00CF04C0" w:rsidP="00CF04C0">
      <w:pPr>
        <w:pStyle w:val="TOC9"/>
        <w:rPr>
          <w:rFonts w:asciiTheme="minorHAnsi" w:eastAsiaTheme="minorEastAsia" w:hAnsiTheme="minorHAnsi" w:cstheme="minorBidi"/>
          <w:noProof/>
          <w:sz w:val="22"/>
          <w:szCs w:val="22"/>
          <w:lang w:eastAsia="en-GB"/>
        </w:rPr>
      </w:pPr>
      <w:r w:rsidRPr="00FD35C9">
        <w:rPr>
          <w:rFonts w:eastAsia="Calibri"/>
          <w:noProof/>
          <w:lang w:eastAsia="en-GB"/>
        </w:rPr>
        <w:t>Deficit data in Valencia</w:t>
      </w:r>
      <w:r>
        <w:rPr>
          <w:noProof/>
        </w:rPr>
        <w:tab/>
      </w:r>
      <w:r>
        <w:rPr>
          <w:noProof/>
        </w:rPr>
        <w:fldChar w:fldCharType="begin"/>
      </w:r>
      <w:r>
        <w:rPr>
          <w:noProof/>
        </w:rPr>
        <w:instrText xml:space="preserve"> PAGEREF \h _Toc426453497 \* MERGEFORMAT </w:instrText>
      </w:r>
      <w:r>
        <w:rPr>
          <w:noProof/>
        </w:rPr>
      </w:r>
      <w:r>
        <w:rPr>
          <w:noProof/>
        </w:rPr>
        <w:fldChar w:fldCharType="separate"/>
      </w:r>
      <w:r w:rsidR="00230F20">
        <w:rPr>
          <w:noProof/>
        </w:rPr>
        <w:t>11</w:t>
      </w:r>
      <w:r>
        <w:rPr>
          <w:noProof/>
        </w:rPr>
        <w:fldChar w:fldCharType="end"/>
      </w:r>
    </w:p>
    <w:p w14:paraId="5B239BF2" w14:textId="248FF30E" w:rsidR="00CF04C0" w:rsidRDefault="00CF04C0" w:rsidP="00CF04C0">
      <w:pPr>
        <w:pStyle w:val="TOC8"/>
        <w:rPr>
          <w:rFonts w:asciiTheme="minorHAnsi" w:eastAsiaTheme="minorEastAsia" w:hAnsiTheme="minorHAnsi" w:cstheme="minorBidi"/>
          <w:i w:val="0"/>
          <w:noProof/>
          <w:sz w:val="22"/>
          <w:szCs w:val="22"/>
          <w:lang w:eastAsia="en-GB"/>
        </w:rPr>
      </w:pPr>
      <w:r>
        <w:rPr>
          <w:noProof/>
        </w:rPr>
        <w:t>EUROPEAN ECONOMIC AREA</w:t>
      </w:r>
    </w:p>
    <w:p w14:paraId="0022784C" w14:textId="463AC4CF" w:rsidR="00CF04C0" w:rsidRDefault="00CF04C0" w:rsidP="00CF04C0">
      <w:pPr>
        <w:pStyle w:val="TOC9"/>
        <w:rPr>
          <w:rFonts w:asciiTheme="minorHAnsi" w:eastAsiaTheme="minorEastAsia" w:hAnsiTheme="minorHAnsi" w:cstheme="minorBidi"/>
          <w:noProof/>
          <w:sz w:val="22"/>
          <w:szCs w:val="22"/>
          <w:lang w:eastAsia="en-GB"/>
        </w:rPr>
      </w:pPr>
      <w:r>
        <w:rPr>
          <w:noProof/>
        </w:rPr>
        <w:t>Alignment of technical standards to EU legislation</w:t>
      </w:r>
      <w:r>
        <w:rPr>
          <w:noProof/>
        </w:rPr>
        <w:tab/>
      </w:r>
      <w:r>
        <w:rPr>
          <w:noProof/>
        </w:rPr>
        <w:fldChar w:fldCharType="begin"/>
      </w:r>
      <w:r>
        <w:rPr>
          <w:noProof/>
        </w:rPr>
        <w:instrText xml:space="preserve"> PAGEREF \h _Toc426453499 \* MERGEFORMAT </w:instrText>
      </w:r>
      <w:r>
        <w:rPr>
          <w:noProof/>
        </w:rPr>
      </w:r>
      <w:r>
        <w:rPr>
          <w:noProof/>
        </w:rPr>
        <w:fldChar w:fldCharType="separate"/>
      </w:r>
      <w:r w:rsidR="00230F20">
        <w:rPr>
          <w:noProof/>
        </w:rPr>
        <w:t>11</w:t>
      </w:r>
      <w:r>
        <w:rPr>
          <w:noProof/>
        </w:rPr>
        <w:fldChar w:fldCharType="end"/>
      </w:r>
    </w:p>
    <w:p w14:paraId="456DA5DE" w14:textId="416C2B2A" w:rsidR="00CF04C0" w:rsidRDefault="00CF04C0" w:rsidP="00CF04C0">
      <w:pPr>
        <w:pStyle w:val="TOC8"/>
        <w:rPr>
          <w:rFonts w:asciiTheme="minorHAnsi" w:eastAsiaTheme="minorEastAsia" w:hAnsiTheme="minorHAnsi" w:cstheme="minorBidi"/>
          <w:i w:val="0"/>
          <w:noProof/>
          <w:sz w:val="22"/>
          <w:szCs w:val="22"/>
          <w:lang w:eastAsia="en-GB"/>
        </w:rPr>
      </w:pPr>
      <w:r>
        <w:rPr>
          <w:noProof/>
        </w:rPr>
        <w:t>TRADE POLICY</w:t>
      </w:r>
    </w:p>
    <w:p w14:paraId="1A812093" w14:textId="100EC8E9" w:rsidR="00CF04C0" w:rsidRDefault="00CF04C0" w:rsidP="00CF04C0">
      <w:pPr>
        <w:pStyle w:val="TOC9"/>
        <w:rPr>
          <w:rFonts w:asciiTheme="minorHAnsi" w:eastAsiaTheme="minorEastAsia" w:hAnsiTheme="minorHAnsi" w:cstheme="minorBidi"/>
          <w:noProof/>
          <w:sz w:val="22"/>
          <w:szCs w:val="22"/>
          <w:lang w:eastAsia="en-GB"/>
        </w:rPr>
      </w:pPr>
      <w:r>
        <w:rPr>
          <w:noProof/>
        </w:rPr>
        <w:t>Agreement with Andorra - Change in the rules of origin</w:t>
      </w:r>
      <w:r>
        <w:rPr>
          <w:noProof/>
        </w:rPr>
        <w:tab/>
      </w:r>
      <w:r>
        <w:rPr>
          <w:noProof/>
        </w:rPr>
        <w:fldChar w:fldCharType="begin"/>
      </w:r>
      <w:r>
        <w:rPr>
          <w:noProof/>
        </w:rPr>
        <w:instrText xml:space="preserve"> PAGEREF \h _Toc426453501 \* MERGEFORMAT </w:instrText>
      </w:r>
      <w:r>
        <w:rPr>
          <w:noProof/>
        </w:rPr>
      </w:r>
      <w:r>
        <w:rPr>
          <w:noProof/>
        </w:rPr>
        <w:fldChar w:fldCharType="separate"/>
      </w:r>
      <w:r w:rsidR="00230F20">
        <w:rPr>
          <w:noProof/>
        </w:rPr>
        <w:t>12</w:t>
      </w:r>
      <w:r>
        <w:rPr>
          <w:noProof/>
        </w:rPr>
        <w:fldChar w:fldCharType="end"/>
      </w:r>
    </w:p>
    <w:p w14:paraId="66CB70FB" w14:textId="6DC0C43F" w:rsidR="00CF04C0" w:rsidRDefault="00CF04C0" w:rsidP="00CF04C0">
      <w:pPr>
        <w:pStyle w:val="TOC8"/>
        <w:rPr>
          <w:rFonts w:asciiTheme="minorHAnsi" w:eastAsiaTheme="minorEastAsia" w:hAnsiTheme="minorHAnsi" w:cstheme="minorBidi"/>
          <w:i w:val="0"/>
          <w:noProof/>
          <w:sz w:val="22"/>
          <w:szCs w:val="22"/>
          <w:lang w:eastAsia="en-GB"/>
        </w:rPr>
      </w:pPr>
      <w:r>
        <w:rPr>
          <w:noProof/>
        </w:rPr>
        <w:t>INTERNAL MARKET</w:t>
      </w:r>
    </w:p>
    <w:p w14:paraId="25BA3543" w14:textId="25AA9EE8" w:rsidR="00CF04C0" w:rsidRDefault="00CF04C0" w:rsidP="00CF04C0">
      <w:pPr>
        <w:pStyle w:val="TOC9"/>
        <w:rPr>
          <w:rFonts w:asciiTheme="minorHAnsi" w:eastAsiaTheme="minorEastAsia" w:hAnsiTheme="minorHAnsi" w:cstheme="minorBidi"/>
          <w:noProof/>
          <w:sz w:val="22"/>
          <w:szCs w:val="22"/>
          <w:lang w:eastAsia="en-GB"/>
        </w:rPr>
      </w:pPr>
      <w:r>
        <w:rPr>
          <w:noProof/>
        </w:rPr>
        <w:t>Information society services and standardisation - Codified rules</w:t>
      </w:r>
      <w:r>
        <w:rPr>
          <w:noProof/>
        </w:rPr>
        <w:tab/>
      </w:r>
      <w:r>
        <w:rPr>
          <w:noProof/>
        </w:rPr>
        <w:fldChar w:fldCharType="begin"/>
      </w:r>
      <w:r>
        <w:rPr>
          <w:noProof/>
        </w:rPr>
        <w:instrText xml:space="preserve"> PAGEREF \h _Toc426453503 \* MERGEFORMAT </w:instrText>
      </w:r>
      <w:r>
        <w:rPr>
          <w:noProof/>
        </w:rPr>
      </w:r>
      <w:r>
        <w:rPr>
          <w:noProof/>
        </w:rPr>
        <w:fldChar w:fldCharType="separate"/>
      </w:r>
      <w:r w:rsidR="00230F20">
        <w:rPr>
          <w:noProof/>
        </w:rPr>
        <w:t>12</w:t>
      </w:r>
      <w:r>
        <w:rPr>
          <w:noProof/>
        </w:rPr>
        <w:fldChar w:fldCharType="end"/>
      </w:r>
    </w:p>
    <w:p w14:paraId="739A0A47" w14:textId="1735847F" w:rsidR="00CF04C0" w:rsidRDefault="00CF04C0" w:rsidP="00CF04C0">
      <w:pPr>
        <w:pStyle w:val="TOC8"/>
        <w:rPr>
          <w:rFonts w:asciiTheme="minorHAnsi" w:eastAsiaTheme="minorEastAsia" w:hAnsiTheme="minorHAnsi" w:cstheme="minorBidi"/>
          <w:i w:val="0"/>
          <w:noProof/>
          <w:sz w:val="22"/>
          <w:szCs w:val="22"/>
          <w:lang w:eastAsia="en-GB"/>
        </w:rPr>
      </w:pPr>
      <w:r>
        <w:rPr>
          <w:noProof/>
          <w:lang w:eastAsia="en-GB"/>
        </w:rPr>
        <w:t>INTELLECTUAL PROPERTY</w:t>
      </w:r>
    </w:p>
    <w:p w14:paraId="778935CF" w14:textId="5AC09413" w:rsidR="00CF04C0" w:rsidRDefault="00CF04C0" w:rsidP="00CF04C0">
      <w:pPr>
        <w:pStyle w:val="TOC9"/>
        <w:rPr>
          <w:rFonts w:asciiTheme="minorHAnsi" w:eastAsiaTheme="minorEastAsia" w:hAnsiTheme="minorHAnsi" w:cstheme="minorBidi"/>
          <w:noProof/>
          <w:sz w:val="22"/>
          <w:szCs w:val="22"/>
          <w:lang w:eastAsia="en-GB"/>
        </w:rPr>
      </w:pPr>
      <w:r>
        <w:rPr>
          <w:noProof/>
          <w:lang w:eastAsia="en-GB"/>
        </w:rPr>
        <w:t>Trade marks reform</w:t>
      </w:r>
      <w:r>
        <w:rPr>
          <w:noProof/>
        </w:rPr>
        <w:tab/>
      </w:r>
      <w:r>
        <w:rPr>
          <w:noProof/>
        </w:rPr>
        <w:fldChar w:fldCharType="begin"/>
      </w:r>
      <w:r>
        <w:rPr>
          <w:noProof/>
        </w:rPr>
        <w:instrText xml:space="preserve"> PAGEREF \h _Toc426453505 \* MERGEFORMAT </w:instrText>
      </w:r>
      <w:r>
        <w:rPr>
          <w:noProof/>
        </w:rPr>
      </w:r>
      <w:r>
        <w:rPr>
          <w:noProof/>
        </w:rPr>
        <w:fldChar w:fldCharType="separate"/>
      </w:r>
      <w:r w:rsidR="00230F20">
        <w:rPr>
          <w:noProof/>
        </w:rPr>
        <w:t>12</w:t>
      </w:r>
      <w:r>
        <w:rPr>
          <w:noProof/>
        </w:rPr>
        <w:fldChar w:fldCharType="end"/>
      </w:r>
    </w:p>
    <w:p w14:paraId="65E23551" w14:textId="7B28CD48" w:rsidR="00CF04C0" w:rsidRDefault="00CF04C0" w:rsidP="00CF04C0">
      <w:pPr>
        <w:pStyle w:val="TOC8"/>
        <w:rPr>
          <w:rFonts w:asciiTheme="minorHAnsi" w:eastAsiaTheme="minorEastAsia" w:hAnsiTheme="minorHAnsi" w:cstheme="minorBidi"/>
          <w:i w:val="0"/>
          <w:noProof/>
          <w:sz w:val="22"/>
          <w:szCs w:val="22"/>
          <w:lang w:eastAsia="en-GB"/>
        </w:rPr>
      </w:pPr>
      <w:r>
        <w:rPr>
          <w:noProof/>
        </w:rPr>
        <w:t>COMPETITION</w:t>
      </w:r>
    </w:p>
    <w:p w14:paraId="32244CA7" w14:textId="318A7F73" w:rsidR="00CF04C0" w:rsidRDefault="00CF04C0" w:rsidP="00CF04C0">
      <w:pPr>
        <w:pStyle w:val="TOC9"/>
        <w:rPr>
          <w:rFonts w:asciiTheme="minorHAnsi" w:eastAsiaTheme="minorEastAsia" w:hAnsiTheme="minorHAnsi" w:cstheme="minorBidi"/>
          <w:noProof/>
          <w:sz w:val="22"/>
          <w:szCs w:val="22"/>
          <w:lang w:eastAsia="en-GB"/>
        </w:rPr>
      </w:pPr>
      <w:r>
        <w:rPr>
          <w:noProof/>
        </w:rPr>
        <w:t>State aid: enabling and procedural regulations - codified versions</w:t>
      </w:r>
      <w:r>
        <w:rPr>
          <w:noProof/>
        </w:rPr>
        <w:tab/>
      </w:r>
      <w:r>
        <w:rPr>
          <w:noProof/>
        </w:rPr>
        <w:fldChar w:fldCharType="begin"/>
      </w:r>
      <w:r>
        <w:rPr>
          <w:noProof/>
        </w:rPr>
        <w:instrText xml:space="preserve"> PAGEREF \h _Toc426453507 \* MERGEFORMAT </w:instrText>
      </w:r>
      <w:r>
        <w:rPr>
          <w:noProof/>
        </w:rPr>
      </w:r>
      <w:r>
        <w:rPr>
          <w:noProof/>
        </w:rPr>
        <w:fldChar w:fldCharType="separate"/>
      </w:r>
      <w:r w:rsidR="00230F20">
        <w:rPr>
          <w:noProof/>
        </w:rPr>
        <w:t>13</w:t>
      </w:r>
      <w:r>
        <w:rPr>
          <w:noProof/>
        </w:rPr>
        <w:fldChar w:fldCharType="end"/>
      </w:r>
    </w:p>
    <w:p w14:paraId="359D6F8C" w14:textId="6758387E" w:rsidR="00CF04C0" w:rsidRDefault="00CF04C0" w:rsidP="00CF04C0">
      <w:pPr>
        <w:pStyle w:val="TOC8"/>
        <w:rPr>
          <w:rFonts w:asciiTheme="minorHAnsi" w:eastAsiaTheme="minorEastAsia" w:hAnsiTheme="minorHAnsi" w:cstheme="minorBidi"/>
          <w:i w:val="0"/>
          <w:noProof/>
          <w:sz w:val="22"/>
          <w:szCs w:val="22"/>
          <w:lang w:eastAsia="en-GB"/>
        </w:rPr>
      </w:pPr>
      <w:r>
        <w:rPr>
          <w:noProof/>
        </w:rPr>
        <w:t>ENVIRONMENT</w:t>
      </w:r>
    </w:p>
    <w:p w14:paraId="73CD0F45" w14:textId="2B7F3209" w:rsidR="00CF04C0" w:rsidRDefault="00CF04C0" w:rsidP="00CF04C0">
      <w:pPr>
        <w:pStyle w:val="TOC9"/>
        <w:keepNext/>
        <w:rPr>
          <w:rFonts w:asciiTheme="minorHAnsi" w:eastAsiaTheme="minorEastAsia" w:hAnsiTheme="minorHAnsi" w:cstheme="minorBidi"/>
          <w:noProof/>
          <w:sz w:val="22"/>
          <w:szCs w:val="22"/>
          <w:lang w:eastAsia="en-GB"/>
        </w:rPr>
      </w:pPr>
      <w:r>
        <w:rPr>
          <w:noProof/>
        </w:rPr>
        <w:t>Preparing the transition to advanced biofuels*</w:t>
      </w:r>
      <w:r>
        <w:rPr>
          <w:noProof/>
        </w:rPr>
        <w:tab/>
      </w:r>
      <w:r>
        <w:rPr>
          <w:noProof/>
        </w:rPr>
        <w:fldChar w:fldCharType="begin"/>
      </w:r>
      <w:r>
        <w:rPr>
          <w:noProof/>
        </w:rPr>
        <w:instrText xml:space="preserve"> PAGEREF \h _Toc426453509 \* MERGEFORMAT </w:instrText>
      </w:r>
      <w:r>
        <w:rPr>
          <w:noProof/>
        </w:rPr>
      </w:r>
      <w:r>
        <w:rPr>
          <w:noProof/>
        </w:rPr>
        <w:fldChar w:fldCharType="separate"/>
      </w:r>
      <w:r w:rsidR="00230F20">
        <w:rPr>
          <w:noProof/>
        </w:rPr>
        <w:t>13</w:t>
      </w:r>
      <w:r>
        <w:rPr>
          <w:noProof/>
        </w:rPr>
        <w:fldChar w:fldCharType="end"/>
      </w:r>
    </w:p>
    <w:p w14:paraId="1CCFB9DD" w14:textId="5CED392D" w:rsidR="00CF04C0" w:rsidRDefault="00CF04C0" w:rsidP="00CF04C0">
      <w:pPr>
        <w:pStyle w:val="TOC9"/>
        <w:rPr>
          <w:rFonts w:asciiTheme="minorHAnsi" w:eastAsiaTheme="minorEastAsia" w:hAnsiTheme="minorHAnsi" w:cstheme="minorBidi"/>
          <w:noProof/>
          <w:sz w:val="22"/>
          <w:szCs w:val="22"/>
          <w:lang w:eastAsia="en-GB"/>
        </w:rPr>
      </w:pPr>
      <w:r w:rsidRPr="00FD35C9">
        <w:rPr>
          <w:rFonts w:eastAsiaTheme="minorHAnsi"/>
          <w:noProof/>
        </w:rPr>
        <w:t>Doha amendment to the Kyoto Protocol</w:t>
      </w:r>
      <w:r>
        <w:rPr>
          <w:noProof/>
        </w:rPr>
        <w:tab/>
      </w:r>
      <w:r>
        <w:rPr>
          <w:noProof/>
        </w:rPr>
        <w:fldChar w:fldCharType="begin"/>
      </w:r>
      <w:r>
        <w:rPr>
          <w:noProof/>
        </w:rPr>
        <w:instrText xml:space="preserve"> PAGEREF \h _Toc426453510 \* MERGEFORMAT </w:instrText>
      </w:r>
      <w:r>
        <w:rPr>
          <w:noProof/>
        </w:rPr>
      </w:r>
      <w:r>
        <w:rPr>
          <w:noProof/>
        </w:rPr>
        <w:fldChar w:fldCharType="separate"/>
      </w:r>
      <w:r w:rsidR="00230F20">
        <w:rPr>
          <w:noProof/>
        </w:rPr>
        <w:t>14</w:t>
      </w:r>
      <w:r>
        <w:rPr>
          <w:noProof/>
        </w:rPr>
        <w:fldChar w:fldCharType="end"/>
      </w:r>
    </w:p>
    <w:p w14:paraId="681A070F" w14:textId="3E7C24D9" w:rsidR="00CF04C0" w:rsidRDefault="00CF04C0" w:rsidP="00CF04C0">
      <w:pPr>
        <w:pStyle w:val="TOC8"/>
        <w:rPr>
          <w:rFonts w:asciiTheme="minorHAnsi" w:eastAsiaTheme="minorEastAsia" w:hAnsiTheme="minorHAnsi" w:cstheme="minorBidi"/>
          <w:i w:val="0"/>
          <w:noProof/>
          <w:sz w:val="22"/>
          <w:szCs w:val="22"/>
          <w:lang w:eastAsia="en-GB"/>
        </w:rPr>
      </w:pPr>
      <w:r>
        <w:rPr>
          <w:noProof/>
        </w:rPr>
        <w:t>ENERGY</w:t>
      </w:r>
    </w:p>
    <w:p w14:paraId="498DB7FE" w14:textId="46382767" w:rsidR="00CF04C0" w:rsidRDefault="00CF04C0" w:rsidP="00CF04C0">
      <w:pPr>
        <w:pStyle w:val="TOC9"/>
        <w:rPr>
          <w:rFonts w:asciiTheme="minorHAnsi" w:eastAsiaTheme="minorEastAsia" w:hAnsiTheme="minorHAnsi" w:cstheme="minorBidi"/>
          <w:noProof/>
          <w:sz w:val="22"/>
          <w:szCs w:val="22"/>
          <w:lang w:eastAsia="en-GB"/>
        </w:rPr>
      </w:pPr>
      <w:r>
        <w:rPr>
          <w:noProof/>
        </w:rPr>
        <w:t>Ecodesign requirements for lamps</w:t>
      </w:r>
      <w:r>
        <w:rPr>
          <w:noProof/>
        </w:rPr>
        <w:tab/>
      </w:r>
      <w:r>
        <w:rPr>
          <w:noProof/>
        </w:rPr>
        <w:fldChar w:fldCharType="begin"/>
      </w:r>
      <w:r>
        <w:rPr>
          <w:noProof/>
        </w:rPr>
        <w:instrText xml:space="preserve"> PAGEREF \h _Toc426453512 \* MERGEFORMAT </w:instrText>
      </w:r>
      <w:r>
        <w:rPr>
          <w:noProof/>
        </w:rPr>
      </w:r>
      <w:r>
        <w:rPr>
          <w:noProof/>
        </w:rPr>
        <w:fldChar w:fldCharType="separate"/>
      </w:r>
      <w:r w:rsidR="00230F20">
        <w:rPr>
          <w:noProof/>
        </w:rPr>
        <w:t>14</w:t>
      </w:r>
      <w:r>
        <w:rPr>
          <w:noProof/>
        </w:rPr>
        <w:fldChar w:fldCharType="end"/>
      </w:r>
    </w:p>
    <w:p w14:paraId="5CD87A8A" w14:textId="3B9E61F6" w:rsidR="00CF04C0" w:rsidRDefault="00CF04C0" w:rsidP="00CF04C0">
      <w:pPr>
        <w:pStyle w:val="TOC8"/>
        <w:rPr>
          <w:rFonts w:asciiTheme="minorHAnsi" w:eastAsiaTheme="minorEastAsia" w:hAnsiTheme="minorHAnsi" w:cstheme="minorBidi"/>
          <w:i w:val="0"/>
          <w:noProof/>
          <w:sz w:val="22"/>
          <w:szCs w:val="22"/>
          <w:lang w:eastAsia="en-GB"/>
        </w:rPr>
      </w:pPr>
      <w:r>
        <w:rPr>
          <w:noProof/>
        </w:rPr>
        <w:t>EMPLOYMENT</w:t>
      </w:r>
    </w:p>
    <w:p w14:paraId="77E1F637" w14:textId="59FA4575" w:rsidR="00CF04C0" w:rsidRDefault="00CF04C0" w:rsidP="00CF04C0">
      <w:pPr>
        <w:pStyle w:val="TOC9"/>
        <w:rPr>
          <w:rFonts w:asciiTheme="minorHAnsi" w:eastAsiaTheme="minorEastAsia" w:hAnsiTheme="minorHAnsi" w:cstheme="minorBidi"/>
          <w:noProof/>
          <w:sz w:val="22"/>
          <w:szCs w:val="22"/>
          <w:lang w:eastAsia="en-GB"/>
        </w:rPr>
      </w:pPr>
      <w:r>
        <w:rPr>
          <w:noProof/>
        </w:rPr>
        <w:t>Mobilisation of the European Globalisation Adjustment Fund for Finland</w:t>
      </w:r>
      <w:r>
        <w:rPr>
          <w:noProof/>
        </w:rPr>
        <w:tab/>
      </w:r>
      <w:r>
        <w:rPr>
          <w:noProof/>
        </w:rPr>
        <w:fldChar w:fldCharType="begin"/>
      </w:r>
      <w:r>
        <w:rPr>
          <w:noProof/>
        </w:rPr>
        <w:instrText xml:space="preserve"> PAGEREF \h _Toc426453514 \* MERGEFORMAT </w:instrText>
      </w:r>
      <w:r>
        <w:rPr>
          <w:noProof/>
        </w:rPr>
      </w:r>
      <w:r>
        <w:rPr>
          <w:noProof/>
        </w:rPr>
        <w:fldChar w:fldCharType="separate"/>
      </w:r>
      <w:r w:rsidR="00230F20">
        <w:rPr>
          <w:noProof/>
        </w:rPr>
        <w:t>15</w:t>
      </w:r>
      <w:r>
        <w:rPr>
          <w:noProof/>
        </w:rPr>
        <w:fldChar w:fldCharType="end"/>
      </w:r>
    </w:p>
    <w:p w14:paraId="32AFA660" w14:textId="4620FEFF" w:rsidR="00CF04C0" w:rsidRDefault="00CF04C0" w:rsidP="00CF04C0">
      <w:pPr>
        <w:pStyle w:val="TOC8"/>
        <w:rPr>
          <w:rFonts w:asciiTheme="minorHAnsi" w:eastAsiaTheme="minorEastAsia" w:hAnsiTheme="minorHAnsi" w:cstheme="minorBidi"/>
          <w:i w:val="0"/>
          <w:noProof/>
          <w:sz w:val="22"/>
          <w:szCs w:val="22"/>
          <w:lang w:eastAsia="en-GB"/>
        </w:rPr>
      </w:pPr>
      <w:r>
        <w:rPr>
          <w:noProof/>
        </w:rPr>
        <w:t>FOOD LAW</w:t>
      </w:r>
    </w:p>
    <w:p w14:paraId="178E773C" w14:textId="4405E148" w:rsidR="00CF04C0" w:rsidRDefault="00CF04C0" w:rsidP="00CF04C0">
      <w:pPr>
        <w:pStyle w:val="TOC9"/>
        <w:rPr>
          <w:rFonts w:asciiTheme="minorHAnsi" w:eastAsiaTheme="minorEastAsia" w:hAnsiTheme="minorHAnsi" w:cstheme="minorBidi"/>
          <w:noProof/>
          <w:sz w:val="22"/>
          <w:szCs w:val="22"/>
          <w:lang w:eastAsia="en-GB"/>
        </w:rPr>
      </w:pPr>
      <w:r>
        <w:rPr>
          <w:noProof/>
        </w:rPr>
        <w:t>Authorisation of certain colours in dried potato granules and flakes</w:t>
      </w:r>
      <w:r>
        <w:rPr>
          <w:noProof/>
        </w:rPr>
        <w:tab/>
      </w:r>
      <w:r>
        <w:rPr>
          <w:noProof/>
        </w:rPr>
        <w:fldChar w:fldCharType="begin"/>
      </w:r>
      <w:r>
        <w:rPr>
          <w:noProof/>
        </w:rPr>
        <w:instrText xml:space="preserve"> PAGEREF \h _Toc426453516 \* MERGEFORMAT </w:instrText>
      </w:r>
      <w:r>
        <w:rPr>
          <w:noProof/>
        </w:rPr>
      </w:r>
      <w:r>
        <w:rPr>
          <w:noProof/>
        </w:rPr>
        <w:fldChar w:fldCharType="separate"/>
      </w:r>
      <w:r w:rsidR="00230F20">
        <w:rPr>
          <w:noProof/>
        </w:rPr>
        <w:t>15</w:t>
      </w:r>
      <w:r>
        <w:rPr>
          <w:noProof/>
        </w:rPr>
        <w:fldChar w:fldCharType="end"/>
      </w:r>
    </w:p>
    <w:p w14:paraId="4F8101C7" w14:textId="7AE3544D" w:rsidR="00CF04C0" w:rsidRDefault="00CF04C0" w:rsidP="00CF04C0">
      <w:pPr>
        <w:pStyle w:val="TOC8"/>
        <w:rPr>
          <w:rFonts w:asciiTheme="minorHAnsi" w:eastAsiaTheme="minorEastAsia" w:hAnsiTheme="minorHAnsi" w:cstheme="minorBidi"/>
          <w:i w:val="0"/>
          <w:noProof/>
          <w:sz w:val="22"/>
          <w:szCs w:val="22"/>
          <w:lang w:eastAsia="en-GB"/>
        </w:rPr>
      </w:pPr>
      <w:r>
        <w:rPr>
          <w:noProof/>
        </w:rPr>
        <w:t>TRANSPARENCY</w:t>
      </w:r>
    </w:p>
    <w:p w14:paraId="232E05FD" w14:textId="07851F17" w:rsidR="00CF04C0" w:rsidRDefault="00CF04C0" w:rsidP="00CF04C0">
      <w:pPr>
        <w:pStyle w:val="TOC9"/>
        <w:rPr>
          <w:rFonts w:asciiTheme="minorHAnsi" w:eastAsiaTheme="minorEastAsia" w:hAnsiTheme="minorHAnsi" w:cstheme="minorBidi"/>
          <w:noProof/>
          <w:sz w:val="22"/>
          <w:szCs w:val="22"/>
          <w:lang w:eastAsia="en-GB"/>
        </w:rPr>
      </w:pPr>
      <w:r>
        <w:rPr>
          <w:noProof/>
        </w:rPr>
        <w:t>Access to documents</w:t>
      </w:r>
      <w:r>
        <w:rPr>
          <w:noProof/>
        </w:rPr>
        <w:tab/>
      </w:r>
      <w:r>
        <w:rPr>
          <w:noProof/>
        </w:rPr>
        <w:fldChar w:fldCharType="begin"/>
      </w:r>
      <w:r>
        <w:rPr>
          <w:noProof/>
        </w:rPr>
        <w:instrText xml:space="preserve"> PAGEREF \h _Toc426453518 \* MERGEFORMAT </w:instrText>
      </w:r>
      <w:r>
        <w:rPr>
          <w:noProof/>
        </w:rPr>
      </w:r>
      <w:r>
        <w:rPr>
          <w:noProof/>
        </w:rPr>
        <w:fldChar w:fldCharType="separate"/>
      </w:r>
      <w:r w:rsidR="00230F20">
        <w:rPr>
          <w:noProof/>
        </w:rPr>
        <w:t>16</w:t>
      </w:r>
      <w:r>
        <w:rPr>
          <w:noProof/>
        </w:rPr>
        <w:fldChar w:fldCharType="end"/>
      </w:r>
    </w:p>
    <w:p w14:paraId="37A87475" w14:textId="7E25FBBD" w:rsidR="00CF04C0" w:rsidRDefault="00CF04C0" w:rsidP="00CF04C0">
      <w:pPr>
        <w:pStyle w:val="TOC8"/>
        <w:rPr>
          <w:rFonts w:asciiTheme="minorHAnsi" w:eastAsiaTheme="minorEastAsia" w:hAnsiTheme="minorHAnsi" w:cstheme="minorBidi"/>
          <w:i w:val="0"/>
          <w:noProof/>
          <w:sz w:val="22"/>
          <w:szCs w:val="22"/>
          <w:lang w:eastAsia="en-GB"/>
        </w:rPr>
      </w:pPr>
      <w:r>
        <w:rPr>
          <w:noProof/>
        </w:rPr>
        <w:t>DECISIONS ADOPTED BY WRITTEN PROCEDURE</w:t>
      </w:r>
    </w:p>
    <w:p w14:paraId="3A5942FC" w14:textId="1748F718" w:rsidR="00CF04C0" w:rsidRDefault="00CF04C0" w:rsidP="00CF04C0">
      <w:pPr>
        <w:pStyle w:val="TOC9"/>
      </w:pPr>
      <w:r>
        <w:rPr>
          <w:noProof/>
        </w:rPr>
        <w:t>Transparency - Access to documents</w:t>
      </w:r>
      <w:r>
        <w:rPr>
          <w:noProof/>
        </w:rPr>
        <w:tab/>
      </w:r>
      <w:r>
        <w:rPr>
          <w:noProof/>
        </w:rPr>
        <w:fldChar w:fldCharType="begin"/>
      </w:r>
      <w:r>
        <w:rPr>
          <w:noProof/>
        </w:rPr>
        <w:instrText xml:space="preserve"> PAGEREF \h _Toc426453520 \* MERGEFORMAT </w:instrText>
      </w:r>
      <w:r>
        <w:rPr>
          <w:noProof/>
        </w:rPr>
      </w:r>
      <w:r>
        <w:rPr>
          <w:noProof/>
        </w:rPr>
        <w:fldChar w:fldCharType="separate"/>
      </w:r>
      <w:r w:rsidR="00230F20">
        <w:rPr>
          <w:noProof/>
        </w:rPr>
        <w:t>16</w:t>
      </w:r>
      <w:r>
        <w:rPr>
          <w:noProof/>
        </w:rPr>
        <w:fldChar w:fldCharType="end"/>
      </w:r>
    </w:p>
    <w:p w14:paraId="2FEE35BD" w14:textId="77777777" w:rsidR="00CF04C0" w:rsidRDefault="00CF04C0" w:rsidP="00D15446">
      <w:pPr>
        <w:sectPr w:rsidR="00CF04C0" w:rsidSect="00230F20">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14:paraId="49D3EE0E" w14:textId="77777777" w:rsidR="00D15446" w:rsidRDefault="00D15446" w:rsidP="00D15446">
      <w:pPr>
        <w:pStyle w:val="ItemsDebatedHeading"/>
      </w:pPr>
      <w:r w:rsidRPr="00D15446">
        <w:lastRenderedPageBreak/>
        <w:t>ITEMS DEBATED</w:t>
      </w:r>
    </w:p>
    <w:p w14:paraId="62606F24" w14:textId="77777777" w:rsidR="007340CA" w:rsidRPr="007340CA" w:rsidRDefault="007B4D94" w:rsidP="007340CA">
      <w:pPr>
        <w:pStyle w:val="ItemDebated"/>
      </w:pPr>
      <w:bookmarkStart w:id="6" w:name="_Toc426453477"/>
      <w:r>
        <w:t>PRESIDENCY WORK PROGRAMME</w:t>
      </w:r>
      <w:bookmarkEnd w:id="6"/>
    </w:p>
    <w:p w14:paraId="2894B30A" w14:textId="5A45F737" w:rsidR="009C0741" w:rsidRDefault="009C0741" w:rsidP="009C0741">
      <w:pPr>
        <w:widowControl w:val="0"/>
        <w:spacing w:line="280" w:lineRule="atLeast"/>
        <w:rPr>
          <w:lang w:eastAsia="fr-BE"/>
        </w:rPr>
      </w:pPr>
      <w:r w:rsidRPr="00BD5BCB">
        <w:rPr>
          <w:lang w:eastAsia="fr-BE"/>
        </w:rPr>
        <w:t xml:space="preserve">The </w:t>
      </w:r>
      <w:r>
        <w:rPr>
          <w:lang w:eastAsia="fr-BE"/>
        </w:rPr>
        <w:t>Luxembourg</w:t>
      </w:r>
      <w:r w:rsidRPr="00BD5BCB">
        <w:rPr>
          <w:lang w:eastAsia="fr-BE"/>
        </w:rPr>
        <w:t xml:space="preserve"> Presidency </w:t>
      </w:r>
      <w:r>
        <w:rPr>
          <w:lang w:eastAsia="fr-BE"/>
        </w:rPr>
        <w:t>gave</w:t>
      </w:r>
      <w:r w:rsidRPr="00BD5BCB">
        <w:rPr>
          <w:lang w:eastAsia="fr-BE"/>
        </w:rPr>
        <w:t xml:space="preserve"> a public presentation </w:t>
      </w:r>
      <w:r w:rsidR="00253BFC">
        <w:rPr>
          <w:lang w:eastAsia="fr-BE"/>
        </w:rPr>
        <w:t>of</w:t>
      </w:r>
      <w:r w:rsidRPr="00BD5BCB">
        <w:rPr>
          <w:lang w:eastAsia="fr-BE"/>
        </w:rPr>
        <w:t xml:space="preserve"> its programme</w:t>
      </w:r>
      <w:r w:rsidR="00253BFC">
        <w:rPr>
          <w:lang w:eastAsia="fr-BE"/>
        </w:rPr>
        <w:t xml:space="preserve"> for work</w:t>
      </w:r>
      <w:r w:rsidRPr="00BD5BCB">
        <w:rPr>
          <w:lang w:eastAsia="fr-BE"/>
        </w:rPr>
        <w:t xml:space="preserve"> in the agriculture and fisheries sectors</w:t>
      </w:r>
      <w:r>
        <w:rPr>
          <w:lang w:eastAsia="fr-BE"/>
        </w:rPr>
        <w:t xml:space="preserve"> for the next six months</w:t>
      </w:r>
      <w:r w:rsidRPr="00BD5BCB">
        <w:rPr>
          <w:lang w:eastAsia="fr-BE"/>
        </w:rPr>
        <w:t>.</w:t>
      </w:r>
      <w:r>
        <w:rPr>
          <w:lang w:eastAsia="fr-BE"/>
        </w:rPr>
        <w:t xml:space="preserve"> The Presidency considers that s</w:t>
      </w:r>
      <w:r w:rsidRPr="00C86E6C">
        <w:rPr>
          <w:lang w:eastAsia="fr-BE"/>
        </w:rPr>
        <w:t xml:space="preserve">ustainability must be the fundamental principle for the future development of European agriculture. </w:t>
      </w:r>
      <w:r>
        <w:rPr>
          <w:lang w:eastAsia="fr-BE"/>
        </w:rPr>
        <w:t>This principle must be applied with due consideration of the economic and social dimension, as well as related health and environmental factors (</w:t>
      </w:r>
      <w:hyperlink r:id="rId19" w:tooltip="http://data.consilium.europa.eu/doc/document/ST-10690-2015-INIT/en/pdf" w:history="1">
        <w:r>
          <w:rPr>
            <w:rStyle w:val="Hyperlink"/>
            <w:lang w:eastAsia="fr-BE"/>
          </w:rPr>
          <w:t>10690/15</w:t>
        </w:r>
      </w:hyperlink>
      <w:r>
        <w:rPr>
          <w:lang w:eastAsia="fr-BE"/>
        </w:rPr>
        <w:t>)</w:t>
      </w:r>
      <w:r w:rsidRPr="00C86E6C">
        <w:rPr>
          <w:lang w:eastAsia="fr-BE"/>
        </w:rPr>
        <w:t>.</w:t>
      </w:r>
    </w:p>
    <w:p w14:paraId="6BA53CE1" w14:textId="77777777" w:rsidR="009C0741" w:rsidRPr="00BD5BCB" w:rsidRDefault="009C0741" w:rsidP="009C0741">
      <w:pPr>
        <w:widowControl w:val="0"/>
        <w:spacing w:line="280" w:lineRule="atLeast"/>
        <w:rPr>
          <w:lang w:eastAsia="fr-BE"/>
        </w:rPr>
      </w:pPr>
      <w:r>
        <w:rPr>
          <w:lang w:eastAsia="fr-BE"/>
        </w:rPr>
        <w:t>Given that perspective, t</w:t>
      </w:r>
      <w:r w:rsidRPr="00BD5BCB">
        <w:rPr>
          <w:lang w:eastAsia="fr-BE"/>
        </w:rPr>
        <w:t>he agricultural policy priorities of the Presidency will include:</w:t>
      </w:r>
    </w:p>
    <w:p w14:paraId="3D1D710F" w14:textId="77777777" w:rsidR="009C0741" w:rsidRPr="00372567" w:rsidRDefault="009C0741" w:rsidP="002821A0">
      <w:pPr>
        <w:widowControl w:val="0"/>
        <w:numPr>
          <w:ilvl w:val="0"/>
          <w:numId w:val="1"/>
        </w:numPr>
        <w:spacing w:before="0" w:after="0"/>
        <w:ind w:left="567" w:hanging="567"/>
        <w:rPr>
          <w:lang w:eastAsia="fr-BE"/>
        </w:rPr>
      </w:pPr>
      <w:r w:rsidRPr="00372567">
        <w:rPr>
          <w:lang w:eastAsia="fr-BE"/>
        </w:rPr>
        <w:t xml:space="preserve">Focusing on effective </w:t>
      </w:r>
      <w:r w:rsidRPr="00372567">
        <w:rPr>
          <w:b/>
          <w:bCs/>
          <w:lang w:eastAsia="fr-BE"/>
        </w:rPr>
        <w:t>simplification of the reformed Common Agricultural Policy</w:t>
      </w:r>
      <w:r w:rsidRPr="00372567">
        <w:rPr>
          <w:lang w:eastAsia="fr-BE"/>
        </w:rPr>
        <w:t xml:space="preserve"> (CAP) </w:t>
      </w:r>
      <w:r>
        <w:rPr>
          <w:lang w:eastAsia="fr-BE"/>
        </w:rPr>
        <w:t>and ensuring</w:t>
      </w:r>
      <w:r w:rsidRPr="00372567">
        <w:rPr>
          <w:lang w:eastAsia="fr-BE"/>
        </w:rPr>
        <w:t xml:space="preserve"> that the Council is fully involved in the process.</w:t>
      </w:r>
    </w:p>
    <w:p w14:paraId="2D8726E4" w14:textId="0BD6AE4A" w:rsidR="009C0741" w:rsidRPr="0078027C" w:rsidRDefault="009C0741" w:rsidP="002821A0">
      <w:pPr>
        <w:widowControl w:val="0"/>
        <w:numPr>
          <w:ilvl w:val="0"/>
          <w:numId w:val="1"/>
        </w:numPr>
        <w:spacing w:before="0" w:after="0"/>
        <w:ind w:left="567" w:hanging="567"/>
        <w:rPr>
          <w:lang w:eastAsia="fr-BE"/>
        </w:rPr>
      </w:pPr>
      <w:r>
        <w:rPr>
          <w:lang w:eastAsia="fr-BE"/>
        </w:rPr>
        <w:t>Beginning</w:t>
      </w:r>
      <w:r w:rsidRPr="0078027C">
        <w:rPr>
          <w:lang w:eastAsia="fr-BE"/>
        </w:rPr>
        <w:t xml:space="preserve"> negotiations with the European Parliament on </w:t>
      </w:r>
      <w:r w:rsidRPr="0078027C">
        <w:rPr>
          <w:b/>
          <w:bCs/>
          <w:lang w:eastAsia="fr-BE"/>
        </w:rPr>
        <w:t>organic farming</w:t>
      </w:r>
      <w:r w:rsidRPr="0078027C">
        <w:rPr>
          <w:lang w:eastAsia="fr-BE"/>
        </w:rPr>
        <w:t xml:space="preserve"> </w:t>
      </w:r>
      <w:r>
        <w:rPr>
          <w:lang w:eastAsia="fr-BE"/>
        </w:rPr>
        <w:t xml:space="preserve">in </w:t>
      </w:r>
      <w:r w:rsidRPr="0078027C">
        <w:rPr>
          <w:lang w:eastAsia="fr-BE"/>
        </w:rPr>
        <w:t xml:space="preserve">order to </w:t>
      </w:r>
      <w:r>
        <w:rPr>
          <w:lang w:eastAsia="fr-BE"/>
        </w:rPr>
        <w:t>build</w:t>
      </w:r>
      <w:r w:rsidRPr="0078027C">
        <w:rPr>
          <w:lang w:eastAsia="fr-BE"/>
        </w:rPr>
        <w:t xml:space="preserve"> a regulatory framework adapted to new challenges</w:t>
      </w:r>
      <w:r>
        <w:rPr>
          <w:lang w:eastAsia="fr-BE"/>
        </w:rPr>
        <w:t>.</w:t>
      </w:r>
    </w:p>
    <w:p w14:paraId="34EBB585" w14:textId="1013AB6D" w:rsidR="009C0741" w:rsidRDefault="009C0741" w:rsidP="002821A0">
      <w:pPr>
        <w:widowControl w:val="0"/>
        <w:numPr>
          <w:ilvl w:val="0"/>
          <w:numId w:val="1"/>
        </w:numPr>
        <w:spacing w:before="0" w:after="0"/>
        <w:ind w:left="567" w:hanging="567"/>
        <w:rPr>
          <w:lang w:eastAsia="fr-BE"/>
        </w:rPr>
      </w:pPr>
      <w:r w:rsidRPr="0078027C">
        <w:rPr>
          <w:lang w:eastAsia="fr-BE"/>
        </w:rPr>
        <w:t xml:space="preserve">Working on </w:t>
      </w:r>
      <w:r w:rsidRPr="0078027C">
        <w:rPr>
          <w:b/>
          <w:bCs/>
          <w:lang w:eastAsia="fr-BE"/>
        </w:rPr>
        <w:t>market developments</w:t>
      </w:r>
      <w:r w:rsidRPr="0078027C">
        <w:rPr>
          <w:lang w:eastAsia="fr-BE"/>
        </w:rPr>
        <w:t>, including the Russian agricultural import ban</w:t>
      </w:r>
      <w:r>
        <w:rPr>
          <w:lang w:eastAsia="fr-BE"/>
        </w:rPr>
        <w:t xml:space="preserve"> and the expiry of milk quotas</w:t>
      </w:r>
      <w:r w:rsidRPr="0078027C">
        <w:rPr>
          <w:lang w:eastAsia="fr-BE"/>
        </w:rPr>
        <w:t xml:space="preserve"> </w:t>
      </w:r>
      <w:r>
        <w:rPr>
          <w:lang w:eastAsia="fr-BE"/>
        </w:rPr>
        <w:t>and paying particular atte</w:t>
      </w:r>
      <w:r w:rsidR="00253BFC">
        <w:rPr>
          <w:lang w:eastAsia="fr-BE"/>
        </w:rPr>
        <w:t>ntion to the effects on farmers.</w:t>
      </w:r>
    </w:p>
    <w:p w14:paraId="519F8E1A" w14:textId="5D624DA9" w:rsidR="00B97242" w:rsidRDefault="00BB333F" w:rsidP="002821A0">
      <w:pPr>
        <w:widowControl w:val="0"/>
        <w:numPr>
          <w:ilvl w:val="0"/>
          <w:numId w:val="1"/>
        </w:numPr>
        <w:spacing w:before="0" w:after="0"/>
        <w:ind w:left="567" w:hanging="567"/>
        <w:rPr>
          <w:lang w:eastAsia="fr-BE"/>
        </w:rPr>
      </w:pPr>
      <w:r>
        <w:rPr>
          <w:lang w:eastAsia="fr-BE"/>
        </w:rPr>
        <w:t>Resuming</w:t>
      </w:r>
      <w:r w:rsidR="00B97242">
        <w:rPr>
          <w:lang w:eastAsia="fr-BE"/>
        </w:rPr>
        <w:t xml:space="preserve"> the examination of the proposals on </w:t>
      </w:r>
      <w:r>
        <w:rPr>
          <w:b/>
          <w:lang w:eastAsia="fr-BE"/>
        </w:rPr>
        <w:t xml:space="preserve">school fruit, </w:t>
      </w:r>
      <w:r w:rsidR="00B97242" w:rsidRPr="00B97242">
        <w:rPr>
          <w:b/>
          <w:lang w:eastAsia="fr-BE"/>
        </w:rPr>
        <w:t>vegetables and milk schemes</w:t>
      </w:r>
      <w:r w:rsidR="00B97242">
        <w:rPr>
          <w:lang w:eastAsia="fr-BE"/>
        </w:rPr>
        <w:t xml:space="preserve"> after the evaluation performed by the Commission;</w:t>
      </w:r>
    </w:p>
    <w:p w14:paraId="711B4CAA" w14:textId="77777777" w:rsidR="009C0741" w:rsidRPr="00E86F66" w:rsidRDefault="009C0741" w:rsidP="009C0741">
      <w:pPr>
        <w:widowControl w:val="0"/>
        <w:spacing w:line="280" w:lineRule="atLeast"/>
        <w:ind w:left="567" w:hanging="567"/>
        <w:rPr>
          <w:lang w:eastAsia="fr-BE"/>
        </w:rPr>
      </w:pPr>
      <w:r w:rsidRPr="00E86F66">
        <w:rPr>
          <w:lang w:eastAsia="fr-BE"/>
        </w:rPr>
        <w:t>The priorities for fisheries policy will focus on:</w:t>
      </w:r>
    </w:p>
    <w:p w14:paraId="3F591210" w14:textId="0F8B152E" w:rsidR="009C0741" w:rsidRPr="00E86F66" w:rsidRDefault="009C0741" w:rsidP="002821A0">
      <w:pPr>
        <w:widowControl w:val="0"/>
        <w:numPr>
          <w:ilvl w:val="0"/>
          <w:numId w:val="1"/>
        </w:numPr>
        <w:spacing w:before="0" w:after="0"/>
        <w:ind w:left="567" w:hanging="567"/>
        <w:rPr>
          <w:b/>
          <w:bCs/>
          <w:lang w:eastAsia="fr-BE"/>
        </w:rPr>
      </w:pPr>
      <w:r>
        <w:rPr>
          <w:lang w:eastAsia="fr-BE"/>
        </w:rPr>
        <w:t>Organising a</w:t>
      </w:r>
      <w:r w:rsidRPr="00E86F66">
        <w:rPr>
          <w:lang w:eastAsia="fr-BE"/>
        </w:rPr>
        <w:t>n in-depth</w:t>
      </w:r>
      <w:r>
        <w:rPr>
          <w:lang w:eastAsia="fr-BE"/>
        </w:rPr>
        <w:t xml:space="preserve"> </w:t>
      </w:r>
      <w:r w:rsidRPr="00E86F66">
        <w:rPr>
          <w:lang w:eastAsia="fr-BE"/>
        </w:rPr>
        <w:t xml:space="preserve">discussion on </w:t>
      </w:r>
      <w:r w:rsidRPr="00E86F66">
        <w:rPr>
          <w:b/>
          <w:bCs/>
          <w:lang w:eastAsia="fr-BE"/>
        </w:rPr>
        <w:t>scientific data relating to the state of fish stocks</w:t>
      </w:r>
      <w:r>
        <w:rPr>
          <w:b/>
          <w:bCs/>
          <w:lang w:eastAsia="fr-BE"/>
        </w:rPr>
        <w:t xml:space="preserve"> </w:t>
      </w:r>
      <w:r w:rsidRPr="00E86F66">
        <w:rPr>
          <w:lang w:eastAsia="fr-BE"/>
        </w:rPr>
        <w:t xml:space="preserve">to </w:t>
      </w:r>
      <w:r>
        <w:rPr>
          <w:lang w:eastAsia="fr-BE"/>
        </w:rPr>
        <w:t>allow</w:t>
      </w:r>
      <w:r w:rsidRPr="00E86F66">
        <w:rPr>
          <w:lang w:eastAsia="fr-BE"/>
        </w:rPr>
        <w:t xml:space="preserve"> reasoned, transparent decisions to be taken</w:t>
      </w:r>
      <w:r>
        <w:rPr>
          <w:lang w:eastAsia="fr-BE"/>
        </w:rPr>
        <w:t xml:space="preserve"> on this issue.</w:t>
      </w:r>
    </w:p>
    <w:p w14:paraId="5716D6D6" w14:textId="105DAF57" w:rsidR="009C0741" w:rsidRPr="00E86F66" w:rsidRDefault="009C0741" w:rsidP="002821A0">
      <w:pPr>
        <w:widowControl w:val="0"/>
        <w:numPr>
          <w:ilvl w:val="0"/>
          <w:numId w:val="1"/>
        </w:numPr>
        <w:spacing w:before="0" w:after="0"/>
        <w:ind w:left="567" w:hanging="567"/>
        <w:rPr>
          <w:lang w:eastAsia="fr-BE"/>
        </w:rPr>
      </w:pPr>
      <w:r>
        <w:rPr>
          <w:lang w:eastAsia="fr-BE"/>
        </w:rPr>
        <w:t>Seeking t</w:t>
      </w:r>
      <w:r w:rsidRPr="00E86F66">
        <w:rPr>
          <w:lang w:eastAsia="fr-BE"/>
        </w:rPr>
        <w:t xml:space="preserve">o reach an agreement on the issue of </w:t>
      </w:r>
      <w:r w:rsidRPr="00E86F66">
        <w:rPr>
          <w:b/>
          <w:bCs/>
          <w:lang w:eastAsia="fr-BE"/>
        </w:rPr>
        <w:t>deep-sea fishing</w:t>
      </w:r>
      <w:r w:rsidRPr="00E86F66">
        <w:rPr>
          <w:lang w:eastAsia="fr-BE"/>
        </w:rPr>
        <w:t>, guaranteeing the sustainable exploitation of these fish stocks</w:t>
      </w:r>
      <w:r>
        <w:rPr>
          <w:lang w:eastAsia="fr-BE"/>
        </w:rPr>
        <w:t>.</w:t>
      </w:r>
    </w:p>
    <w:p w14:paraId="223CC695" w14:textId="67EC3493" w:rsidR="009C0741" w:rsidRPr="003515A2" w:rsidRDefault="009C0741" w:rsidP="002821A0">
      <w:pPr>
        <w:widowControl w:val="0"/>
        <w:numPr>
          <w:ilvl w:val="0"/>
          <w:numId w:val="2"/>
        </w:numPr>
        <w:spacing w:before="0" w:after="0"/>
        <w:ind w:left="567" w:hanging="567"/>
        <w:rPr>
          <w:lang w:eastAsia="fr-BE"/>
        </w:rPr>
      </w:pPr>
      <w:r w:rsidRPr="003515A2">
        <w:rPr>
          <w:lang w:eastAsia="fr-BE"/>
        </w:rPr>
        <w:t xml:space="preserve">Taking forward the negotiations on the </w:t>
      </w:r>
      <w:r w:rsidRPr="003515A2">
        <w:rPr>
          <w:b/>
          <w:bCs/>
          <w:lang w:eastAsia="fr-BE"/>
        </w:rPr>
        <w:t xml:space="preserve">multiannual management plan for the Baltic Sea </w:t>
      </w:r>
      <w:r w:rsidRPr="003515A2">
        <w:rPr>
          <w:lang w:eastAsia="fr-BE"/>
        </w:rPr>
        <w:t>to ensure the sustainable management of fisheries in this region.</w:t>
      </w:r>
    </w:p>
    <w:p w14:paraId="109AF8C1" w14:textId="450E8BD0" w:rsidR="009C0741" w:rsidRDefault="009C0741" w:rsidP="002821A0">
      <w:pPr>
        <w:widowControl w:val="0"/>
        <w:numPr>
          <w:ilvl w:val="0"/>
          <w:numId w:val="2"/>
        </w:numPr>
        <w:spacing w:before="0" w:after="0"/>
        <w:ind w:left="567" w:hanging="567"/>
        <w:rPr>
          <w:lang w:eastAsia="fr-BE"/>
        </w:rPr>
      </w:pPr>
      <w:r w:rsidRPr="00A75EE1">
        <w:rPr>
          <w:lang w:eastAsia="fr-BE"/>
        </w:rPr>
        <w:t xml:space="preserve">Continuing the </w:t>
      </w:r>
      <w:r w:rsidRPr="00A75EE1">
        <w:rPr>
          <w:b/>
          <w:bCs/>
          <w:lang w:eastAsia="fr-BE"/>
        </w:rPr>
        <w:t>alignment of several existing regulations</w:t>
      </w:r>
      <w:r w:rsidRPr="00A75EE1">
        <w:rPr>
          <w:lang w:eastAsia="fr-BE"/>
        </w:rPr>
        <w:t xml:space="preserve"> with the Lisbon </w:t>
      </w:r>
      <w:r w:rsidRPr="00444375">
        <w:rPr>
          <w:lang w:eastAsia="fr-BE"/>
        </w:rPr>
        <w:t>Treaty</w:t>
      </w:r>
      <w:r>
        <w:rPr>
          <w:lang w:eastAsia="fr-BE"/>
        </w:rPr>
        <w:t>,</w:t>
      </w:r>
      <w:r w:rsidRPr="00444375">
        <w:rPr>
          <w:lang w:eastAsia="fr-BE"/>
        </w:rPr>
        <w:t xml:space="preserve"> </w:t>
      </w:r>
      <w:r w:rsidRPr="00444375">
        <w:t xml:space="preserve">with particular attention to </w:t>
      </w:r>
      <w:r w:rsidRPr="00444375">
        <w:rPr>
          <w:b/>
          <w:bCs/>
        </w:rPr>
        <w:t>illegal and unregulated fishing</w:t>
      </w:r>
      <w:r w:rsidRPr="00444375">
        <w:t xml:space="preserve"> and the </w:t>
      </w:r>
      <w:r w:rsidRPr="00444375">
        <w:rPr>
          <w:b/>
          <w:bCs/>
        </w:rPr>
        <w:t>regeneration of European eel stocks</w:t>
      </w:r>
      <w:r w:rsidRPr="00A75EE1">
        <w:rPr>
          <w:lang w:eastAsia="fr-BE"/>
        </w:rPr>
        <w:t>;</w:t>
      </w:r>
    </w:p>
    <w:p w14:paraId="2445C78D" w14:textId="77777777" w:rsidR="009C0741" w:rsidRPr="00A75EE1" w:rsidRDefault="009C0741" w:rsidP="009C0741">
      <w:pPr>
        <w:widowControl w:val="0"/>
        <w:spacing w:line="280" w:lineRule="atLeast"/>
        <w:ind w:left="567" w:hanging="567"/>
        <w:rPr>
          <w:lang w:eastAsia="fr-BE"/>
        </w:rPr>
      </w:pPr>
      <w:r w:rsidRPr="00A75EE1">
        <w:rPr>
          <w:lang w:eastAsia="fr-BE"/>
        </w:rPr>
        <w:t>As regards food and veterinary issues, the Presidency intends to:</w:t>
      </w:r>
    </w:p>
    <w:p w14:paraId="240531FC" w14:textId="77777777" w:rsidR="009C0741" w:rsidRDefault="009C0741" w:rsidP="002821A0">
      <w:pPr>
        <w:widowControl w:val="0"/>
        <w:numPr>
          <w:ilvl w:val="0"/>
          <w:numId w:val="3"/>
        </w:numPr>
        <w:spacing w:before="0" w:after="0"/>
        <w:ind w:left="567" w:hanging="567"/>
        <w:rPr>
          <w:lang w:eastAsia="fr-BE"/>
        </w:rPr>
      </w:pPr>
      <w:r>
        <w:rPr>
          <w:lang w:eastAsia="fr-BE"/>
        </w:rPr>
        <w:t>B</w:t>
      </w:r>
      <w:r w:rsidRPr="0073788F">
        <w:rPr>
          <w:lang w:eastAsia="fr-BE"/>
        </w:rPr>
        <w:t>e</w:t>
      </w:r>
      <w:r>
        <w:rPr>
          <w:lang w:eastAsia="fr-BE"/>
        </w:rPr>
        <w:t xml:space="preserve">gin </w:t>
      </w:r>
      <w:r w:rsidRPr="0073788F">
        <w:rPr>
          <w:lang w:eastAsia="fr-BE"/>
        </w:rPr>
        <w:t xml:space="preserve">work on the </w:t>
      </w:r>
      <w:r w:rsidRPr="0073788F">
        <w:rPr>
          <w:b/>
          <w:bCs/>
          <w:lang w:eastAsia="fr-BE"/>
        </w:rPr>
        <w:t>revision of the authorisation procedure for genetically modified organisms</w:t>
      </w:r>
      <w:r w:rsidRPr="0073788F">
        <w:rPr>
          <w:lang w:eastAsia="fr-BE"/>
        </w:rPr>
        <w:t xml:space="preserve"> in foodstuffs and animal feed.</w:t>
      </w:r>
    </w:p>
    <w:p w14:paraId="765B4824" w14:textId="0872DDD5" w:rsidR="009C0741" w:rsidRPr="00A75EE1" w:rsidRDefault="009C0741" w:rsidP="002821A0">
      <w:pPr>
        <w:widowControl w:val="0"/>
        <w:numPr>
          <w:ilvl w:val="0"/>
          <w:numId w:val="3"/>
        </w:numPr>
        <w:spacing w:before="0" w:after="0"/>
        <w:ind w:left="567" w:hanging="567"/>
        <w:rPr>
          <w:lang w:eastAsia="fr-BE"/>
        </w:rPr>
      </w:pPr>
      <w:r w:rsidRPr="00A75EE1">
        <w:rPr>
          <w:lang w:eastAsia="fr-BE"/>
        </w:rPr>
        <w:t xml:space="preserve">Work towards reaching an agreement </w:t>
      </w:r>
      <w:r>
        <w:rPr>
          <w:lang w:eastAsia="fr-BE"/>
        </w:rPr>
        <w:t>at</w:t>
      </w:r>
      <w:r w:rsidRPr="00A75EE1">
        <w:rPr>
          <w:lang w:eastAsia="fr-BE"/>
        </w:rPr>
        <w:t xml:space="preserve"> first reading with the Parliament on the legislative proposal on </w:t>
      </w:r>
      <w:r w:rsidRPr="00A75EE1">
        <w:rPr>
          <w:b/>
          <w:bCs/>
          <w:lang w:eastAsia="fr-BE"/>
        </w:rPr>
        <w:t>protective measures against pests of plants</w:t>
      </w:r>
      <w:r>
        <w:rPr>
          <w:b/>
          <w:bCs/>
          <w:lang w:eastAsia="fr-BE"/>
        </w:rPr>
        <w:t xml:space="preserve"> </w:t>
      </w:r>
      <w:r w:rsidRPr="00A44A51">
        <w:rPr>
          <w:lang w:eastAsia="fr-BE"/>
        </w:rPr>
        <w:t>(plant health)</w:t>
      </w:r>
      <w:r w:rsidRPr="00A75EE1">
        <w:rPr>
          <w:lang w:eastAsia="fr-BE"/>
        </w:rPr>
        <w:t>.</w:t>
      </w:r>
    </w:p>
    <w:p w14:paraId="26EB84BE" w14:textId="4763F8EB" w:rsidR="009C0741" w:rsidRDefault="009C0741" w:rsidP="002821A0">
      <w:pPr>
        <w:widowControl w:val="0"/>
        <w:numPr>
          <w:ilvl w:val="0"/>
          <w:numId w:val="3"/>
        </w:numPr>
        <w:spacing w:before="0" w:after="0"/>
        <w:ind w:left="567" w:hanging="567"/>
        <w:rPr>
          <w:lang w:eastAsia="fr-BE"/>
        </w:rPr>
      </w:pPr>
      <w:r w:rsidRPr="00A22E12">
        <w:rPr>
          <w:lang w:eastAsia="fr-BE"/>
        </w:rPr>
        <w:t xml:space="preserve">Finalise a more integrated and horizontal approach to </w:t>
      </w:r>
      <w:r w:rsidRPr="00A22E12">
        <w:rPr>
          <w:b/>
          <w:bCs/>
          <w:lang w:eastAsia="fr-BE"/>
        </w:rPr>
        <w:t xml:space="preserve">official controls </w:t>
      </w:r>
      <w:r w:rsidRPr="00A22E12">
        <w:rPr>
          <w:lang w:eastAsia="fr-BE"/>
        </w:rPr>
        <w:t>to reach</w:t>
      </w:r>
      <w:r>
        <w:rPr>
          <w:lang w:eastAsia="fr-BE"/>
        </w:rPr>
        <w:t xml:space="preserve"> a</w:t>
      </w:r>
      <w:r w:rsidRPr="00A22E12">
        <w:rPr>
          <w:lang w:eastAsia="fr-BE"/>
        </w:rPr>
        <w:t xml:space="preserve"> compromise between member states with a view to launch</w:t>
      </w:r>
      <w:r>
        <w:rPr>
          <w:lang w:eastAsia="fr-BE"/>
        </w:rPr>
        <w:t>ing</w:t>
      </w:r>
      <w:r w:rsidRPr="00A22E12">
        <w:rPr>
          <w:lang w:eastAsia="fr-BE"/>
        </w:rPr>
        <w:t xml:space="preserve"> negotiations with the Parliament on this issue.</w:t>
      </w:r>
    </w:p>
    <w:p w14:paraId="345023A6" w14:textId="69679623" w:rsidR="009C0741" w:rsidRDefault="009C0741" w:rsidP="002821A0">
      <w:pPr>
        <w:widowControl w:val="0"/>
        <w:numPr>
          <w:ilvl w:val="0"/>
          <w:numId w:val="3"/>
        </w:numPr>
        <w:spacing w:before="0" w:after="0"/>
        <w:ind w:left="567" w:hanging="567"/>
        <w:rPr>
          <w:lang w:eastAsia="fr-BE"/>
        </w:rPr>
      </w:pPr>
      <w:r>
        <w:rPr>
          <w:lang w:eastAsia="fr-BE"/>
        </w:rPr>
        <w:t xml:space="preserve">Seek </w:t>
      </w:r>
      <w:r w:rsidRPr="00C86E6C">
        <w:rPr>
          <w:lang w:eastAsia="fr-BE"/>
        </w:rPr>
        <w:t xml:space="preserve">to reach an agreement with the European Parliament on the legislative proposal on the </w:t>
      </w:r>
      <w:proofErr w:type="spellStart"/>
      <w:r w:rsidRPr="00C86E6C">
        <w:rPr>
          <w:b/>
          <w:bCs/>
          <w:lang w:eastAsia="fr-BE"/>
        </w:rPr>
        <w:t>zootechnical</w:t>
      </w:r>
      <w:proofErr w:type="spellEnd"/>
      <w:r w:rsidRPr="00C86E6C">
        <w:rPr>
          <w:b/>
          <w:bCs/>
          <w:lang w:eastAsia="fr-BE"/>
        </w:rPr>
        <w:t xml:space="preserve"> and genealogical conditions for trade in and imports from third countries of breeding animals and their germinal products</w:t>
      </w:r>
      <w:r w:rsidRPr="00C86E6C">
        <w:rPr>
          <w:lang w:eastAsia="fr-BE"/>
        </w:rPr>
        <w:t xml:space="preserve"> and on the finalisation of the </w:t>
      </w:r>
      <w:r w:rsidRPr="00C86E6C">
        <w:rPr>
          <w:b/>
          <w:bCs/>
          <w:lang w:eastAsia="fr-BE"/>
        </w:rPr>
        <w:t xml:space="preserve">medicated feed </w:t>
      </w:r>
      <w:r w:rsidRPr="00C86E6C">
        <w:rPr>
          <w:lang w:eastAsia="fr-BE"/>
        </w:rPr>
        <w:t>dossier.</w:t>
      </w:r>
    </w:p>
    <w:p w14:paraId="67C9F0C8" w14:textId="1DC4712E" w:rsidR="009C0741" w:rsidRDefault="009C0741" w:rsidP="002821A0">
      <w:pPr>
        <w:widowControl w:val="0"/>
        <w:numPr>
          <w:ilvl w:val="0"/>
          <w:numId w:val="3"/>
        </w:numPr>
        <w:spacing w:before="0" w:after="0"/>
        <w:ind w:left="567" w:hanging="567"/>
      </w:pPr>
      <w:r>
        <w:rPr>
          <w:lang w:eastAsia="fr-BE"/>
        </w:rPr>
        <w:t>C</w:t>
      </w:r>
      <w:r w:rsidRPr="00C86E6C">
        <w:rPr>
          <w:lang w:eastAsia="fr-BE"/>
        </w:rPr>
        <w:t xml:space="preserve">ontinue work on </w:t>
      </w:r>
      <w:r w:rsidRPr="005353E0">
        <w:rPr>
          <w:b/>
          <w:bCs/>
          <w:lang w:eastAsia="fr-BE"/>
        </w:rPr>
        <w:t>medicinal products</w:t>
      </w:r>
      <w:r w:rsidRPr="00C86E6C">
        <w:rPr>
          <w:lang w:eastAsia="fr-BE"/>
        </w:rPr>
        <w:t xml:space="preserve"> </w:t>
      </w:r>
      <w:r w:rsidRPr="005353E0">
        <w:rPr>
          <w:b/>
          <w:bCs/>
          <w:lang w:eastAsia="fr-BE"/>
        </w:rPr>
        <w:t>for veterinary use</w:t>
      </w:r>
      <w:r>
        <w:rPr>
          <w:lang w:eastAsia="fr-BE"/>
        </w:rPr>
        <w:t xml:space="preserve"> with a particular focus on </w:t>
      </w:r>
      <w:r w:rsidRPr="00C86E6C">
        <w:rPr>
          <w:lang w:eastAsia="fr-BE"/>
        </w:rPr>
        <w:t>combating antimicrobial resistance.</w:t>
      </w:r>
    </w:p>
    <w:p w14:paraId="4927069E" w14:textId="77777777" w:rsidR="007340CA" w:rsidRPr="007340CA" w:rsidRDefault="007B4D94" w:rsidP="007340CA">
      <w:pPr>
        <w:pStyle w:val="ItemDebated"/>
      </w:pPr>
      <w:bookmarkStart w:id="7" w:name="_Toc426453478"/>
      <w:r>
        <w:lastRenderedPageBreak/>
        <w:t>AGRICULTURE</w:t>
      </w:r>
      <w:bookmarkEnd w:id="7"/>
    </w:p>
    <w:p w14:paraId="7935B828" w14:textId="0FB1112B" w:rsidR="007B4D94" w:rsidRDefault="007B4D94" w:rsidP="005353E0">
      <w:pPr>
        <w:pStyle w:val="Sub-itemDebated"/>
      </w:pPr>
      <w:bookmarkStart w:id="8" w:name="_Toc426453479"/>
      <w:r>
        <w:t>Restriction of use of genetically modified food and feed</w:t>
      </w:r>
      <w:bookmarkEnd w:id="8"/>
    </w:p>
    <w:p w14:paraId="1CE6D1CA" w14:textId="063DDFD0" w:rsidR="009C0741" w:rsidRPr="005353E0" w:rsidRDefault="009C0741" w:rsidP="005353E0">
      <w:pPr>
        <w:spacing w:line="280" w:lineRule="atLeast"/>
        <w:jc w:val="both"/>
      </w:pPr>
      <w:r w:rsidRPr="00606512">
        <w:rPr>
          <w:lang w:val="en-US"/>
        </w:rPr>
        <w:t xml:space="preserve">The Commission </w:t>
      </w:r>
      <w:r>
        <w:rPr>
          <w:lang w:val="en-US"/>
        </w:rPr>
        <w:t>presented</w:t>
      </w:r>
      <w:r w:rsidRPr="00606512">
        <w:rPr>
          <w:lang w:val="en-US"/>
        </w:rPr>
        <w:t xml:space="preserve"> to the ministers:</w:t>
      </w:r>
    </w:p>
    <w:p w14:paraId="5E0B0494" w14:textId="77777777" w:rsidR="009C0741" w:rsidRPr="00606512" w:rsidRDefault="009C0741" w:rsidP="002821A0">
      <w:pPr>
        <w:numPr>
          <w:ilvl w:val="0"/>
          <w:numId w:val="6"/>
        </w:numPr>
        <w:spacing w:after="120" w:line="280" w:lineRule="atLeast"/>
        <w:jc w:val="both"/>
        <w:rPr>
          <w:lang w:val="en-US"/>
        </w:rPr>
      </w:pPr>
      <w:r w:rsidRPr="00606512">
        <w:rPr>
          <w:lang w:val="en-US"/>
        </w:rPr>
        <w:t>a communication reviewing the decision-making process on genetically modified organisms (GMOs) (</w:t>
      </w:r>
      <w:hyperlink r:id="rId20" w:tooltip="http://data.consilium.europa.eu/doc/document/ST-8344-2015-INIT/en/pdf" w:history="1">
        <w:r>
          <w:rPr>
            <w:rStyle w:val="Hyperlink"/>
            <w:lang w:val="en-US"/>
          </w:rPr>
          <w:t>8344/15</w:t>
        </w:r>
      </w:hyperlink>
      <w:r>
        <w:rPr>
          <w:lang w:val="en-US"/>
        </w:rPr>
        <w:t>);</w:t>
      </w:r>
    </w:p>
    <w:p w14:paraId="67BB8591" w14:textId="77777777" w:rsidR="009C0741" w:rsidRPr="009C0741" w:rsidRDefault="009C0741" w:rsidP="002821A0">
      <w:pPr>
        <w:numPr>
          <w:ilvl w:val="0"/>
          <w:numId w:val="6"/>
        </w:numPr>
        <w:spacing w:after="120" w:line="280" w:lineRule="atLeast"/>
        <w:jc w:val="both"/>
        <w:rPr>
          <w:lang w:val="en-US"/>
        </w:rPr>
      </w:pPr>
      <w:r w:rsidRPr="00606512">
        <w:rPr>
          <w:lang w:val="en-US"/>
        </w:rPr>
        <w:t>a proposal for a regulation as regards the possibility for the member states to restrict or prohibit the use of genetically modified (GM) food and feed on their territory (</w:t>
      </w:r>
      <w:hyperlink r:id="rId21" w:tooltip="http://data.consilium.europa.eu/doc/document/ST-8356-2015-INIT/en/pdf" w:history="1">
        <w:r>
          <w:rPr>
            <w:rStyle w:val="Hyperlink"/>
            <w:lang w:val="en-US"/>
          </w:rPr>
          <w:t>8356/15</w:t>
        </w:r>
      </w:hyperlink>
      <w:r>
        <w:rPr>
          <w:lang w:val="en-US"/>
        </w:rPr>
        <w:t>).</w:t>
      </w:r>
    </w:p>
    <w:p w14:paraId="200009C8" w14:textId="25EC2540" w:rsidR="009C0741" w:rsidRPr="00606512" w:rsidRDefault="009C0741" w:rsidP="005353E0">
      <w:pPr>
        <w:spacing w:line="280" w:lineRule="atLeast"/>
        <w:jc w:val="both"/>
        <w:rPr>
          <w:lang w:val="en-US"/>
        </w:rPr>
      </w:pPr>
      <w:r>
        <w:rPr>
          <w:lang w:val="en-US"/>
        </w:rPr>
        <w:t xml:space="preserve">Ministers then had an exchange of views on the issue on the basis of a </w:t>
      </w:r>
      <w:r w:rsidR="00253BFC">
        <w:rPr>
          <w:lang w:val="en-US"/>
        </w:rPr>
        <w:t xml:space="preserve">Presidency </w:t>
      </w:r>
      <w:r>
        <w:rPr>
          <w:lang w:val="en-US"/>
        </w:rPr>
        <w:t>quest</w:t>
      </w:r>
      <w:r w:rsidR="00253BFC">
        <w:rPr>
          <w:lang w:val="en-US"/>
        </w:rPr>
        <w:t>ionnaire</w:t>
      </w:r>
      <w:r>
        <w:rPr>
          <w:lang w:val="en-US"/>
        </w:rPr>
        <w:t xml:space="preserve"> (</w:t>
      </w:r>
      <w:hyperlink r:id="rId22" w:tooltip="http://data.consilium.europa.eu/doc/document/ST-10569-2015-INIT/en/pdf" w:history="1">
        <w:r w:rsidRPr="00121223">
          <w:rPr>
            <w:rStyle w:val="Hyperlink"/>
            <w:lang w:val="en-US"/>
          </w:rPr>
          <w:t>10569/15</w:t>
        </w:r>
      </w:hyperlink>
      <w:r>
        <w:rPr>
          <w:lang w:val="en-US"/>
        </w:rPr>
        <w:t>).</w:t>
      </w:r>
    </w:p>
    <w:p w14:paraId="3C840C08" w14:textId="7F1BC3E7" w:rsidR="009C0741" w:rsidRDefault="009C0741" w:rsidP="005353E0">
      <w:pPr>
        <w:spacing w:line="280" w:lineRule="atLeast"/>
        <w:jc w:val="both"/>
        <w:rPr>
          <w:lang w:val="en-US"/>
        </w:rPr>
      </w:pPr>
      <w:r>
        <w:rPr>
          <w:lang w:val="en-US"/>
        </w:rPr>
        <w:t>Most of them questioned</w:t>
      </w:r>
      <w:r w:rsidRPr="007B09C4">
        <w:rPr>
          <w:lang w:val="en-US"/>
        </w:rPr>
        <w:t xml:space="preserve"> the proposed opt-out option </w:t>
      </w:r>
      <w:r>
        <w:rPr>
          <w:lang w:val="en-US"/>
        </w:rPr>
        <w:t xml:space="preserve">and considered </w:t>
      </w:r>
      <w:r w:rsidR="00253BFC">
        <w:rPr>
          <w:lang w:val="en-US"/>
        </w:rPr>
        <w:t xml:space="preserve">that </w:t>
      </w:r>
      <w:r>
        <w:rPr>
          <w:lang w:val="en-US"/>
        </w:rPr>
        <w:t xml:space="preserve">it </w:t>
      </w:r>
      <w:r w:rsidRPr="007B09C4">
        <w:rPr>
          <w:lang w:val="en-US"/>
        </w:rPr>
        <w:t xml:space="preserve">would </w:t>
      </w:r>
      <w:r>
        <w:rPr>
          <w:lang w:val="en-US"/>
        </w:rPr>
        <w:t xml:space="preserve">not </w:t>
      </w:r>
      <w:r w:rsidRPr="007B09C4">
        <w:rPr>
          <w:lang w:val="en-US"/>
        </w:rPr>
        <w:t>offer them a practica</w:t>
      </w:r>
      <w:r>
        <w:rPr>
          <w:lang w:val="en-US"/>
        </w:rPr>
        <w:t>b</w:t>
      </w:r>
      <w:r w:rsidR="002359C6">
        <w:rPr>
          <w:lang w:val="en-US"/>
        </w:rPr>
        <w:t>le and legally sound solution. For example, t</w:t>
      </w:r>
      <w:r w:rsidR="00253BFC">
        <w:rPr>
          <w:lang w:val="en-US"/>
        </w:rPr>
        <w:t xml:space="preserve">hey pointed out that the word </w:t>
      </w:r>
      <w:r w:rsidR="00253BFC">
        <w:t>'</w:t>
      </w:r>
      <w:r w:rsidR="00253BFC" w:rsidRPr="0044711B">
        <w:t>use</w:t>
      </w:r>
      <w:r w:rsidR="00253BFC">
        <w:t>'</w:t>
      </w:r>
      <w:r>
        <w:rPr>
          <w:lang w:val="en-US"/>
        </w:rPr>
        <w:t xml:space="preserve"> of a GM as indicated in the proposal is not sufficiently defined and could lead to different interpretations.</w:t>
      </w:r>
    </w:p>
    <w:p w14:paraId="30CE6899" w14:textId="49A62CCF" w:rsidR="009C0741" w:rsidRDefault="009C0741" w:rsidP="005353E0">
      <w:pPr>
        <w:spacing w:line="280" w:lineRule="atLeast"/>
        <w:jc w:val="both"/>
        <w:rPr>
          <w:lang w:val="en-US"/>
        </w:rPr>
      </w:pPr>
      <w:r>
        <w:rPr>
          <w:lang w:val="en-US"/>
        </w:rPr>
        <w:t>Many delegations highlighted</w:t>
      </w:r>
      <w:r w:rsidRPr="006B30E4">
        <w:rPr>
          <w:lang w:val="en-US"/>
        </w:rPr>
        <w:t xml:space="preserve"> that the new process could weaken the single market and pointed out that it could contravene the international commitments of the EU. </w:t>
      </w:r>
      <w:r>
        <w:rPr>
          <w:lang w:val="en-US"/>
        </w:rPr>
        <w:t>A number of ministers</w:t>
      </w:r>
      <w:r w:rsidRPr="006B30E4">
        <w:rPr>
          <w:lang w:val="en-US"/>
        </w:rPr>
        <w:t xml:space="preserve"> regretted that </w:t>
      </w:r>
      <w:r w:rsidR="00253BFC">
        <w:rPr>
          <w:lang w:val="en-US"/>
        </w:rPr>
        <w:t>an</w:t>
      </w:r>
      <w:r w:rsidRPr="006B30E4">
        <w:rPr>
          <w:lang w:val="en-US"/>
        </w:rPr>
        <w:t xml:space="preserve"> impact assessment has </w:t>
      </w:r>
      <w:r w:rsidR="00253BFC">
        <w:rPr>
          <w:lang w:val="en-US"/>
        </w:rPr>
        <w:t xml:space="preserve">not </w:t>
      </w:r>
      <w:r w:rsidRPr="006B30E4">
        <w:rPr>
          <w:lang w:val="en-US"/>
        </w:rPr>
        <w:t>been prepar</w:t>
      </w:r>
      <w:r>
        <w:rPr>
          <w:lang w:val="en-US"/>
        </w:rPr>
        <w:t xml:space="preserve">ed </w:t>
      </w:r>
      <w:r w:rsidR="00B97242">
        <w:rPr>
          <w:lang w:val="en-US"/>
        </w:rPr>
        <w:t>to evaluate the consequences of the proposal</w:t>
      </w:r>
      <w:r>
        <w:rPr>
          <w:lang w:val="en-US"/>
        </w:rPr>
        <w:t>.</w:t>
      </w:r>
    </w:p>
    <w:p w14:paraId="798F7950" w14:textId="2BB4DAE7" w:rsidR="009C0741" w:rsidRPr="007B09C4" w:rsidRDefault="009C0741" w:rsidP="005353E0">
      <w:pPr>
        <w:spacing w:line="280" w:lineRule="atLeast"/>
        <w:jc w:val="both"/>
        <w:rPr>
          <w:lang w:val="en-US"/>
        </w:rPr>
      </w:pPr>
      <w:r>
        <w:rPr>
          <w:lang w:val="en-US"/>
        </w:rPr>
        <w:t>The Presidency mandated the Council preparatory bodies to examine the technical aspects of the proposal</w:t>
      </w:r>
      <w:r w:rsidR="00B97242">
        <w:rPr>
          <w:lang w:val="en-US"/>
        </w:rPr>
        <w:t xml:space="preserve"> on the basis of further analyses provided by the Commission</w:t>
      </w:r>
      <w:r>
        <w:rPr>
          <w:lang w:val="en-US"/>
        </w:rPr>
        <w:t>.</w:t>
      </w:r>
    </w:p>
    <w:p w14:paraId="102DFA10" w14:textId="77777777" w:rsidR="009C0741" w:rsidRPr="006B30E4" w:rsidRDefault="009C0741" w:rsidP="009C0741">
      <w:pPr>
        <w:spacing w:line="280" w:lineRule="atLeast"/>
        <w:jc w:val="both"/>
        <w:rPr>
          <w:b/>
          <w:bCs/>
          <w:i/>
          <w:iCs/>
          <w:lang w:val="en-US"/>
        </w:rPr>
      </w:pPr>
      <w:r w:rsidRPr="006B30E4">
        <w:rPr>
          <w:b/>
          <w:bCs/>
          <w:i/>
          <w:iCs/>
          <w:lang w:val="en-US"/>
        </w:rPr>
        <w:t>Background</w:t>
      </w:r>
    </w:p>
    <w:p w14:paraId="4EDEDF00" w14:textId="5D883854" w:rsidR="009C0741" w:rsidRPr="00606512" w:rsidRDefault="009C0741" w:rsidP="009C0741">
      <w:pPr>
        <w:spacing w:line="280" w:lineRule="atLeast"/>
        <w:jc w:val="both"/>
        <w:rPr>
          <w:lang w:val="en-US"/>
        </w:rPr>
      </w:pPr>
      <w:r w:rsidRPr="00606512">
        <w:rPr>
          <w:lang w:val="en-US"/>
        </w:rPr>
        <w:t xml:space="preserve">The communication outlines the need to adapt the GMO legal framework to </w:t>
      </w:r>
      <w:r>
        <w:rPr>
          <w:lang w:val="en-US"/>
        </w:rPr>
        <w:t xml:space="preserve">make better </w:t>
      </w:r>
      <w:r w:rsidR="00253BFC">
        <w:rPr>
          <w:lang w:val="en-US"/>
        </w:rPr>
        <w:t>provision</w:t>
      </w:r>
      <w:r w:rsidRPr="00606512">
        <w:rPr>
          <w:lang w:val="en-US"/>
        </w:rPr>
        <w:t xml:space="preserve"> for national governments</w:t>
      </w:r>
      <w:r>
        <w:rPr>
          <w:lang w:val="en-US"/>
        </w:rPr>
        <w:t xml:space="preserve"> to express their</w:t>
      </w:r>
      <w:r w:rsidRPr="00606512">
        <w:rPr>
          <w:lang w:val="en-US"/>
        </w:rPr>
        <w:t xml:space="preserve"> views on the use of GMOs. It notes</w:t>
      </w:r>
      <w:r>
        <w:rPr>
          <w:lang w:val="en-US"/>
        </w:rPr>
        <w:t xml:space="preserve"> also</w:t>
      </w:r>
      <w:r w:rsidRPr="00606512">
        <w:rPr>
          <w:lang w:val="en-US"/>
        </w:rPr>
        <w:t xml:space="preserve"> that in March 2015, the Council and the Parliament agreed on an amendment of the GMO legal framework to allow member states to restrict or prohibit </w:t>
      </w:r>
      <w:r>
        <w:rPr>
          <w:lang w:val="en-US"/>
        </w:rPr>
        <w:t xml:space="preserve">on their territory </w:t>
      </w:r>
      <w:r w:rsidRPr="00606512">
        <w:rPr>
          <w:lang w:val="en-US"/>
        </w:rPr>
        <w:t xml:space="preserve">the cultivation of </w:t>
      </w:r>
      <w:proofErr w:type="spellStart"/>
      <w:r w:rsidRPr="00606512">
        <w:rPr>
          <w:lang w:val="en-US"/>
        </w:rPr>
        <w:t>authorised</w:t>
      </w:r>
      <w:proofErr w:type="spellEnd"/>
      <w:r w:rsidRPr="00606512">
        <w:rPr>
          <w:lang w:val="en-US"/>
        </w:rPr>
        <w:t xml:space="preserve"> GMOs (</w:t>
      </w:r>
      <w:hyperlink r:id="rId23" w:history="1">
        <w:r w:rsidRPr="00BF2D16">
          <w:rPr>
            <w:rStyle w:val="Hyperlink"/>
            <w:lang w:val="en-US"/>
          </w:rPr>
          <w:t>directive 2015/412/EU</w:t>
        </w:r>
      </w:hyperlink>
      <w:r w:rsidRPr="00606512">
        <w:rPr>
          <w:lang w:val="en-US"/>
        </w:rPr>
        <w:t xml:space="preserve">). The communication concludes </w:t>
      </w:r>
      <w:r>
        <w:rPr>
          <w:lang w:val="en-US"/>
        </w:rPr>
        <w:t>that there is a</w:t>
      </w:r>
      <w:r w:rsidRPr="00606512">
        <w:rPr>
          <w:lang w:val="en-US"/>
        </w:rPr>
        <w:t xml:space="preserve"> need to extend this </w:t>
      </w:r>
      <w:r>
        <w:rPr>
          <w:lang w:val="en-US"/>
        </w:rPr>
        <w:t>approach</w:t>
      </w:r>
      <w:r w:rsidRPr="00606512">
        <w:rPr>
          <w:lang w:val="en-US"/>
        </w:rPr>
        <w:t xml:space="preserve"> to genetically modified food and feed.</w:t>
      </w:r>
    </w:p>
    <w:p w14:paraId="2FAB15E8" w14:textId="762F0EF1" w:rsidR="009C0741" w:rsidRPr="006B30E4" w:rsidRDefault="00EB33B7" w:rsidP="005353E0">
      <w:pPr>
        <w:spacing w:line="280" w:lineRule="atLeast"/>
        <w:jc w:val="both"/>
        <w:rPr>
          <w:lang w:val="en-US"/>
        </w:rPr>
      </w:pPr>
      <w:r>
        <w:rPr>
          <w:lang w:val="en-US"/>
        </w:rPr>
        <w:br w:type="page"/>
      </w:r>
      <w:r w:rsidR="009C0741" w:rsidRPr="00606512">
        <w:rPr>
          <w:lang w:val="en-US"/>
        </w:rPr>
        <w:lastRenderedPageBreak/>
        <w:t xml:space="preserve">In that context, the proposed regulation aims to achieve a balance between maintaining an EU </w:t>
      </w:r>
      <w:proofErr w:type="spellStart"/>
      <w:r w:rsidR="009C0741" w:rsidRPr="00606512">
        <w:rPr>
          <w:lang w:val="en-US"/>
        </w:rPr>
        <w:t>authorisation</w:t>
      </w:r>
      <w:proofErr w:type="spellEnd"/>
      <w:r w:rsidR="009C0741" w:rsidRPr="00606512">
        <w:rPr>
          <w:lang w:val="en-US"/>
        </w:rPr>
        <w:t xml:space="preserve"> system and the freedom for member states to decide on the use of GMOs on their territory. The current single risk management system with the </w:t>
      </w:r>
      <w:proofErr w:type="spellStart"/>
      <w:r w:rsidR="009C0741" w:rsidRPr="00606512">
        <w:rPr>
          <w:lang w:val="en-US"/>
        </w:rPr>
        <w:t>authorisation</w:t>
      </w:r>
      <w:proofErr w:type="spellEnd"/>
      <w:r w:rsidR="009C0741" w:rsidRPr="00606512">
        <w:rPr>
          <w:lang w:val="en-US"/>
        </w:rPr>
        <w:t xml:space="preserve"> system would not be amended</w:t>
      </w:r>
      <w:r w:rsidR="009C0741">
        <w:rPr>
          <w:lang w:val="en-US"/>
        </w:rPr>
        <w:t>,</w:t>
      </w:r>
      <w:r w:rsidR="009C0741" w:rsidRPr="00606512">
        <w:rPr>
          <w:lang w:val="en-US"/>
        </w:rPr>
        <w:t xml:space="preserve"> as it ensures </w:t>
      </w:r>
      <w:r w:rsidR="009C0741">
        <w:rPr>
          <w:lang w:val="en-US"/>
        </w:rPr>
        <w:t xml:space="preserve">that </w:t>
      </w:r>
      <w:r w:rsidR="009C0741" w:rsidRPr="00606512">
        <w:rPr>
          <w:lang w:val="en-US"/>
        </w:rPr>
        <w:t xml:space="preserve">the same level of protection </w:t>
      </w:r>
      <w:r w:rsidR="009C0741">
        <w:rPr>
          <w:lang w:val="en-US"/>
        </w:rPr>
        <w:t xml:space="preserve">applies </w:t>
      </w:r>
      <w:r w:rsidR="009C0741" w:rsidRPr="00606512">
        <w:rPr>
          <w:lang w:val="en-US"/>
        </w:rPr>
        <w:t xml:space="preserve">throughout the EU. However, the change proposed would mean that since a GMO is </w:t>
      </w:r>
      <w:proofErr w:type="spellStart"/>
      <w:r w:rsidR="009C0741" w:rsidRPr="00606512">
        <w:rPr>
          <w:lang w:val="en-US"/>
        </w:rPr>
        <w:t>authorised</w:t>
      </w:r>
      <w:proofErr w:type="spellEnd"/>
      <w:r w:rsidR="009C0741" w:rsidRPr="00606512">
        <w:rPr>
          <w:lang w:val="en-US"/>
        </w:rPr>
        <w:t xml:space="preserve"> for use as food or feed in </w:t>
      </w:r>
      <w:r w:rsidR="009C0741">
        <w:rPr>
          <w:lang w:val="en-US"/>
        </w:rPr>
        <w:t>the EU</w:t>
      </w:r>
      <w:r w:rsidR="009C0741" w:rsidRPr="00606512">
        <w:rPr>
          <w:lang w:val="en-US"/>
        </w:rPr>
        <w:t xml:space="preserve">, member states would </w:t>
      </w:r>
      <w:r w:rsidR="009C0741">
        <w:rPr>
          <w:lang w:val="en-US"/>
        </w:rPr>
        <w:t>be able</w:t>
      </w:r>
      <w:r w:rsidR="009C0741" w:rsidRPr="00606512">
        <w:rPr>
          <w:lang w:val="en-US"/>
        </w:rPr>
        <w:t xml:space="preserve"> to decide on whether to opt out from allowing that particular GMO to be used in their food chain. Opt-out measures should be based on legitimate reasons other than those assessed at EU level (i.e. risk to human or animal health or the environment) and should comply with EU law, which includes the principles of the internal market, and </w:t>
      </w:r>
      <w:r w:rsidR="00253BFC">
        <w:rPr>
          <w:lang w:val="en-US"/>
        </w:rPr>
        <w:t xml:space="preserve">with </w:t>
      </w:r>
      <w:r w:rsidR="009C0741">
        <w:rPr>
          <w:lang w:val="en-US"/>
        </w:rPr>
        <w:t xml:space="preserve">the </w:t>
      </w:r>
      <w:r w:rsidR="009C0741" w:rsidRPr="00606512">
        <w:rPr>
          <w:lang w:val="en-US"/>
        </w:rPr>
        <w:t>EU's international obligations.</w:t>
      </w:r>
    </w:p>
    <w:p w14:paraId="517442CB" w14:textId="77777777" w:rsidR="007B4D94" w:rsidRDefault="007B4D94" w:rsidP="007B4D94">
      <w:pPr>
        <w:pStyle w:val="Sub-itemDebated"/>
      </w:pPr>
      <w:bookmarkStart w:id="9" w:name="_Toc426453480"/>
      <w:r>
        <w:t>Market developments</w:t>
      </w:r>
      <w:bookmarkEnd w:id="9"/>
    </w:p>
    <w:p w14:paraId="74333398" w14:textId="4947DF81" w:rsidR="009C0741" w:rsidRDefault="009C0741" w:rsidP="005353E0">
      <w:pPr>
        <w:spacing w:line="280" w:lineRule="atLeast"/>
      </w:pPr>
      <w:r w:rsidRPr="003D6438">
        <w:t xml:space="preserve">The Council </w:t>
      </w:r>
      <w:r>
        <w:t xml:space="preserve">was briefed by the Commission on </w:t>
      </w:r>
      <w:r w:rsidRPr="003D6438">
        <w:t xml:space="preserve">market </w:t>
      </w:r>
      <w:r>
        <w:t>developments</w:t>
      </w:r>
      <w:r w:rsidRPr="003D6438">
        <w:t xml:space="preserve"> </w:t>
      </w:r>
      <w:r>
        <w:t>and in particular</w:t>
      </w:r>
      <w:r w:rsidRPr="003D6438">
        <w:t xml:space="preserve"> the impact on the EU market of </w:t>
      </w:r>
      <w:r>
        <w:t xml:space="preserve">the </w:t>
      </w:r>
      <w:r w:rsidRPr="003D6438">
        <w:t>import ban on</w:t>
      </w:r>
      <w:r>
        <w:t xml:space="preserve"> EU</w:t>
      </w:r>
      <w:r w:rsidRPr="003D6438">
        <w:t xml:space="preserve"> agricultural product</w:t>
      </w:r>
      <w:r w:rsidR="00253BFC">
        <w:t>s</w:t>
      </w:r>
      <w:r w:rsidRPr="003D6438">
        <w:t xml:space="preserve"> imposed by Russia in August 2014 </w:t>
      </w:r>
      <w:r>
        <w:t>and recently extended (</w:t>
      </w:r>
      <w:hyperlink r:id="rId24" w:tooltip="http://data.consilium.europa.eu/doc/document/ST-10613-2015-INIT/en/pdf" w:history="1">
        <w:r>
          <w:rPr>
            <w:rStyle w:val="Hyperlink"/>
          </w:rPr>
          <w:t>10613/15</w:t>
        </w:r>
      </w:hyperlink>
      <w:r>
        <w:t>)</w:t>
      </w:r>
      <w:r w:rsidRPr="003D6438">
        <w:t>.</w:t>
      </w:r>
    </w:p>
    <w:p w14:paraId="6B4F43DB" w14:textId="2B7DFD75" w:rsidR="009C0741" w:rsidRDefault="009C0741" w:rsidP="005353E0">
      <w:pPr>
        <w:spacing w:line="280" w:lineRule="atLeast"/>
      </w:pPr>
      <w:r>
        <w:t>In addition, the Bulgarian, Czech, Hungarian, Polish, Romanian, Slovenian and Slovak delegations presented the worrying situation on the dairy market (</w:t>
      </w:r>
      <w:hyperlink r:id="rId25" w:tooltip="http://data.consilium.europa.eu/doc/document/ST-10707-2015-INIT/en/pdf" w:history="1">
        <w:r>
          <w:rPr>
            <w:rStyle w:val="Hyperlink"/>
          </w:rPr>
          <w:t>10707/15</w:t>
        </w:r>
      </w:hyperlink>
      <w:r>
        <w:t xml:space="preserve">) and the Austrian delegation briefed the ministers on the difficulties faced by the EU </w:t>
      </w:r>
      <w:proofErr w:type="spellStart"/>
      <w:r>
        <w:t>pigmeat</w:t>
      </w:r>
      <w:proofErr w:type="spellEnd"/>
      <w:r>
        <w:t xml:space="preserve"> sector (</w:t>
      </w:r>
      <w:hyperlink r:id="rId26" w:history="1">
        <w:r w:rsidRPr="001916DE">
          <w:rPr>
            <w:rStyle w:val="Hyperlink"/>
          </w:rPr>
          <w:t>10711/15</w:t>
        </w:r>
      </w:hyperlink>
      <w:r>
        <w:t>).</w:t>
      </w:r>
    </w:p>
    <w:p w14:paraId="5AEB094A" w14:textId="3F647ECF" w:rsidR="009C0741" w:rsidRDefault="009C0741" w:rsidP="009C0741">
      <w:pPr>
        <w:spacing w:line="280" w:lineRule="atLeast"/>
      </w:pPr>
      <w:r>
        <w:t>During the exchange of views between ministers</w:t>
      </w:r>
      <w:r w:rsidR="00253BFC">
        <w:t>,</w:t>
      </w:r>
      <w:r>
        <w:t xml:space="preserve"> which followed, many </w:t>
      </w:r>
      <w:r w:rsidR="00253BFC">
        <w:t>member states expressed concern</w:t>
      </w:r>
      <w:r>
        <w:t xml:space="preserve"> at the consequences for those sectors most affected by the ban including the fruit and vegetables sector. Some delegations noted that the Russian ban is not the only cause of the difficult economic situation faced by the EU milk and the </w:t>
      </w:r>
      <w:proofErr w:type="spellStart"/>
      <w:r>
        <w:t>pigmeat</w:t>
      </w:r>
      <w:proofErr w:type="spellEnd"/>
      <w:r>
        <w:t xml:space="preserve"> sector where there is a significant pressure on prices. A number </w:t>
      </w:r>
      <w:r w:rsidR="00253BFC">
        <w:t xml:space="preserve">of </w:t>
      </w:r>
      <w:r>
        <w:t>m</w:t>
      </w:r>
      <w:r w:rsidRPr="00E06E7C">
        <w:t xml:space="preserve">inisters called for more to be done </w:t>
      </w:r>
      <w:r>
        <w:t>f</w:t>
      </w:r>
      <w:r w:rsidRPr="00E06E7C">
        <w:t>or the sectors concerned</w:t>
      </w:r>
      <w:r>
        <w:t>,</w:t>
      </w:r>
      <w:r w:rsidRPr="00E06E7C">
        <w:t xml:space="preserve"> by extending the scope of certain measures and diversifying the tools used.</w:t>
      </w:r>
    </w:p>
    <w:p w14:paraId="05D048E8" w14:textId="0BA1E0F8" w:rsidR="009C0741" w:rsidRDefault="00253BFC" w:rsidP="005353E0">
      <w:pPr>
        <w:spacing w:line="280" w:lineRule="atLeast"/>
      </w:pPr>
      <w:r>
        <w:t>A number of</w:t>
      </w:r>
      <w:r w:rsidR="009C0741">
        <w:t xml:space="preserve"> delegations </w:t>
      </w:r>
      <w:r>
        <w:t>joined</w:t>
      </w:r>
      <w:r w:rsidR="009C0741">
        <w:t xml:space="preserve"> the Italian delegation </w:t>
      </w:r>
      <w:r>
        <w:t xml:space="preserve">in pointing </w:t>
      </w:r>
      <w:r w:rsidR="009C0741">
        <w:t>out that the future of the sugar sector should also be the focus of the EU's attention (</w:t>
      </w:r>
      <w:hyperlink r:id="rId27" w:tooltip="http://data.consilium.europa.eu/doc/document/ST-10710-2015-INIT/en/pdf" w:history="1">
        <w:r w:rsidR="009C0741">
          <w:rPr>
            <w:rStyle w:val="Hyperlink"/>
          </w:rPr>
          <w:t>10710/15</w:t>
        </w:r>
      </w:hyperlink>
      <w:r w:rsidR="009C0741">
        <w:t xml:space="preserve">). They </w:t>
      </w:r>
      <w:r>
        <w:t>wanted</w:t>
      </w:r>
      <w:r w:rsidR="009C0741">
        <w:t xml:space="preserve"> a soft landing </w:t>
      </w:r>
      <w:r>
        <w:t>when</w:t>
      </w:r>
      <w:r w:rsidR="009C0741">
        <w:t xml:space="preserve"> the quota system</w:t>
      </w:r>
      <w:r>
        <w:t xml:space="preserve"> comes to an end, which is</w:t>
      </w:r>
      <w:r w:rsidR="009C0741">
        <w:t xml:space="preserve"> scheduled for 2017.</w:t>
      </w:r>
    </w:p>
    <w:p w14:paraId="2289AAC6" w14:textId="34C298A3" w:rsidR="009C0741" w:rsidRDefault="009C0741" w:rsidP="004A6FBD">
      <w:pPr>
        <w:spacing w:line="280" w:lineRule="atLeast"/>
      </w:pPr>
      <w:r w:rsidRPr="00FC5E9A">
        <w:t xml:space="preserve">The Commission </w:t>
      </w:r>
      <w:r>
        <w:t xml:space="preserve">announced market measures for fruit and vegetables and milk </w:t>
      </w:r>
      <w:r w:rsidRPr="00FC5E9A">
        <w:t xml:space="preserve">to mitigate </w:t>
      </w:r>
      <w:r>
        <w:t>pressure on prices and the effects of the Russian ban</w:t>
      </w:r>
      <w:r w:rsidR="00253BFC">
        <w:t xml:space="preserve">. Concerning </w:t>
      </w:r>
      <w:proofErr w:type="spellStart"/>
      <w:r w:rsidR="00253BFC">
        <w:t>pig</w:t>
      </w:r>
      <w:r w:rsidRPr="00FC5E9A">
        <w:t>meat</w:t>
      </w:r>
      <w:proofErr w:type="spellEnd"/>
      <w:r w:rsidRPr="00FC5E9A">
        <w:t>, the Commission</w:t>
      </w:r>
      <w:r>
        <w:t xml:space="preserve"> recalled that temporary private storage measures were </w:t>
      </w:r>
      <w:r w:rsidR="004A6FBD">
        <w:t>implemented</w:t>
      </w:r>
      <w:r>
        <w:t xml:space="preserve"> </w:t>
      </w:r>
      <w:r w:rsidR="004A6FBD">
        <w:t>in M</w:t>
      </w:r>
      <w:r>
        <w:t>arch</w:t>
      </w:r>
      <w:r w:rsidRPr="00FC5E9A">
        <w:t xml:space="preserve"> </w:t>
      </w:r>
      <w:r>
        <w:t xml:space="preserve">and </w:t>
      </w:r>
      <w:r w:rsidRPr="00FC5E9A">
        <w:t>indicated its readiness to evaluate the market situation.</w:t>
      </w:r>
    </w:p>
    <w:p w14:paraId="16693424" w14:textId="065D23B9" w:rsidR="009C0741" w:rsidRPr="00FC5E9A" w:rsidRDefault="00EB33B7" w:rsidP="009C0741">
      <w:pPr>
        <w:spacing w:line="280" w:lineRule="atLeast"/>
        <w:rPr>
          <w:b/>
          <w:bCs/>
          <w:i/>
          <w:iCs/>
        </w:rPr>
      </w:pPr>
      <w:r>
        <w:rPr>
          <w:b/>
          <w:bCs/>
          <w:i/>
          <w:iCs/>
        </w:rPr>
        <w:br w:type="page"/>
      </w:r>
      <w:r w:rsidR="009C0741" w:rsidRPr="00FC5E9A">
        <w:rPr>
          <w:b/>
          <w:bCs/>
          <w:i/>
          <w:iCs/>
        </w:rPr>
        <w:lastRenderedPageBreak/>
        <w:t>Background</w:t>
      </w:r>
    </w:p>
    <w:p w14:paraId="5D02041F" w14:textId="37AAF8BD" w:rsidR="009C0741" w:rsidRDefault="009C0741" w:rsidP="005353E0">
      <w:pPr>
        <w:spacing w:line="280" w:lineRule="atLeast"/>
      </w:pPr>
      <w:r w:rsidRPr="00923769">
        <w:t xml:space="preserve">The Russian ban </w:t>
      </w:r>
      <w:r>
        <w:t>applies to</w:t>
      </w:r>
      <w:r w:rsidRPr="00923769">
        <w:t xml:space="preserve"> fruit and vegetables, milk and dairy products and bovine, porcine and poultry meat. </w:t>
      </w:r>
      <w:r>
        <w:t>In 2014, i</w:t>
      </w:r>
      <w:r w:rsidRPr="00923769">
        <w:t>n response to the ban, the Commission triggered emergency market support measures for fruit, vegetables and dairy products, while also providing funds for Common Agricultural Po</w:t>
      </w:r>
      <w:r>
        <w:t>licy (CAP) promotion programmes to explore new market opportunities. Parts of those measures have been extended in 2015.</w:t>
      </w:r>
    </w:p>
    <w:p w14:paraId="09927554" w14:textId="00BEFEB5" w:rsidR="009C0741" w:rsidRDefault="009C0741" w:rsidP="005353E0">
      <w:pPr>
        <w:spacing w:line="280" w:lineRule="atLeast"/>
      </w:pPr>
      <w:r>
        <w:t>Following the decision of EU ministers for foreign affairs to extend the current sanctions against Russia for 6 months (until 31 January 2016), the Russian authorities decided to maintain the ban on EU agricultural products for one more year.</w:t>
      </w:r>
    </w:p>
    <w:p w14:paraId="4B2DE1B6" w14:textId="3E302089" w:rsidR="007B4D94" w:rsidRPr="007B4D94" w:rsidRDefault="007B4D94" w:rsidP="007B4D94">
      <w:pPr>
        <w:pStyle w:val="Sub-itemDebated"/>
      </w:pPr>
      <w:bookmarkStart w:id="10" w:name="_Toc426453481"/>
      <w:r>
        <w:t>School fruit, vegetables and milk scheme</w:t>
      </w:r>
      <w:r w:rsidR="00276321">
        <w:t>s</w:t>
      </w:r>
      <w:bookmarkEnd w:id="10"/>
    </w:p>
    <w:p w14:paraId="3A38F04A" w14:textId="2CC15F5C" w:rsidR="009C0741" w:rsidRDefault="009C0741" w:rsidP="005353E0">
      <w:pPr>
        <w:spacing w:line="280" w:lineRule="atLeast"/>
      </w:pPr>
      <w:r w:rsidRPr="003D6438">
        <w:t xml:space="preserve">The Council </w:t>
      </w:r>
      <w:r>
        <w:t>was briefed by the Commission on the state of play of the evaluation of the school fruit, vegetables and milk schemes (</w:t>
      </w:r>
      <w:hyperlink r:id="rId28" w:tooltip="http://data.consilium.europa.eu/doc/document/ST-10620-2015-INIT/en/pdf" w:history="1">
        <w:r>
          <w:rPr>
            <w:rStyle w:val="Hyperlink"/>
          </w:rPr>
          <w:t>10620/15</w:t>
        </w:r>
      </w:hyperlink>
      <w:r>
        <w:t>).</w:t>
      </w:r>
    </w:p>
    <w:p w14:paraId="35671350" w14:textId="1334291D" w:rsidR="009C0741" w:rsidRDefault="009C0741" w:rsidP="005353E0">
      <w:pPr>
        <w:spacing w:line="280" w:lineRule="atLeast"/>
      </w:pPr>
      <w:r w:rsidRPr="00C07624">
        <w:t xml:space="preserve">Many member states supported </w:t>
      </w:r>
      <w:r w:rsidR="00BB333F" w:rsidRPr="00C07624">
        <w:t xml:space="preserve">the continuation of the schemes, a conclusion resulting from </w:t>
      </w:r>
      <w:r w:rsidRPr="00C07624">
        <w:t xml:space="preserve">the evaluation performed by the Commission on the existing schemes for subsidiarity, proportionality and better regulation reasons as part of the CAP simplification. One of the main </w:t>
      </w:r>
      <w:r w:rsidR="00276321">
        <w:t>findings</w:t>
      </w:r>
      <w:r w:rsidRPr="00C07624">
        <w:t xml:space="preserve"> of the evaluation is that the school schemes are relevant to their objectives to provide better food to children and stimulate the consumption of fresh </w:t>
      </w:r>
      <w:r w:rsidR="004A6FBD" w:rsidRPr="00C07624">
        <w:t>fruits, vegetable and milk. It concluded</w:t>
      </w:r>
      <w:r w:rsidRPr="00C07624">
        <w:t xml:space="preserve"> also that</w:t>
      </w:r>
      <w:r>
        <w:t xml:space="preserve"> adjustments would be needed to ensure that the scheme are cost effective. In line with this evaluation, the Commission asked the Council to start again its examination of the proposals.</w:t>
      </w:r>
    </w:p>
    <w:p w14:paraId="4E5CA207" w14:textId="7E8C4386" w:rsidR="009C0741" w:rsidRDefault="004A6FBD" w:rsidP="004A6FBD">
      <w:pPr>
        <w:spacing w:line="280" w:lineRule="atLeast"/>
      </w:pPr>
      <w:r>
        <w:t>Most of the member states were in favour of the resumption of the examination in the Council. However, s</w:t>
      </w:r>
      <w:r w:rsidR="009C0741">
        <w:t xml:space="preserve">everal delegations pointed out the pending problem of the </w:t>
      </w:r>
      <w:r w:rsidR="00BB333F">
        <w:t>legal</w:t>
      </w:r>
      <w:r w:rsidR="009C0741">
        <w:t xml:space="preserve"> basis of the proposal</w:t>
      </w:r>
      <w:r>
        <w:t>s</w:t>
      </w:r>
      <w:r w:rsidR="009C0741">
        <w:t>.</w:t>
      </w:r>
    </w:p>
    <w:p w14:paraId="52C0C8B3" w14:textId="77777777" w:rsidR="009C0741" w:rsidRPr="003C4144" w:rsidRDefault="009C0741" w:rsidP="009C0741">
      <w:pPr>
        <w:spacing w:line="280" w:lineRule="atLeast"/>
        <w:rPr>
          <w:b/>
          <w:bCs/>
          <w:i/>
          <w:iCs/>
        </w:rPr>
      </w:pPr>
      <w:r w:rsidRPr="003C4144">
        <w:rPr>
          <w:b/>
          <w:bCs/>
          <w:i/>
          <w:iCs/>
        </w:rPr>
        <w:t>Background</w:t>
      </w:r>
    </w:p>
    <w:p w14:paraId="48E052EB" w14:textId="77777777" w:rsidR="009C0741" w:rsidRDefault="009C0741" w:rsidP="009C0741">
      <w:pPr>
        <w:spacing w:line="280" w:lineRule="atLeast"/>
      </w:pPr>
      <w:r>
        <w:t>The School Fruit and Vegetables Scheme and the School Milk Scheme are currently separate programmes (under these schemes EU aid is allocated to member states for the supply of fruit and vegetables and milk in educational establishments). In January 2014, the Commission adopted two proposals merging the schemes and amending the new Single Common Market Organisation (single CMO) regulation under the reformed Common agricultural policy (CAP) (</w:t>
      </w:r>
      <w:hyperlink r:id="rId29" w:tooltip="http://data.consilium.europa.eu/doc/document/ST-5958-2014-INIT/en/pdf" w:history="1">
        <w:r>
          <w:rPr>
            <w:rStyle w:val="Hyperlink"/>
          </w:rPr>
          <w:t>5958/14</w:t>
        </w:r>
      </w:hyperlink>
      <w:r>
        <w:t>) and the regulation fixing certain aids and refunds (</w:t>
      </w:r>
      <w:hyperlink r:id="rId30" w:tooltip="http://data.consilium.europa.eu/doc/document/ST-6054-2014-INIT/en/pdf" w:history="1">
        <w:r>
          <w:rPr>
            <w:rStyle w:val="Hyperlink"/>
          </w:rPr>
          <w:t>6054/14</w:t>
        </w:r>
      </w:hyperlink>
      <w:r>
        <w:t>).</w:t>
      </w:r>
    </w:p>
    <w:p w14:paraId="60D9DDAE" w14:textId="575D07AD" w:rsidR="009C0741" w:rsidRDefault="00EB33B7" w:rsidP="005353E0">
      <w:pPr>
        <w:spacing w:line="280" w:lineRule="atLeast"/>
      </w:pPr>
      <w:r>
        <w:br w:type="page"/>
      </w:r>
      <w:r w:rsidR="009C0741">
        <w:lastRenderedPageBreak/>
        <w:t>The proposals were examined under the Hellenic and Italian Presidencies. In November 2014, the Council sent a letter to the Commission (</w:t>
      </w:r>
      <w:hyperlink r:id="rId31" w:tooltip="http://data.consilium.europa.eu/doc/document/ST-14533-2014-INIT/en/pdf" w:history="1">
        <w:r w:rsidR="009C0741">
          <w:rPr>
            <w:rStyle w:val="Hyperlink"/>
          </w:rPr>
          <w:t>14533/14</w:t>
        </w:r>
      </w:hyperlink>
      <w:r w:rsidR="009C0741">
        <w:t>) asking for the legal basis of the proposal to be changed, arguing that the provisions fixing the level of aid should be based on Article 43(3) TFEU (Council competence). Pending the Commission's reply, the technical examination of the proposals has been suspended in the Council.</w:t>
      </w:r>
    </w:p>
    <w:p w14:paraId="211A5406" w14:textId="0037FD75" w:rsidR="009C0741" w:rsidRDefault="009C0741" w:rsidP="005353E0">
      <w:pPr>
        <w:spacing w:line="280" w:lineRule="atLeast"/>
      </w:pPr>
      <w:r>
        <w:t>The 2015 Commission's Work Programme - published shortly after ab</w:t>
      </w:r>
      <w:r w:rsidR="00632377">
        <w:t xml:space="preserve">ovementioned letter was sent - </w:t>
      </w:r>
      <w:r>
        <w:t>included the school scheme file among those that could be withdrawn. In this context, the Commission evaluated the existing schemes and recommended that the co-legislators put on hold their work on the amending proposals, whose future would depend on the outcome of the evaluation.</w:t>
      </w:r>
    </w:p>
    <w:p w14:paraId="0A162EAB" w14:textId="6DFE2BF4" w:rsidR="009C0741" w:rsidRDefault="009C0741" w:rsidP="005353E0">
      <w:pPr>
        <w:spacing w:line="280" w:lineRule="atLeast"/>
      </w:pPr>
      <w:r>
        <w:t>The European Parliament did not follow the Commission's recommendation to put the file on hold and adopted its position at first reading on 27 May 2015.</w:t>
      </w:r>
    </w:p>
    <w:p w14:paraId="45DEC2F6" w14:textId="77777777" w:rsidR="007340CA" w:rsidRPr="007340CA" w:rsidRDefault="007340CA" w:rsidP="007340CA">
      <w:pPr>
        <w:pStyle w:val="ItemDebated"/>
      </w:pPr>
      <w:bookmarkStart w:id="11" w:name="_Toc426453482"/>
      <w:r w:rsidRPr="007340CA">
        <w:t>ANY OTHER BUSINESS</w:t>
      </w:r>
      <w:bookmarkEnd w:id="11"/>
    </w:p>
    <w:p w14:paraId="0DEA2DEA" w14:textId="77777777" w:rsidR="007B4D94" w:rsidRDefault="007B4D94" w:rsidP="002821A0">
      <w:pPr>
        <w:pStyle w:val="Sub-sub-itemDebated"/>
        <w:numPr>
          <w:ilvl w:val="0"/>
          <w:numId w:val="7"/>
        </w:numPr>
      </w:pPr>
      <w:bookmarkStart w:id="12" w:name="_Toc426453483"/>
      <w:r w:rsidRPr="0074248D">
        <w:t>Research on soils</w:t>
      </w:r>
      <w:bookmarkEnd w:id="12"/>
    </w:p>
    <w:p w14:paraId="6BF0159D" w14:textId="6A9D3D27" w:rsidR="009C0741" w:rsidRDefault="009C0741" w:rsidP="005353E0">
      <w:r>
        <w:t>The French delegation presented an initiative for an international research program</w:t>
      </w:r>
      <w:r w:rsidR="00632377">
        <w:t>me, called '</w:t>
      </w:r>
      <w:r w:rsidR="00632377" w:rsidRPr="0044711B">
        <w:t xml:space="preserve">4 </w:t>
      </w:r>
      <w:r w:rsidR="00632377">
        <w:t>per</w:t>
      </w:r>
      <w:r w:rsidR="00632377" w:rsidRPr="0044711B">
        <w:t xml:space="preserve"> 1000</w:t>
      </w:r>
      <w:r w:rsidR="00632377">
        <w:t>'</w:t>
      </w:r>
      <w:r w:rsidR="00632377" w:rsidRPr="0044711B">
        <w:t>,</w:t>
      </w:r>
      <w:r>
        <w:t xml:space="preserve"> which aims to develop agronomic research to</w:t>
      </w:r>
      <w:r w:rsidR="00632377">
        <w:t xml:space="preserve"> improve organic matter stocks in soils by four</w:t>
      </w:r>
      <w:r>
        <w:t xml:space="preserve"> </w:t>
      </w:r>
      <w:r w:rsidR="00B366BA">
        <w:t>parts per</w:t>
      </w:r>
      <w:r>
        <w:t>1000 per year (</w:t>
      </w:r>
      <w:hyperlink r:id="rId32" w:tooltip="http://data.consilium.europa.eu/doc/document/ST-10709-2015-INIT/en/pdf" w:history="1">
        <w:r w:rsidR="002359C6">
          <w:rPr>
            <w:rStyle w:val="Hyperlink"/>
          </w:rPr>
          <w:t>10709/15</w:t>
        </w:r>
      </w:hyperlink>
      <w:r>
        <w:t>).</w:t>
      </w:r>
    </w:p>
    <w:p w14:paraId="747A1D4C" w14:textId="43DCC136" w:rsidR="009C0741" w:rsidRDefault="009C0741" w:rsidP="005353E0">
      <w:r>
        <w:t>Many member states supported the initiative</w:t>
      </w:r>
      <w:r w:rsidR="00B366BA">
        <w:t>,</w:t>
      </w:r>
      <w:r>
        <w:t xml:space="preserve"> considering it particularly relevant in the framework of the COP 21 conference on climate change which will take place in Paris at the end of the year. They underscored the importance of soils to ensure food security.</w:t>
      </w:r>
    </w:p>
    <w:p w14:paraId="0BC2D0CB" w14:textId="77777777" w:rsidR="009C0741" w:rsidRDefault="009C0741" w:rsidP="009C0741">
      <w:pPr>
        <w:pStyle w:val="Sub-sub-itemDebated"/>
      </w:pPr>
      <w:bookmarkStart w:id="13" w:name="_Toc426453484"/>
      <w:r w:rsidRPr="00F67B8E">
        <w:t xml:space="preserve">Plant </w:t>
      </w:r>
      <w:r>
        <w:t>patenting</w:t>
      </w:r>
      <w:bookmarkEnd w:id="13"/>
    </w:p>
    <w:p w14:paraId="4BD0A9AD" w14:textId="443569AF" w:rsidR="009C0741" w:rsidRDefault="009C0741" w:rsidP="009C0741">
      <w:r>
        <w:t>The Council was briefed by the Netherlands delegation on how plant breeders</w:t>
      </w:r>
      <w:r w:rsidR="00B366BA">
        <w:t>’</w:t>
      </w:r>
      <w:r>
        <w:t xml:space="preserve"> rights could be affected by a recent decision of the European Patent Office extending the possibility to patent certain type of plant varieties (</w:t>
      </w:r>
      <w:hyperlink r:id="rId33" w:tooltip="http://data.consilium.europa.eu/doc/document/ST-10505-2015-INIT/en/pdf" w:history="1">
        <w:r>
          <w:rPr>
            <w:rStyle w:val="Hyperlink"/>
          </w:rPr>
          <w:t>10505/15</w:t>
        </w:r>
      </w:hyperlink>
      <w:r>
        <w:t xml:space="preserve">). </w:t>
      </w:r>
      <w:r w:rsidR="005C28E6">
        <w:t>The Netherlands regretted this decision.</w:t>
      </w:r>
    </w:p>
    <w:p w14:paraId="1F0A38F4" w14:textId="126BC686" w:rsidR="009C0741" w:rsidRDefault="005C28E6" w:rsidP="005353E0">
      <w:r>
        <w:t>Several</w:t>
      </w:r>
      <w:r w:rsidR="009C0741">
        <w:t xml:space="preserve"> member states supported the position of the Netherland</w:t>
      </w:r>
      <w:r w:rsidR="00B366BA">
        <w:t>s</w:t>
      </w:r>
      <w:r w:rsidR="009C0741">
        <w:t xml:space="preserve"> delegation, considering that this could have an impact on food </w:t>
      </w:r>
      <w:r w:rsidR="00B366BA">
        <w:t xml:space="preserve">production and food security, </w:t>
      </w:r>
      <w:r w:rsidR="009C0741">
        <w:t>blocking innovation.</w:t>
      </w:r>
    </w:p>
    <w:p w14:paraId="663799B7" w14:textId="26FC64DF" w:rsidR="009C0741" w:rsidRDefault="00EB33B7" w:rsidP="009C0741">
      <w:pPr>
        <w:pStyle w:val="Sub-sub-itemDebated"/>
      </w:pPr>
      <w:r>
        <w:br w:type="page"/>
      </w:r>
      <w:bookmarkStart w:id="14" w:name="_Toc426453485"/>
      <w:r w:rsidR="009C0741" w:rsidRPr="00737CA9">
        <w:lastRenderedPageBreak/>
        <w:t>Crop protection</w:t>
      </w:r>
      <w:bookmarkEnd w:id="14"/>
    </w:p>
    <w:p w14:paraId="7E1100B5" w14:textId="67EC69AD" w:rsidR="009C0741" w:rsidRDefault="009C0741" w:rsidP="005353E0">
      <w:r>
        <w:t>The Netherland</w:t>
      </w:r>
      <w:r w:rsidR="00801095">
        <w:t>s</w:t>
      </w:r>
      <w:r>
        <w:t xml:space="preserve"> delegation gave </w:t>
      </w:r>
      <w:r w:rsidR="00B366BA">
        <w:t xml:space="preserve">ministers </w:t>
      </w:r>
      <w:r>
        <w:t>details to the ministers on an initiative to further reduce the use of risky pesticides and to move faster with the transition towards sustainable crop protection (</w:t>
      </w:r>
      <w:hyperlink r:id="rId34" w:tooltip="http://data.consilium.europa.eu/doc/document/ST-10655-2015-INIT/en/pdf" w:history="1">
        <w:r>
          <w:rPr>
            <w:rStyle w:val="Hyperlink"/>
          </w:rPr>
          <w:t>10655/15</w:t>
        </w:r>
      </w:hyperlink>
      <w:r>
        <w:t>).</w:t>
      </w:r>
    </w:p>
    <w:p w14:paraId="6D5509ED" w14:textId="4C17A1E2" w:rsidR="009C0741" w:rsidRDefault="009C0741" w:rsidP="005353E0">
      <w:r>
        <w:t xml:space="preserve">Many </w:t>
      </w:r>
      <w:r w:rsidR="005C28E6">
        <w:t>Council members</w:t>
      </w:r>
      <w:r>
        <w:t xml:space="preserve"> supported the </w:t>
      </w:r>
      <w:r w:rsidR="00B366BA">
        <w:t>proposal</w:t>
      </w:r>
      <w:r>
        <w:t xml:space="preserve"> </w:t>
      </w:r>
      <w:r w:rsidR="005C28E6">
        <w:t>of</w:t>
      </w:r>
      <w:r>
        <w:t xml:space="preserve"> the Netherland</w:t>
      </w:r>
      <w:r w:rsidR="00B366BA">
        <w:t>s</w:t>
      </w:r>
      <w:r>
        <w:t xml:space="preserve"> delegation </w:t>
      </w:r>
      <w:r w:rsidR="005C28E6">
        <w:t>and stressed the importance of the</w:t>
      </w:r>
      <w:r>
        <w:t xml:space="preserve"> issue.</w:t>
      </w:r>
    </w:p>
    <w:p w14:paraId="726AB1C5" w14:textId="77777777" w:rsidR="007B4D94" w:rsidRDefault="007B4D94" w:rsidP="007B4D94">
      <w:pPr>
        <w:pStyle w:val="Sub-sub-itemDebated"/>
      </w:pPr>
      <w:bookmarkStart w:id="15" w:name="_Toc426453486"/>
      <w:r w:rsidRPr="00055D2D">
        <w:t>Forestry</w:t>
      </w:r>
      <w:bookmarkEnd w:id="15"/>
    </w:p>
    <w:p w14:paraId="0232C955" w14:textId="5329D3DB" w:rsidR="009C0741" w:rsidRPr="009C0741" w:rsidRDefault="009C0741" w:rsidP="005353E0">
      <w:r w:rsidRPr="009C0741">
        <w:t>The Slovenian delegation briefed ministers on the outcome of the ASEM (Asia-Europe Meeting) conference on sustainable management and use of forests which took place in Ljubljana from 24 to 27 May (</w:t>
      </w:r>
      <w:hyperlink r:id="rId35" w:tooltip="http://data.consilium.europa.eu/doc/document/ST-10657-2015-INIT/en/pdf" w:history="1">
        <w:r>
          <w:rPr>
            <w:rStyle w:val="Hyperlink"/>
          </w:rPr>
          <w:t>10657/15</w:t>
        </w:r>
      </w:hyperlink>
      <w:r w:rsidRPr="009C0741">
        <w:t>).</w:t>
      </w:r>
    </w:p>
    <w:p w14:paraId="7162719B" w14:textId="77777777" w:rsidR="00642D61" w:rsidRDefault="007B4D94" w:rsidP="009C0741">
      <w:pPr>
        <w:pStyle w:val="Sub-sub-itemDebated"/>
      </w:pPr>
      <w:bookmarkStart w:id="16" w:name="_Toc426453487"/>
      <w:r w:rsidRPr="00851138">
        <w:t>Blue week</w:t>
      </w:r>
      <w:bookmarkEnd w:id="16"/>
    </w:p>
    <w:p w14:paraId="68AD3C32" w14:textId="035AC281" w:rsidR="009C0741" w:rsidRDefault="009C0741" w:rsidP="005353E0">
      <w:pPr>
        <w:spacing w:line="280" w:lineRule="atLeast"/>
      </w:pPr>
      <w:r>
        <w:t>The Portuguese delegation presented the main issues discussed in the ministerial meeting which took place on the 5 June during the Blue Week (</w:t>
      </w:r>
      <w:hyperlink r:id="rId36" w:tooltip="http://data.consilium.europa.eu/doc/document/ST-10698-2015-INIT/en/pdf" w:history="1">
        <w:r>
          <w:rPr>
            <w:rStyle w:val="Hyperlink"/>
          </w:rPr>
          <w:t>10698/15</w:t>
        </w:r>
      </w:hyperlink>
      <w:r>
        <w:t xml:space="preserve">). This event </w:t>
      </w:r>
      <w:r w:rsidR="00B366BA">
        <w:t>sought to promote</w:t>
      </w:r>
      <w:r>
        <w:t xml:space="preserve"> at the same time the preservation of the ocean and </w:t>
      </w:r>
      <w:r w:rsidR="00B366BA">
        <w:t xml:space="preserve">at the same time </w:t>
      </w:r>
      <w:r>
        <w:t>the growth of the blue economy.</w:t>
      </w:r>
    </w:p>
    <w:p w14:paraId="58EB48DE" w14:textId="77777777" w:rsidR="009C0741" w:rsidRDefault="009C0741" w:rsidP="00642D61">
      <w:pPr>
        <w:sectPr w:rsidR="009C0741" w:rsidSect="00230F20">
          <w:footnotePr>
            <w:numRestart w:val="eachPage"/>
          </w:footnotePr>
          <w:pgSz w:w="11907" w:h="16840" w:code="9"/>
          <w:pgMar w:top="1134" w:right="1134" w:bottom="1134" w:left="1134" w:header="567" w:footer="567" w:gutter="0"/>
          <w:cols w:space="708"/>
          <w:docGrid w:linePitch="360"/>
        </w:sectPr>
      </w:pPr>
    </w:p>
    <w:p w14:paraId="111B10DE" w14:textId="77777777" w:rsidR="00D15446" w:rsidRDefault="00D15446" w:rsidP="00D15446">
      <w:pPr>
        <w:pStyle w:val="ItemsApprovedHeading"/>
      </w:pPr>
      <w:r w:rsidRPr="00D15446">
        <w:lastRenderedPageBreak/>
        <w:t>OTHER ITEMS APPROVED</w:t>
      </w:r>
    </w:p>
    <w:p w14:paraId="5662DB61" w14:textId="77777777" w:rsidR="00D31686" w:rsidRPr="00FB563F" w:rsidRDefault="00D31686" w:rsidP="00D31686">
      <w:pPr>
        <w:pStyle w:val="ItemApproved"/>
      </w:pPr>
      <w:r w:rsidRPr="00FB563F">
        <w:t>FISHERIES</w:t>
      </w:r>
    </w:p>
    <w:p w14:paraId="29870410" w14:textId="77777777" w:rsidR="00321ED6" w:rsidRDefault="00321ED6" w:rsidP="00321ED6">
      <w:pPr>
        <w:pStyle w:val="Sub-itemApproved"/>
      </w:pPr>
      <w:bookmarkStart w:id="17" w:name="_Toc426453489"/>
      <w:r w:rsidRPr="00CB7E5F">
        <w:t xml:space="preserve">General fisheries Commission for the Mediterranean - </w:t>
      </w:r>
      <w:r>
        <w:t>Adoption of the Council position</w:t>
      </w:r>
      <w:bookmarkEnd w:id="17"/>
    </w:p>
    <w:p w14:paraId="3BB39BE6" w14:textId="1AA69B45" w:rsidR="00321ED6" w:rsidRDefault="00321ED6" w:rsidP="005353E0">
      <w:r w:rsidRPr="00CB7E5F">
        <w:t xml:space="preserve">The Council </w:t>
      </w:r>
      <w:r>
        <w:t>adopted its position at first reading on</w:t>
      </w:r>
      <w:r w:rsidRPr="00CB7E5F">
        <w:t xml:space="preserve"> </w:t>
      </w:r>
      <w:r>
        <w:t xml:space="preserve">an amendment to </w:t>
      </w:r>
      <w:hyperlink r:id="rId37" w:history="1">
        <w:r w:rsidRPr="00F36E60">
          <w:rPr>
            <w:rStyle w:val="Hyperlink"/>
          </w:rPr>
          <w:t>regulation 1343/2011</w:t>
        </w:r>
      </w:hyperlink>
      <w:r>
        <w:t xml:space="preserve"> on certain provisions for fishing in the GFCM (General Fisheries Commission for the Mediterranean) Agreement area with the United Kingdom abstaining (</w:t>
      </w:r>
      <w:hyperlink r:id="rId38" w:tooltip="http://data.consilium.europa.eu/doc/document/ST-8806-2015-INIT/en/pdf" w:history="1">
        <w:r w:rsidRPr="00321ED6">
          <w:rPr>
            <w:rStyle w:val="Hyperlink"/>
            <w:i/>
            <w:iCs/>
          </w:rPr>
          <w:t>8806/15</w:t>
        </w:r>
      </w:hyperlink>
      <w:r>
        <w:t>).</w:t>
      </w:r>
    </w:p>
    <w:p w14:paraId="7470A855" w14:textId="2AAA5727" w:rsidR="00321ED6" w:rsidRDefault="00321ED6" w:rsidP="00321ED6">
      <w:r>
        <w:t xml:space="preserve">The proposal </w:t>
      </w:r>
      <w:r w:rsidR="00B366BA">
        <w:t>seeks to transpose into</w:t>
      </w:r>
      <w:r>
        <w:t xml:space="preserve"> EU law a number of measures adopted by the GFCM at its annual sessions of 2011, 2012 and 2013. </w:t>
      </w:r>
      <w:r w:rsidRPr="00CB7E5F">
        <w:t>The EU</w:t>
      </w:r>
      <w:r w:rsidR="00B366BA">
        <w:t>, is a contracting party</w:t>
      </w:r>
      <w:r w:rsidRPr="00CB7E5F">
        <w:t xml:space="preserve"> </w:t>
      </w:r>
      <w:r w:rsidR="00FA2CA2">
        <w:t xml:space="preserve">to the GFCM, </w:t>
      </w:r>
      <w:r w:rsidR="00B366BA" w:rsidRPr="00CB7E5F">
        <w:t>a regional fisheries management organisation (RFMO) established under the FAO Constitution</w:t>
      </w:r>
      <w:r w:rsidR="00FA2CA2">
        <w:t>,</w:t>
      </w:r>
      <w:r w:rsidR="00B366BA" w:rsidRPr="00CB7E5F">
        <w:t xml:space="preserve"> </w:t>
      </w:r>
      <w:r w:rsidRPr="00CB7E5F">
        <w:t xml:space="preserve">as </w:t>
      </w:r>
      <w:r w:rsidR="00B366BA">
        <w:t>are</w:t>
      </w:r>
      <w:r w:rsidRPr="00CB7E5F">
        <w:t xml:space="preserve"> Bulgaria, Croatia, Cyprus, France, Greece, Italy, Malta, Romania, Slovenia and Spain. The GFCM may, on the basis of scientific advice, adopt recommendations and resolutions designed to promote the development, conservation, rational management and best utilisation of stocks of living aquatic resources in the Mediterranean and the Black Sea at levels which are considered sustainable and low risk.</w:t>
      </w:r>
      <w:r w:rsidRPr="00CB7E5F">
        <w:rPr>
          <w:bCs/>
        </w:rPr>
        <w:t xml:space="preserve"> </w:t>
      </w:r>
      <w:r w:rsidRPr="00CB7E5F">
        <w:t>Since recommendations adopted by the GFCM are binding on its contracting parties, they should be transposed into EU law.</w:t>
      </w:r>
      <w:r>
        <w:t xml:space="preserve"> The last transposition of GFCM decisions was done by means of </w:t>
      </w:r>
      <w:hyperlink r:id="rId39" w:history="1">
        <w:r w:rsidRPr="00F36E60">
          <w:rPr>
            <w:rStyle w:val="Hyperlink"/>
          </w:rPr>
          <w:t>regulation 1343/2011</w:t>
        </w:r>
      </w:hyperlink>
      <w:r>
        <w:t>. The current proposal will insert into that legislative act the measures to be transposed by way of amendments to it.</w:t>
      </w:r>
    </w:p>
    <w:p w14:paraId="20F6C6A8" w14:textId="24EA9E11" w:rsidR="00321ED6" w:rsidRDefault="00321ED6" w:rsidP="005353E0">
      <w:r w:rsidRPr="0000696E">
        <w:t>The Europe</w:t>
      </w:r>
      <w:r>
        <w:t xml:space="preserve">an Parliament approved </w:t>
      </w:r>
      <w:r w:rsidR="005C28E6">
        <w:t>its position</w:t>
      </w:r>
      <w:r w:rsidRPr="0000696E">
        <w:t xml:space="preserve"> at the meeting of its Committee on Fisheries on </w:t>
      </w:r>
      <w:r>
        <w:t>11 May 2015</w:t>
      </w:r>
      <w:r w:rsidRPr="0000696E">
        <w:t>. Now</w:t>
      </w:r>
      <w:r>
        <w:t xml:space="preserve">, </w:t>
      </w:r>
      <w:r w:rsidR="00FA2CA2">
        <w:t>following</w:t>
      </w:r>
      <w:r>
        <w:t xml:space="preserve"> the adoption of the Council's position,</w:t>
      </w:r>
      <w:r w:rsidRPr="0000696E">
        <w:t xml:space="preserve"> the European Parliament </w:t>
      </w:r>
      <w:r>
        <w:t>is expected to</w:t>
      </w:r>
      <w:r w:rsidRPr="0000696E">
        <w:t xml:space="preserve"> prepare adoption of the same text in early second reading</w:t>
      </w:r>
      <w:r>
        <w:t>.</w:t>
      </w:r>
    </w:p>
    <w:p w14:paraId="063485FC" w14:textId="77777777" w:rsidR="004F6064" w:rsidRPr="0018755E" w:rsidRDefault="004F6064" w:rsidP="004F6064">
      <w:pPr>
        <w:pStyle w:val="ItemApproved"/>
      </w:pPr>
      <w:r w:rsidRPr="0018755E">
        <w:t>FOREIGN AFFAIRS</w:t>
      </w:r>
    </w:p>
    <w:p w14:paraId="2804B7D7" w14:textId="77777777" w:rsidR="004F6064" w:rsidRDefault="004F6064" w:rsidP="004F6064">
      <w:pPr>
        <w:pStyle w:val="Sub-itemApproved"/>
      </w:pPr>
      <w:bookmarkStart w:id="18" w:name="_Toc426453491"/>
      <w:r>
        <w:t>Restrictive measures - Belarus</w:t>
      </w:r>
      <w:bookmarkEnd w:id="18"/>
    </w:p>
    <w:p w14:paraId="580D7BC9" w14:textId="76CA6AC8" w:rsidR="004F6064" w:rsidRDefault="004F6064" w:rsidP="005353E0">
      <w:r>
        <w:t>The Council amended the list of persons and entities subject to restrictive measures, including a travel ban and an asset freeze, against the Belarusian regime. These sanctions were imposed and are maintained in view of the continued violation of human rights, democratic principles and the rule of law.</w:t>
      </w:r>
    </w:p>
    <w:p w14:paraId="371827EC" w14:textId="2D464C28" w:rsidR="004F6064" w:rsidRDefault="004F6064" w:rsidP="005353E0">
      <w:r w:rsidRPr="00653D70">
        <w:t>The review updates the list of persons and entities targeted as the Council considered there were</w:t>
      </w:r>
      <w:r>
        <w:t xml:space="preserve"> </w:t>
      </w:r>
      <w:r w:rsidRPr="00653D70">
        <w:t xml:space="preserve">no longer grounds for keeping </w:t>
      </w:r>
      <w:r>
        <w:t>two</w:t>
      </w:r>
      <w:r w:rsidRPr="00653D70">
        <w:t xml:space="preserve"> persons and </w:t>
      </w:r>
      <w:r>
        <w:t xml:space="preserve">four </w:t>
      </w:r>
      <w:r w:rsidRPr="00653D70">
        <w:t>entities under restrictions. This decision does</w:t>
      </w:r>
      <w:r>
        <w:t xml:space="preserve"> </w:t>
      </w:r>
      <w:r w:rsidRPr="00653D70">
        <w:t>not reflect any change in the EU's policy towards Belarus, as set out in the Council conclusions of</w:t>
      </w:r>
      <w:r>
        <w:t xml:space="preserve"> </w:t>
      </w:r>
      <w:r w:rsidR="00E77DC6">
        <w:t>15 October 2012</w:t>
      </w:r>
      <w:r w:rsidRPr="00653D70">
        <w:t xml:space="preserve"> the EU maintains its policy of critical engagement with Belarus, intended to</w:t>
      </w:r>
      <w:r>
        <w:t xml:space="preserve"> </w:t>
      </w:r>
      <w:r w:rsidRPr="00653D70">
        <w:t>promote respect for human rights, the rule of law and democratic principles in Belarus.</w:t>
      </w:r>
    </w:p>
    <w:p w14:paraId="506B4F78" w14:textId="77777777" w:rsidR="004F6064" w:rsidRDefault="004F6064" w:rsidP="004F6064">
      <w:pPr>
        <w:pStyle w:val="ItemApproved"/>
      </w:pPr>
      <w:r>
        <w:lastRenderedPageBreak/>
        <w:t>ENLARGEMENT</w:t>
      </w:r>
    </w:p>
    <w:p w14:paraId="3FD48882" w14:textId="60DE3CC5" w:rsidR="004F6064" w:rsidRDefault="004F6064" w:rsidP="004F6064">
      <w:pPr>
        <w:pStyle w:val="Sub-itemApproved"/>
      </w:pPr>
      <w:bookmarkStart w:id="19" w:name="_Toc426453493"/>
      <w:r>
        <w:t>Relations with</w:t>
      </w:r>
      <w:r w:rsidR="00E77DC6">
        <w:t xml:space="preserve"> the</w:t>
      </w:r>
      <w:r>
        <w:t xml:space="preserve"> former Yugoslav Republic of Macedonia</w:t>
      </w:r>
      <w:bookmarkEnd w:id="19"/>
    </w:p>
    <w:p w14:paraId="5785BBDE" w14:textId="77777777" w:rsidR="004F6064" w:rsidRDefault="004F6064" w:rsidP="004F6064">
      <w:r>
        <w:t>The Council adopted the EU position for the twelfth meeting of the Stabilisation and Association Council between the EU and the former Yugoslav Republic of Macedonia. The meeting will be held in Brussels on 20 July 2015.</w:t>
      </w:r>
    </w:p>
    <w:p w14:paraId="408508EB" w14:textId="77777777" w:rsidR="004F6064" w:rsidRPr="003D2E91" w:rsidRDefault="004F6064" w:rsidP="004F6064">
      <w:pPr>
        <w:pStyle w:val="ItemApproved"/>
      </w:pPr>
      <w:r w:rsidRPr="003D2E91">
        <w:t>COMMON SECURITY AND DEFENCE POLICY</w:t>
      </w:r>
    </w:p>
    <w:p w14:paraId="4AB3EDF8" w14:textId="291E883A" w:rsidR="004F6064" w:rsidRPr="00453EE0" w:rsidRDefault="004F6064" w:rsidP="005353E0">
      <w:pPr>
        <w:pStyle w:val="Sub-itemApproved"/>
      </w:pPr>
      <w:bookmarkStart w:id="20" w:name="_Toc426453495"/>
      <w:r w:rsidRPr="00453EE0">
        <w:t>EUCAP Sahel Niger</w:t>
      </w:r>
      <w:bookmarkEnd w:id="20"/>
    </w:p>
    <w:p w14:paraId="73BD31AF" w14:textId="6E7CFAE6" w:rsidR="004F6064" w:rsidRPr="003D2E91" w:rsidRDefault="004F6064" w:rsidP="004F6064">
      <w:pPr>
        <w:rPr>
          <w:rFonts w:asciiTheme="majorBidi" w:hAnsiTheme="majorBidi" w:cstheme="majorBidi"/>
        </w:rPr>
      </w:pPr>
      <w:r w:rsidRPr="003D2E91">
        <w:rPr>
          <w:rFonts w:asciiTheme="majorBidi" w:hAnsiTheme="majorBidi" w:cstheme="majorBidi"/>
        </w:rPr>
        <w:t xml:space="preserve">The Council adopted the financial reference amount of EUR 9 800 000 </w:t>
      </w:r>
      <w:r w:rsidR="00E77DC6">
        <w:rPr>
          <w:rFonts w:asciiTheme="majorBidi" w:hAnsiTheme="majorBidi" w:cstheme="majorBidi"/>
        </w:rPr>
        <w:t>to cover expenditure relating</w:t>
      </w:r>
      <w:r w:rsidRPr="003D2E91">
        <w:rPr>
          <w:rFonts w:asciiTheme="majorBidi" w:hAnsiTheme="majorBidi" w:cstheme="majorBidi"/>
        </w:rPr>
        <w:t xml:space="preserve"> to EUCAP Sahel Niger for the period 16 July 2015 to 15 July 2016. This decision follows the agreement by the Council on 13 May 2015 to reinforce the civilian mission EUCAP Sahel Niger as part of the actions of the European Union to prevent irregular migration.</w:t>
      </w:r>
    </w:p>
    <w:p w14:paraId="3C280AAC" w14:textId="7D11A644" w:rsidR="004F6064" w:rsidRPr="003D2E91" w:rsidRDefault="004F6064" w:rsidP="005353E0">
      <w:pPr>
        <w:rPr>
          <w:rFonts w:asciiTheme="majorBidi" w:hAnsiTheme="majorBidi" w:cstheme="majorBidi"/>
        </w:rPr>
      </w:pPr>
      <w:r w:rsidRPr="003D2E91">
        <w:rPr>
          <w:rFonts w:asciiTheme="majorBidi" w:hAnsiTheme="majorBidi" w:cstheme="majorBidi"/>
        </w:rPr>
        <w:t xml:space="preserve">See: </w:t>
      </w:r>
      <w:hyperlink r:id="rId40" w:history="1">
        <w:r w:rsidRPr="003D2E91">
          <w:rPr>
            <w:rStyle w:val="Hyperlink"/>
            <w:rFonts w:asciiTheme="majorBidi" w:hAnsiTheme="majorBidi" w:cstheme="majorBidi"/>
          </w:rPr>
          <w:t>press release</w:t>
        </w:r>
      </w:hyperlink>
      <w:r w:rsidRPr="003D2E91">
        <w:rPr>
          <w:rFonts w:asciiTheme="majorBidi" w:hAnsiTheme="majorBidi" w:cstheme="majorBidi"/>
        </w:rPr>
        <w:t xml:space="preserve"> of 13 May on the reinforcement of EUCAP Sahel Niger</w:t>
      </w:r>
    </w:p>
    <w:p w14:paraId="672E4B50" w14:textId="77777777" w:rsidR="004F6064" w:rsidRDefault="004F6064" w:rsidP="004F6064">
      <w:pPr>
        <w:pStyle w:val="ItemApproved"/>
      </w:pPr>
      <w:r>
        <w:t>ECONOMIC AND FINANCIAL AFFAIRS</w:t>
      </w:r>
    </w:p>
    <w:p w14:paraId="760C2C4D" w14:textId="77777777" w:rsidR="004F6064" w:rsidRDefault="004F6064" w:rsidP="004F6064">
      <w:pPr>
        <w:pStyle w:val="Sub-itemApproved"/>
        <w:rPr>
          <w:rFonts w:eastAsia="Calibri"/>
          <w:lang w:eastAsia="en-GB"/>
        </w:rPr>
      </w:pPr>
      <w:bookmarkStart w:id="21" w:name="_Toc426453497"/>
      <w:r w:rsidRPr="00642D61">
        <w:rPr>
          <w:rFonts w:eastAsia="Calibri"/>
          <w:lang w:eastAsia="en-GB"/>
        </w:rPr>
        <w:t>Deficit data in Valencia</w:t>
      </w:r>
      <w:bookmarkEnd w:id="21"/>
    </w:p>
    <w:p w14:paraId="4C0C89EC" w14:textId="7B28BFF0" w:rsidR="004F6064" w:rsidRDefault="004F6064" w:rsidP="005353E0">
      <w:pPr>
        <w:rPr>
          <w:rFonts w:asciiTheme="majorBidi" w:hAnsiTheme="majorBidi" w:cstheme="majorBidi"/>
        </w:rPr>
      </w:pPr>
      <w:r>
        <w:rPr>
          <w:rFonts w:asciiTheme="majorBidi" w:hAnsiTheme="majorBidi" w:cstheme="majorBidi"/>
        </w:rPr>
        <w:t>The Council imposed on Spain a fine of €18.93 million for the manipulation of deficit data in the Autonomous Community of Valencia (</w:t>
      </w:r>
      <w:proofErr w:type="spellStart"/>
      <w:r>
        <w:rPr>
          <w:rFonts w:asciiTheme="majorBidi" w:hAnsiTheme="majorBidi" w:cstheme="majorBidi"/>
        </w:rPr>
        <w:t>Comunidad</w:t>
      </w:r>
      <w:proofErr w:type="spellEnd"/>
      <w:r>
        <w:rPr>
          <w:rFonts w:asciiTheme="majorBidi" w:hAnsiTheme="majorBidi" w:cstheme="majorBidi"/>
        </w:rPr>
        <w:t xml:space="preserve"> </w:t>
      </w:r>
      <w:proofErr w:type="spellStart"/>
      <w:r>
        <w:rPr>
          <w:rFonts w:asciiTheme="majorBidi" w:hAnsiTheme="majorBidi" w:cstheme="majorBidi"/>
        </w:rPr>
        <w:t>Valenciana</w:t>
      </w:r>
      <w:proofErr w:type="spellEnd"/>
      <w:r>
        <w:rPr>
          <w:rFonts w:asciiTheme="majorBidi" w:hAnsiTheme="majorBidi" w:cstheme="majorBidi"/>
        </w:rPr>
        <w:t>).</w:t>
      </w:r>
    </w:p>
    <w:p w14:paraId="1813F7A2" w14:textId="77777777" w:rsidR="004F6064" w:rsidRDefault="004F6064" w:rsidP="004F6064">
      <w:pPr>
        <w:rPr>
          <w:rFonts w:asciiTheme="majorBidi" w:hAnsiTheme="majorBidi" w:cstheme="majorBidi"/>
        </w:rPr>
      </w:pPr>
      <w:r>
        <w:rPr>
          <w:rFonts w:asciiTheme="majorBidi" w:hAnsiTheme="majorBidi" w:cstheme="majorBidi"/>
        </w:rPr>
        <w:t xml:space="preserve">See </w:t>
      </w:r>
      <w:hyperlink r:id="rId41" w:history="1">
        <w:r w:rsidRPr="00642D61">
          <w:rPr>
            <w:rStyle w:val="Hyperlink"/>
            <w:rFonts w:asciiTheme="majorBidi" w:hAnsiTheme="majorBidi" w:cstheme="majorBidi"/>
          </w:rPr>
          <w:t>press release</w:t>
        </w:r>
      </w:hyperlink>
    </w:p>
    <w:p w14:paraId="510FAD9C" w14:textId="77777777" w:rsidR="004F6064" w:rsidRPr="003D2E91" w:rsidRDefault="004F6064" w:rsidP="004F6064">
      <w:pPr>
        <w:pStyle w:val="ItemApproved"/>
      </w:pPr>
      <w:r w:rsidRPr="003D2E91">
        <w:t>EUROPEAN ECONOMIC AREA</w:t>
      </w:r>
    </w:p>
    <w:p w14:paraId="61841682" w14:textId="77777777" w:rsidR="004F6064" w:rsidRPr="003D2E91" w:rsidRDefault="004F6064" w:rsidP="004F6064">
      <w:pPr>
        <w:pStyle w:val="Sub-itemApproved"/>
      </w:pPr>
      <w:bookmarkStart w:id="22" w:name="_Toc426453499"/>
      <w:r w:rsidRPr="003D2E91">
        <w:t>Alignment of technical standards to EU legislation</w:t>
      </w:r>
      <w:bookmarkEnd w:id="22"/>
    </w:p>
    <w:p w14:paraId="41AD215B" w14:textId="7301AE43" w:rsidR="004F6064" w:rsidRDefault="004F6064" w:rsidP="005353E0">
      <w:pPr>
        <w:pStyle w:val="PointManual"/>
        <w:spacing w:before="0" w:after="0" w:line="240" w:lineRule="auto"/>
        <w:ind w:left="0" w:firstLine="0"/>
      </w:pPr>
      <w:r>
        <w:t>The Council adopted a decision on the position to be adopted, on behalf of the EU, in the EEA joint committee concerning an amendment to annex II to the EEA agreement.</w:t>
      </w:r>
    </w:p>
    <w:p w14:paraId="64039868" w14:textId="022493B2" w:rsidR="004F6064" w:rsidRDefault="004F6064" w:rsidP="005353E0">
      <w:pPr>
        <w:spacing w:before="0" w:after="0"/>
        <w:rPr>
          <w:b/>
          <w:bCs/>
          <w:i/>
          <w:iCs/>
          <w:u w:val="single"/>
        </w:rPr>
      </w:pPr>
      <w:r>
        <w:rPr>
          <w:rFonts w:eastAsia="Calibri"/>
        </w:rPr>
        <w:t xml:space="preserve">This </w:t>
      </w:r>
      <w:r w:rsidRPr="005602A4">
        <w:rPr>
          <w:rFonts w:eastAsia="Calibri"/>
        </w:rPr>
        <w:t xml:space="preserve">amendment </w:t>
      </w:r>
      <w:r>
        <w:rPr>
          <w:rFonts w:eastAsia="Calibri"/>
        </w:rPr>
        <w:t>aligns</w:t>
      </w:r>
      <w:r w:rsidRPr="005602A4">
        <w:rPr>
          <w:noProof/>
        </w:rPr>
        <w:t xml:space="preserve"> </w:t>
      </w:r>
      <w:r>
        <w:rPr>
          <w:noProof/>
        </w:rPr>
        <w:t>a</w:t>
      </w:r>
      <w:r w:rsidRPr="005602A4">
        <w:rPr>
          <w:noProof/>
        </w:rPr>
        <w:t>nnex II (</w:t>
      </w:r>
      <w:r>
        <w:rPr>
          <w:noProof/>
        </w:rPr>
        <w:t>t</w:t>
      </w:r>
      <w:r w:rsidRPr="005602A4">
        <w:rPr>
          <w:noProof/>
        </w:rPr>
        <w:t xml:space="preserve">echnical regulations, standards, testing and certification) </w:t>
      </w:r>
      <w:r w:rsidR="00E77DC6">
        <w:rPr>
          <w:noProof/>
        </w:rPr>
        <w:t>with</w:t>
      </w:r>
      <w:r>
        <w:rPr>
          <w:noProof/>
        </w:rPr>
        <w:t xml:space="preserve"> </w:t>
      </w:r>
      <w:r w:rsidRPr="005602A4">
        <w:rPr>
          <w:noProof/>
        </w:rPr>
        <w:t xml:space="preserve">relevant EU legislation </w:t>
      </w:r>
      <w:r>
        <w:rPr>
          <w:noProof/>
        </w:rPr>
        <w:t>(</w:t>
      </w:r>
      <w:hyperlink r:id="rId42" w:tooltip="http://data.consilium.europa.eu/doc/document/ST-8589-2015-INIT/en/pdf" w:history="1">
        <w:r>
          <w:rPr>
            <w:rStyle w:val="Hyperlink"/>
            <w:noProof/>
          </w:rPr>
          <w:t>8589/15</w:t>
        </w:r>
      </w:hyperlink>
      <w:r>
        <w:rPr>
          <w:noProof/>
        </w:rPr>
        <w:t>).</w:t>
      </w:r>
    </w:p>
    <w:p w14:paraId="12BE3927" w14:textId="6F92AF89" w:rsidR="004F6064" w:rsidRDefault="002821A0" w:rsidP="004F6064">
      <w:pPr>
        <w:pStyle w:val="ItemApproved"/>
      </w:pPr>
      <w:r>
        <w:br w:type="page"/>
      </w:r>
      <w:r w:rsidR="004F6064" w:rsidRPr="0016508D">
        <w:lastRenderedPageBreak/>
        <w:t>TRADE POLICY</w:t>
      </w:r>
    </w:p>
    <w:p w14:paraId="26A35999" w14:textId="77777777" w:rsidR="004F6064" w:rsidRPr="003D2E91" w:rsidRDefault="004F6064" w:rsidP="004F6064">
      <w:pPr>
        <w:pStyle w:val="Sub-itemApproved"/>
      </w:pPr>
      <w:bookmarkStart w:id="23" w:name="_Toc426453501"/>
      <w:r w:rsidRPr="0016508D">
        <w:t>Agreement with Andorra - Change in the rules of origin</w:t>
      </w:r>
      <w:bookmarkEnd w:id="23"/>
    </w:p>
    <w:p w14:paraId="186EDD05" w14:textId="45A92BE1" w:rsidR="004F6064" w:rsidRDefault="004F6064" w:rsidP="005353E0">
      <w:pPr>
        <w:pStyle w:val="PointManual"/>
        <w:spacing w:before="0" w:after="0" w:line="240" w:lineRule="auto"/>
        <w:ind w:left="0" w:firstLine="0"/>
      </w:pPr>
      <w:r>
        <w:t>The Council adopted a decision on the position to be taken on behalf of the EU within the joint committee</w:t>
      </w:r>
      <w:r w:rsidRPr="00E34494">
        <w:t xml:space="preserve"> </w:t>
      </w:r>
      <w:r>
        <w:t>as regards the replacement of the a</w:t>
      </w:r>
      <w:r w:rsidRPr="0088227D">
        <w:t>ppendix</w:t>
      </w:r>
      <w:r w:rsidRPr="00217E79">
        <w:rPr>
          <w:b/>
        </w:rPr>
        <w:t xml:space="preserve"> </w:t>
      </w:r>
      <w:r>
        <w:t>to the EEC/Andorra agreement by a new appendix.</w:t>
      </w:r>
    </w:p>
    <w:p w14:paraId="0823019B" w14:textId="6E1F5690" w:rsidR="004F6064" w:rsidRDefault="004F6064" w:rsidP="005353E0">
      <w:pPr>
        <w:pStyle w:val="PointManual"/>
        <w:spacing w:before="0" w:after="0" w:line="240" w:lineRule="auto"/>
        <w:ind w:left="0" w:firstLine="0"/>
      </w:pPr>
      <w:r>
        <w:t>The new a</w:t>
      </w:r>
      <w:r w:rsidRPr="00BF16DC">
        <w:t>ppendix take</w:t>
      </w:r>
      <w:r>
        <w:t>s into</w:t>
      </w:r>
      <w:r w:rsidRPr="00BF16DC">
        <w:t xml:space="preserve"> account the change</w:t>
      </w:r>
      <w:r>
        <w:t xml:space="preserve">s in the rules of origin in the pan-Euro-Mediterranean </w:t>
      </w:r>
      <w:r w:rsidRPr="00BF16DC">
        <w:t xml:space="preserve">region brought about by the </w:t>
      </w:r>
      <w:r>
        <w:t xml:space="preserve">regional Convention on </w:t>
      </w:r>
      <w:r w:rsidRPr="00BF16DC">
        <w:t>pan</w:t>
      </w:r>
      <w:r w:rsidRPr="00BF16DC">
        <w:noBreakHyphen/>
        <w:t>Euro</w:t>
      </w:r>
      <w:r w:rsidRPr="00BF16DC">
        <w:noBreakHyphen/>
        <w:t>Mediterranean preferential rules of origin</w:t>
      </w:r>
      <w:r>
        <w:t xml:space="preserve"> (</w:t>
      </w:r>
      <w:hyperlink r:id="rId43" w:tooltip="http://data.consilium.europa.eu/doc/document/ST-9477-2015-INIT/en/pdf" w:history="1">
        <w:r>
          <w:rPr>
            <w:rStyle w:val="Hyperlink"/>
          </w:rPr>
          <w:t>9477/15</w:t>
        </w:r>
      </w:hyperlink>
      <w:r>
        <w:t>).</w:t>
      </w:r>
    </w:p>
    <w:p w14:paraId="42015BCB" w14:textId="77777777" w:rsidR="004F6064" w:rsidRPr="00C11710" w:rsidRDefault="004F6064" w:rsidP="004F6064">
      <w:pPr>
        <w:pStyle w:val="ItemApproved"/>
      </w:pPr>
      <w:r>
        <w:t>INTERNAL MARKET</w:t>
      </w:r>
    </w:p>
    <w:p w14:paraId="492B5556" w14:textId="77777777" w:rsidR="004F6064" w:rsidRPr="00C11710" w:rsidRDefault="004F6064" w:rsidP="004F6064">
      <w:pPr>
        <w:pStyle w:val="Sub-itemApproved"/>
      </w:pPr>
      <w:bookmarkStart w:id="24" w:name="_Toc426453503"/>
      <w:r>
        <w:t>I</w:t>
      </w:r>
      <w:r w:rsidRPr="00C11710">
        <w:t>nformation society services</w:t>
      </w:r>
      <w:r>
        <w:t xml:space="preserve"> and standardisation</w:t>
      </w:r>
      <w:r w:rsidRPr="00C11710">
        <w:t xml:space="preserve"> - Codified </w:t>
      </w:r>
      <w:r>
        <w:t>rules</w:t>
      </w:r>
      <w:bookmarkEnd w:id="24"/>
    </w:p>
    <w:p w14:paraId="1E758EE0" w14:textId="77777777" w:rsidR="004F6064" w:rsidRPr="00321ED6" w:rsidRDefault="004F6064" w:rsidP="004F6064">
      <w:pPr>
        <w:rPr>
          <w:b/>
          <w:bCs/>
        </w:rPr>
      </w:pPr>
      <w:r>
        <w:t xml:space="preserve">The Council adopted a </w:t>
      </w:r>
      <w:hyperlink r:id="rId44" w:history="1">
        <w:r w:rsidRPr="00C11710">
          <w:rPr>
            <w:rStyle w:val="Hyperlink"/>
          </w:rPr>
          <w:t>codified version</w:t>
        </w:r>
      </w:hyperlink>
      <w:r>
        <w:t xml:space="preserve"> of a directive laying down a procedure for the provision of information in the field of technical regulations and of rules on information society services.</w:t>
      </w:r>
    </w:p>
    <w:p w14:paraId="1EF6D78E" w14:textId="529EF1D0" w:rsidR="004F6064" w:rsidRDefault="004F6064" w:rsidP="004F6064">
      <w:r w:rsidRPr="00075D25">
        <w:t xml:space="preserve">The codified version </w:t>
      </w:r>
      <w:r>
        <w:t>seeks to improve</w:t>
      </w:r>
      <w:r w:rsidRPr="00075D25">
        <w:t xml:space="preserve"> </w:t>
      </w:r>
      <w:r w:rsidR="00E77DC6">
        <w:t xml:space="preserve">the </w:t>
      </w:r>
      <w:r>
        <w:t xml:space="preserve">legal </w:t>
      </w:r>
      <w:r w:rsidRPr="00A71D37">
        <w:t>clarity and rationality</w:t>
      </w:r>
      <w:r w:rsidRPr="00075D25">
        <w:t xml:space="preserve"> of the </w:t>
      </w:r>
      <w:r>
        <w:t xml:space="preserve">directive </w:t>
      </w:r>
      <w:r w:rsidRPr="00075D25">
        <w:t xml:space="preserve">whilst </w:t>
      </w:r>
      <w:r>
        <w:t xml:space="preserve">fully </w:t>
      </w:r>
      <w:r w:rsidRPr="00075D25">
        <w:t xml:space="preserve">preserving </w:t>
      </w:r>
      <w:r>
        <w:t>its</w:t>
      </w:r>
      <w:r w:rsidRPr="00075D25">
        <w:t xml:space="preserve"> content. No changes of substance are made to the </w:t>
      </w:r>
      <w:r>
        <w:t>codified provisions</w:t>
      </w:r>
      <w:r w:rsidRPr="00075D25">
        <w:t>.</w:t>
      </w:r>
    </w:p>
    <w:p w14:paraId="7EB8348E" w14:textId="77777777" w:rsidR="004F6064" w:rsidRPr="00281871" w:rsidRDefault="004F6064" w:rsidP="004F6064">
      <w:pPr>
        <w:pStyle w:val="ItemApproved"/>
        <w:rPr>
          <w:lang w:eastAsia="en-GB"/>
        </w:rPr>
      </w:pPr>
      <w:r w:rsidRPr="00281871">
        <w:rPr>
          <w:lang w:eastAsia="en-GB"/>
        </w:rPr>
        <w:t>INTELLECTUAL PROPERTY</w:t>
      </w:r>
    </w:p>
    <w:p w14:paraId="7BC520D8" w14:textId="77777777" w:rsidR="004F6064" w:rsidRPr="00281871" w:rsidRDefault="004F6064" w:rsidP="004F6064">
      <w:pPr>
        <w:pStyle w:val="Sub-itemApproved"/>
        <w:rPr>
          <w:lang w:eastAsia="en-GB"/>
        </w:rPr>
      </w:pPr>
      <w:bookmarkStart w:id="25" w:name="_Toc426453505"/>
      <w:r w:rsidRPr="00281871">
        <w:rPr>
          <w:lang w:eastAsia="en-GB"/>
        </w:rPr>
        <w:t>Trade marks reform</w:t>
      </w:r>
      <w:bookmarkEnd w:id="25"/>
    </w:p>
    <w:p w14:paraId="548A0903" w14:textId="77777777" w:rsidR="004F6064" w:rsidRPr="00281871" w:rsidRDefault="004F6064" w:rsidP="004F6064">
      <w:pPr>
        <w:shd w:val="clear" w:color="auto" w:fill="FFFFFF"/>
        <w:rPr>
          <w:rFonts w:asciiTheme="majorBidi" w:hAnsiTheme="majorBidi" w:cstheme="majorBidi"/>
          <w:lang w:eastAsia="en-GB"/>
        </w:rPr>
      </w:pPr>
      <w:r w:rsidRPr="00281871">
        <w:rPr>
          <w:rFonts w:asciiTheme="majorBidi" w:hAnsiTheme="majorBidi" w:cstheme="majorBidi"/>
          <w:lang w:eastAsia="en-GB"/>
        </w:rPr>
        <w:t>The Council confirmed a political agreement on the reform of the European trade mark system (</w:t>
      </w:r>
      <w:hyperlink r:id="rId45" w:tooltip="http://data.consilium.europa.eu/doc/document/ST-9957-2015-ADD-1/en/pdf" w:history="1">
        <w:r w:rsidRPr="00642D61">
          <w:rPr>
            <w:rStyle w:val="Hyperlink"/>
            <w:rFonts w:asciiTheme="majorBidi" w:hAnsiTheme="majorBidi" w:cstheme="majorBidi"/>
            <w:color w:val="0000CC"/>
            <w:lang w:eastAsia="en-GB"/>
          </w:rPr>
          <w:t>Draft regulation</w:t>
        </w:r>
      </w:hyperlink>
      <w:r w:rsidRPr="00642D61">
        <w:rPr>
          <w:rFonts w:asciiTheme="majorBidi" w:hAnsiTheme="majorBidi" w:cstheme="majorBidi"/>
          <w:lang w:eastAsia="en-GB"/>
        </w:rPr>
        <w:t xml:space="preserve"> - </w:t>
      </w:r>
      <w:hyperlink r:id="rId46" w:tooltip="http://data.consilium.europa.eu/doc/document/ST-9957-2015-ADD-2/en/pdf" w:history="1">
        <w:r w:rsidRPr="00642D61">
          <w:rPr>
            <w:rStyle w:val="Hyperlink"/>
            <w:rFonts w:asciiTheme="majorBidi" w:hAnsiTheme="majorBidi" w:cstheme="majorBidi"/>
            <w:color w:val="0000CC"/>
            <w:lang w:eastAsia="en-GB"/>
          </w:rPr>
          <w:t>Draft directive</w:t>
        </w:r>
      </w:hyperlink>
      <w:r w:rsidRPr="00642D61">
        <w:rPr>
          <w:rFonts w:asciiTheme="majorBidi" w:hAnsiTheme="majorBidi" w:cstheme="majorBidi"/>
          <w:lang w:eastAsia="en-GB"/>
        </w:rPr>
        <w:t xml:space="preserve"> - </w:t>
      </w:r>
      <w:hyperlink r:id="rId47" w:tooltip="http://data.consilium.europa.eu/doc/document/ST-9957-2015-INIT/en/pdf" w:history="1">
        <w:r w:rsidRPr="00642D61">
          <w:rPr>
            <w:rStyle w:val="Hyperlink"/>
            <w:rFonts w:asciiTheme="majorBidi" w:hAnsiTheme="majorBidi" w:cstheme="majorBidi"/>
            <w:color w:val="0000CC"/>
            <w:lang w:eastAsia="en-GB"/>
          </w:rPr>
          <w:t>Statements</w:t>
        </w:r>
      </w:hyperlink>
      <w:r w:rsidRPr="00281871">
        <w:rPr>
          <w:rFonts w:asciiTheme="majorBidi" w:hAnsiTheme="majorBidi" w:cstheme="majorBidi"/>
          <w:lang w:eastAsia="en-GB"/>
        </w:rPr>
        <w:t>).</w:t>
      </w:r>
    </w:p>
    <w:p w14:paraId="4E888C62" w14:textId="77777777" w:rsidR="004F6064" w:rsidRPr="00281871" w:rsidRDefault="004F6064" w:rsidP="004F6064">
      <w:pPr>
        <w:shd w:val="clear" w:color="auto" w:fill="FFFFFF"/>
        <w:rPr>
          <w:rFonts w:asciiTheme="majorBidi" w:hAnsiTheme="majorBidi" w:cstheme="majorBidi"/>
          <w:lang w:eastAsia="en-GB"/>
        </w:rPr>
      </w:pPr>
      <w:r w:rsidRPr="00281871">
        <w:rPr>
          <w:rFonts w:asciiTheme="majorBidi" w:hAnsiTheme="majorBidi" w:cstheme="majorBidi"/>
          <w:lang w:eastAsia="en-GB"/>
        </w:rPr>
        <w:t>The reform of the current system will improve the conditions for businesses to innovate and to benefit from more effective trade mark protection against counterfeits, including fake goods in transit through the EU's territory.</w:t>
      </w:r>
    </w:p>
    <w:p w14:paraId="4ACBF2B2" w14:textId="522101B5" w:rsidR="004F6064" w:rsidRDefault="00E77DC6" w:rsidP="005353E0">
      <w:pPr>
        <w:shd w:val="clear" w:color="auto" w:fill="FFFFFF"/>
        <w:rPr>
          <w:rFonts w:asciiTheme="majorBidi" w:hAnsiTheme="majorBidi" w:cstheme="majorBidi"/>
          <w:lang w:eastAsia="en-GB"/>
        </w:rPr>
      </w:pPr>
      <w:r>
        <w:rPr>
          <w:rFonts w:asciiTheme="majorBidi" w:hAnsiTheme="majorBidi" w:cstheme="majorBidi"/>
          <w:lang w:eastAsia="en-GB"/>
        </w:rPr>
        <w:t xml:space="preserve">The new legal framework also seeks to make </w:t>
      </w:r>
      <w:r w:rsidR="004F6064" w:rsidRPr="00281871">
        <w:rPr>
          <w:rFonts w:asciiTheme="majorBidi" w:hAnsiTheme="majorBidi" w:cstheme="majorBidi"/>
          <w:lang w:eastAsia="en-GB"/>
        </w:rPr>
        <w:t>trade mark registration systems throughout the European Union more accessible and efficient for businesses in terms of lower costs </w:t>
      </w:r>
      <w:r>
        <w:rPr>
          <w:rFonts w:asciiTheme="majorBidi" w:hAnsiTheme="majorBidi" w:cstheme="majorBidi"/>
          <w:lang w:eastAsia="en-GB"/>
        </w:rPr>
        <w:t>and complexity, increased speed and</w:t>
      </w:r>
      <w:r w:rsidR="004F6064" w:rsidRPr="00281871">
        <w:rPr>
          <w:rFonts w:asciiTheme="majorBidi" w:hAnsiTheme="majorBidi" w:cstheme="majorBidi"/>
          <w:lang w:eastAsia="en-GB"/>
        </w:rPr>
        <w:t xml:space="preserve"> greater predictability and legal certainty.</w:t>
      </w:r>
    </w:p>
    <w:p w14:paraId="0D2A7F44" w14:textId="3BB67D81" w:rsidR="004F6064" w:rsidRPr="00281871" w:rsidRDefault="00EB33B7" w:rsidP="004F6064">
      <w:pPr>
        <w:shd w:val="clear" w:color="auto" w:fill="FFFFFF"/>
        <w:rPr>
          <w:rFonts w:asciiTheme="majorBidi" w:hAnsiTheme="majorBidi" w:cstheme="majorBidi"/>
          <w:lang w:eastAsia="en-GB"/>
        </w:rPr>
      </w:pPr>
      <w:r>
        <w:rPr>
          <w:rFonts w:asciiTheme="majorBidi" w:hAnsiTheme="majorBidi" w:cstheme="majorBidi"/>
          <w:lang w:eastAsia="en-GB"/>
        </w:rPr>
        <w:br w:type="page"/>
      </w:r>
      <w:r w:rsidR="004F6064" w:rsidRPr="00281871">
        <w:rPr>
          <w:rFonts w:asciiTheme="majorBidi" w:hAnsiTheme="majorBidi" w:cstheme="majorBidi"/>
          <w:lang w:eastAsia="en-GB"/>
        </w:rPr>
        <w:lastRenderedPageBreak/>
        <w:t xml:space="preserve">The political agreement follows a compromise agreed upon with the European Parliament on </w:t>
      </w:r>
      <w:hyperlink r:id="rId48" w:history="1">
        <w:r w:rsidR="004F6064" w:rsidRPr="00281871">
          <w:rPr>
            <w:rStyle w:val="Hyperlink"/>
            <w:rFonts w:asciiTheme="majorBidi" w:hAnsiTheme="majorBidi" w:cstheme="majorBidi"/>
            <w:color w:val="0000CC"/>
          </w:rPr>
          <w:t>21 April 2015</w:t>
        </w:r>
      </w:hyperlink>
      <w:r w:rsidR="004F6064" w:rsidRPr="00281871">
        <w:rPr>
          <w:rFonts w:asciiTheme="majorBidi" w:hAnsiTheme="majorBidi" w:cstheme="majorBidi"/>
          <w:lang w:eastAsia="en-GB"/>
        </w:rPr>
        <w:t xml:space="preserve">. This compromise was endorsed by the Council's Permanent Representatives Committee on </w:t>
      </w:r>
      <w:hyperlink r:id="rId49" w:history="1">
        <w:r w:rsidR="004F6064" w:rsidRPr="00281871">
          <w:rPr>
            <w:rStyle w:val="Hyperlink"/>
            <w:rFonts w:asciiTheme="majorBidi" w:hAnsiTheme="majorBidi" w:cstheme="majorBidi"/>
            <w:color w:val="0000CC"/>
            <w:lang w:eastAsia="en-GB"/>
          </w:rPr>
          <w:t>10 June 2015</w:t>
        </w:r>
      </w:hyperlink>
      <w:r w:rsidR="004F6064" w:rsidRPr="00281871">
        <w:rPr>
          <w:rFonts w:asciiTheme="majorBidi" w:hAnsiTheme="majorBidi" w:cstheme="majorBidi"/>
          <w:lang w:eastAsia="en-GB"/>
        </w:rPr>
        <w:t>.</w:t>
      </w:r>
    </w:p>
    <w:p w14:paraId="32611D0F" w14:textId="527B6987" w:rsidR="004F6064" w:rsidRPr="00281871" w:rsidRDefault="004F6064" w:rsidP="004F6064">
      <w:pPr>
        <w:shd w:val="clear" w:color="auto" w:fill="FFFFFF"/>
        <w:rPr>
          <w:rFonts w:asciiTheme="majorBidi" w:hAnsiTheme="majorBidi" w:cstheme="majorBidi"/>
          <w:lang w:eastAsia="en-GB"/>
        </w:rPr>
      </w:pPr>
      <w:r w:rsidRPr="00281871">
        <w:rPr>
          <w:rFonts w:asciiTheme="majorBidi" w:hAnsiTheme="majorBidi" w:cstheme="majorBidi"/>
          <w:lang w:eastAsia="en-GB"/>
        </w:rPr>
        <w:t xml:space="preserve">The legal texts will undergo legal-linguistic revision before the formal adoption of the Council's position at first reading. Afterwards, the texts will be put </w:t>
      </w:r>
      <w:r w:rsidR="00E77DC6">
        <w:rPr>
          <w:rFonts w:asciiTheme="majorBidi" w:hAnsiTheme="majorBidi" w:cstheme="majorBidi"/>
          <w:lang w:eastAsia="en-GB"/>
        </w:rPr>
        <w:t xml:space="preserve">to a </w:t>
      </w:r>
      <w:r w:rsidRPr="00281871">
        <w:rPr>
          <w:rFonts w:asciiTheme="majorBidi" w:hAnsiTheme="majorBidi" w:cstheme="majorBidi"/>
          <w:lang w:eastAsia="en-GB"/>
        </w:rPr>
        <w:t xml:space="preserve">second reading </w:t>
      </w:r>
      <w:r w:rsidR="00E77DC6" w:rsidRPr="00281871">
        <w:rPr>
          <w:rFonts w:asciiTheme="majorBidi" w:hAnsiTheme="majorBidi" w:cstheme="majorBidi"/>
          <w:lang w:eastAsia="en-GB"/>
        </w:rPr>
        <w:t xml:space="preserve">vote </w:t>
      </w:r>
      <w:r w:rsidRPr="00281871">
        <w:rPr>
          <w:rFonts w:asciiTheme="majorBidi" w:hAnsiTheme="majorBidi" w:cstheme="majorBidi"/>
          <w:lang w:eastAsia="en-GB"/>
        </w:rPr>
        <w:t>at a plenary session of the European Parliament. Finally, they will be published in the Official Journal of the EU.</w:t>
      </w:r>
    </w:p>
    <w:p w14:paraId="52A49B9E" w14:textId="77777777" w:rsidR="004F6064" w:rsidRPr="00A71D37" w:rsidRDefault="004F6064" w:rsidP="004F6064">
      <w:pPr>
        <w:pStyle w:val="ItemApproved"/>
      </w:pPr>
      <w:r>
        <w:t>COMPETITION</w:t>
      </w:r>
    </w:p>
    <w:p w14:paraId="0FF2EE11" w14:textId="2EE61F51" w:rsidR="004F6064" w:rsidRPr="00A71D37" w:rsidRDefault="00E77DC6" w:rsidP="004F6064">
      <w:pPr>
        <w:pStyle w:val="Sub-itemApproved"/>
      </w:pPr>
      <w:bookmarkStart w:id="26" w:name="_Toc426453507"/>
      <w:r>
        <w:t>State aid: e</w:t>
      </w:r>
      <w:r w:rsidR="004F6064">
        <w:t xml:space="preserve">nabling and </w:t>
      </w:r>
      <w:r>
        <w:t>procedural regulations - c</w:t>
      </w:r>
      <w:r w:rsidR="004F6064">
        <w:t>odified versions</w:t>
      </w:r>
      <w:bookmarkEnd w:id="26"/>
    </w:p>
    <w:p w14:paraId="75A3CAB4" w14:textId="74207CF0" w:rsidR="004F6064" w:rsidRDefault="004F6064" w:rsidP="004F6064">
      <w:r w:rsidRPr="00A71D37">
        <w:t>The C</w:t>
      </w:r>
      <w:r>
        <w:t xml:space="preserve">ouncil adopted </w:t>
      </w:r>
      <w:r w:rsidRPr="00A71D37">
        <w:t>codified version</w:t>
      </w:r>
      <w:r>
        <w:t>s</w:t>
      </w:r>
      <w:r w:rsidRPr="00A71D37">
        <w:t xml:space="preserve"> </w:t>
      </w:r>
      <w:r>
        <w:t xml:space="preserve">of the </w:t>
      </w:r>
      <w:r w:rsidR="00E77DC6">
        <w:rPr>
          <w:noProof/>
        </w:rPr>
        <w:t>‘</w:t>
      </w:r>
      <w:hyperlink r:id="rId50" w:history="1">
        <w:r w:rsidRPr="00963761">
          <w:rPr>
            <w:rStyle w:val="Hyperlink"/>
            <w:noProof/>
          </w:rPr>
          <w:t>Enabling Regulation</w:t>
        </w:r>
      </w:hyperlink>
      <w:r w:rsidR="00E77DC6">
        <w:rPr>
          <w:noProof/>
        </w:rPr>
        <w:t>’</w:t>
      </w:r>
      <w:r>
        <w:rPr>
          <w:noProof/>
        </w:rPr>
        <w:t xml:space="preserve"> and</w:t>
      </w:r>
      <w:r>
        <w:t xml:space="preserve"> the </w:t>
      </w:r>
      <w:r w:rsidR="00E77DC6">
        <w:t>‘</w:t>
      </w:r>
      <w:hyperlink r:id="rId51" w:history="1">
        <w:r w:rsidRPr="00963761">
          <w:rPr>
            <w:rStyle w:val="Hyperlink"/>
          </w:rPr>
          <w:t>Procedural Regulation</w:t>
        </w:r>
      </w:hyperlink>
      <w:r w:rsidR="00E77DC6">
        <w:t>’</w:t>
      </w:r>
      <w:r>
        <w:rPr>
          <w:noProof/>
        </w:rPr>
        <w:t>.</w:t>
      </w:r>
    </w:p>
    <w:p w14:paraId="27A45500" w14:textId="1D660797" w:rsidR="004F6064" w:rsidRDefault="004F6064" w:rsidP="004F6064">
      <w:r w:rsidRPr="00075D25">
        <w:t xml:space="preserve">The codified versions </w:t>
      </w:r>
      <w:r>
        <w:t>seek to improve</w:t>
      </w:r>
      <w:r w:rsidRPr="00075D25">
        <w:t xml:space="preserve"> </w:t>
      </w:r>
      <w:r w:rsidR="00E77DC6">
        <w:t xml:space="preserve">the </w:t>
      </w:r>
      <w:r>
        <w:t xml:space="preserve">legal </w:t>
      </w:r>
      <w:r w:rsidRPr="00A71D37">
        <w:t>clarity and rationality</w:t>
      </w:r>
      <w:r w:rsidRPr="00075D25">
        <w:t xml:space="preserve"> of the regulations whilst </w:t>
      </w:r>
      <w:r>
        <w:t xml:space="preserve">fully </w:t>
      </w:r>
      <w:r w:rsidRPr="00075D25">
        <w:t xml:space="preserve">preserving their content. No changes of substance are made to the </w:t>
      </w:r>
      <w:r>
        <w:t>codified provisions</w:t>
      </w:r>
      <w:r w:rsidRPr="00075D25">
        <w:t>.</w:t>
      </w:r>
    </w:p>
    <w:p w14:paraId="665DB358" w14:textId="20FB7BF3" w:rsidR="004F6064" w:rsidRDefault="00E77DC6" w:rsidP="004F6064">
      <w:pPr>
        <w:rPr>
          <w:noProof/>
        </w:rPr>
      </w:pPr>
      <w:r>
        <w:t>The enabling r</w:t>
      </w:r>
      <w:r w:rsidR="004F6064">
        <w:t xml:space="preserve">egulation </w:t>
      </w:r>
      <w:r w:rsidR="004F6064" w:rsidRPr="00FC1ED4">
        <w:rPr>
          <w:noProof/>
        </w:rPr>
        <w:t>on the appl</w:t>
      </w:r>
      <w:r w:rsidR="004F6064">
        <w:rPr>
          <w:noProof/>
        </w:rPr>
        <w:t xml:space="preserve">ication of articles 107 and 108 </w:t>
      </w:r>
      <w:r w:rsidR="004F6064" w:rsidRPr="00FC1ED4">
        <w:rPr>
          <w:noProof/>
        </w:rPr>
        <w:t xml:space="preserve">of the </w:t>
      </w:r>
      <w:r w:rsidR="004F6064">
        <w:rPr>
          <w:noProof/>
        </w:rPr>
        <w:t xml:space="preserve">EU </w:t>
      </w:r>
      <w:r w:rsidR="004F6064" w:rsidRPr="00FC1ED4">
        <w:rPr>
          <w:noProof/>
        </w:rPr>
        <w:t>Treaty</w:t>
      </w:r>
      <w:r w:rsidR="004F6064">
        <w:rPr>
          <w:noProof/>
        </w:rPr>
        <w:t xml:space="preserve">, </w:t>
      </w:r>
      <w:r w:rsidR="004F6064">
        <w:t>enables the Commission to exempt certain c</w:t>
      </w:r>
      <w:r w:rsidR="004F6064" w:rsidRPr="005C4363">
        <w:rPr>
          <w:noProof/>
        </w:rPr>
        <w:t xml:space="preserve">ategories of </w:t>
      </w:r>
      <w:r w:rsidR="004F6064">
        <w:rPr>
          <w:noProof/>
        </w:rPr>
        <w:t xml:space="preserve">state </w:t>
      </w:r>
      <w:r w:rsidR="004F6064" w:rsidRPr="005C4363">
        <w:rPr>
          <w:noProof/>
        </w:rPr>
        <w:t>aid from prio</w:t>
      </w:r>
      <w:r w:rsidR="004F6064">
        <w:rPr>
          <w:noProof/>
        </w:rPr>
        <w:t>r notification.</w:t>
      </w:r>
    </w:p>
    <w:p w14:paraId="33B628B6" w14:textId="7801BDBA" w:rsidR="004F6064" w:rsidRDefault="00E77DC6" w:rsidP="004F6064">
      <w:pPr>
        <w:rPr>
          <w:noProof/>
        </w:rPr>
      </w:pPr>
      <w:r>
        <w:rPr>
          <w:noProof/>
        </w:rPr>
        <w:t>The procedural r</w:t>
      </w:r>
      <w:r w:rsidR="004F6064">
        <w:rPr>
          <w:noProof/>
        </w:rPr>
        <w:t xml:space="preserve">egulation, which deals with complaint-handling and market information tools, </w:t>
      </w:r>
      <w:r w:rsidR="004F6064" w:rsidRPr="00184753">
        <w:rPr>
          <w:noProof/>
        </w:rPr>
        <w:t>lay</w:t>
      </w:r>
      <w:r w:rsidR="004F6064">
        <w:rPr>
          <w:noProof/>
        </w:rPr>
        <w:t>s</w:t>
      </w:r>
      <w:r w:rsidR="004F6064" w:rsidRPr="00184753">
        <w:rPr>
          <w:noProof/>
        </w:rPr>
        <w:t xml:space="preserve"> down</w:t>
      </w:r>
      <w:r w:rsidR="004F6064">
        <w:rPr>
          <w:noProof/>
        </w:rPr>
        <w:t xml:space="preserve"> detailed</w:t>
      </w:r>
      <w:r w:rsidR="004F6064" w:rsidRPr="00184753">
        <w:rPr>
          <w:noProof/>
        </w:rPr>
        <w:t xml:space="preserve"> rules for the application of </w:t>
      </w:r>
      <w:r w:rsidR="004F6064">
        <w:rPr>
          <w:noProof/>
        </w:rPr>
        <w:t>a</w:t>
      </w:r>
      <w:r w:rsidR="004F6064" w:rsidRPr="00184753">
        <w:rPr>
          <w:noProof/>
        </w:rPr>
        <w:t xml:space="preserve">rticle 108 of the </w:t>
      </w:r>
      <w:r w:rsidR="004F6064">
        <w:rPr>
          <w:noProof/>
        </w:rPr>
        <w:t xml:space="preserve">EU </w:t>
      </w:r>
      <w:r w:rsidR="004F6064" w:rsidRPr="00184753">
        <w:rPr>
          <w:noProof/>
        </w:rPr>
        <w:t>Treaty</w:t>
      </w:r>
      <w:r w:rsidR="004F6064">
        <w:rPr>
          <w:noProof/>
        </w:rPr>
        <w:t>.</w:t>
      </w:r>
    </w:p>
    <w:p w14:paraId="6E449D9D" w14:textId="77777777" w:rsidR="004F6064" w:rsidRPr="00321ED6" w:rsidRDefault="004F6064" w:rsidP="004F6064">
      <w:pPr>
        <w:pStyle w:val="ItemApproved"/>
      </w:pPr>
      <w:r w:rsidRPr="001C45E9">
        <w:t>ENVIRONMENT</w:t>
      </w:r>
    </w:p>
    <w:p w14:paraId="595F8586" w14:textId="77777777" w:rsidR="004F6064" w:rsidRPr="00321ED6" w:rsidRDefault="004F6064" w:rsidP="004F6064">
      <w:pPr>
        <w:pStyle w:val="Sub-itemApproved"/>
      </w:pPr>
      <w:bookmarkStart w:id="27" w:name="_Toc426453509"/>
      <w:r>
        <w:t>Preparing the transition to advanced biofuels*</w:t>
      </w:r>
      <w:bookmarkEnd w:id="27"/>
    </w:p>
    <w:p w14:paraId="0058F054" w14:textId="61F76B9C" w:rsidR="005353E0" w:rsidRDefault="004F6064" w:rsidP="002821A0">
      <w:pPr>
        <w:pStyle w:val="Default"/>
        <w:rPr>
          <w:rFonts w:asciiTheme="majorBidi" w:hAnsiTheme="majorBidi" w:cstheme="majorBidi"/>
        </w:rPr>
      </w:pPr>
      <w:r w:rsidRPr="00321ED6">
        <w:rPr>
          <w:rFonts w:asciiTheme="majorBidi" w:hAnsiTheme="majorBidi" w:cstheme="majorBidi"/>
        </w:rPr>
        <w:t>The Council adopted the directive relating to the biofuels and indirect land-use change (ILUC) (</w:t>
      </w:r>
      <w:hyperlink r:id="rId52" w:history="1">
        <w:r w:rsidRPr="00F26BF6">
          <w:rPr>
            <w:rStyle w:val="Hyperlink"/>
            <w:rFonts w:asciiTheme="majorBidi" w:hAnsiTheme="majorBidi" w:cstheme="majorBidi"/>
          </w:rPr>
          <w:t>PE-CONS 28/15</w:t>
        </w:r>
      </w:hyperlink>
      <w:r w:rsidRPr="00321ED6">
        <w:rPr>
          <w:rFonts w:asciiTheme="majorBidi" w:hAnsiTheme="majorBidi" w:cstheme="majorBidi"/>
        </w:rPr>
        <w:t xml:space="preserve"> + </w:t>
      </w:r>
      <w:hyperlink r:id="rId53" w:tooltip="http://data.consilium.europa.eu/doc/document/ST-10390-2015-ADD-1-REV-2/en/pdf" w:history="1">
        <w:r>
          <w:rPr>
            <w:rStyle w:val="Hyperlink"/>
            <w:rFonts w:asciiTheme="majorBidi" w:hAnsiTheme="majorBidi" w:cstheme="majorBidi"/>
          </w:rPr>
          <w:t>10390/15 ADD 1 REV 2</w:t>
        </w:r>
      </w:hyperlink>
      <w:r w:rsidRPr="00321ED6">
        <w:rPr>
          <w:rFonts w:asciiTheme="majorBidi" w:hAnsiTheme="majorBidi" w:cstheme="majorBidi"/>
        </w:rPr>
        <w:t>).</w:t>
      </w:r>
    </w:p>
    <w:p w14:paraId="2460E7CC" w14:textId="575CF631" w:rsidR="004F6064" w:rsidRPr="00321ED6" w:rsidRDefault="004F6064" w:rsidP="005353E0">
      <w:pPr>
        <w:pStyle w:val="Default"/>
        <w:rPr>
          <w:rFonts w:asciiTheme="majorBidi" w:hAnsiTheme="majorBidi" w:cstheme="majorBidi"/>
        </w:rPr>
      </w:pPr>
      <w:r w:rsidRPr="00321ED6">
        <w:rPr>
          <w:rFonts w:asciiTheme="majorBidi" w:hAnsiTheme="majorBidi" w:cstheme="majorBidi"/>
        </w:rPr>
        <w:t>The Council approved the E</w:t>
      </w:r>
      <w:r w:rsidR="00E77DC6">
        <w:rPr>
          <w:rFonts w:asciiTheme="majorBidi" w:hAnsiTheme="majorBidi" w:cstheme="majorBidi"/>
        </w:rPr>
        <w:t xml:space="preserve">uropean Parliament's amendment </w:t>
      </w:r>
      <w:r w:rsidRPr="00321ED6">
        <w:rPr>
          <w:rFonts w:asciiTheme="majorBidi" w:hAnsiTheme="majorBidi" w:cstheme="majorBidi"/>
        </w:rPr>
        <w:t>to the directive, which reflects the compromise agreement reached between the three institutions.</w:t>
      </w:r>
    </w:p>
    <w:p w14:paraId="5E17E9DB" w14:textId="344DF8E6" w:rsidR="004F6064" w:rsidRPr="00321ED6" w:rsidRDefault="004F6064" w:rsidP="005353E0">
      <w:pPr>
        <w:pStyle w:val="Default"/>
        <w:rPr>
          <w:rFonts w:asciiTheme="majorBidi" w:hAnsiTheme="majorBidi" w:cstheme="majorBidi"/>
        </w:rPr>
      </w:pPr>
      <w:r w:rsidRPr="00321ED6">
        <w:rPr>
          <w:rFonts w:asciiTheme="majorBidi" w:hAnsiTheme="majorBidi" w:cstheme="majorBidi"/>
        </w:rPr>
        <w:t>The new directive amends the 2009 renewable energy directive and the 1998 fuel quality directive. The main purpose is to start the transition from conventional biofuels to biofuels that deliver substantial greenhouse gas savings and to establish a clear legislative framework for the production of biofuels, while protecting existing investments in the sector.</w:t>
      </w:r>
    </w:p>
    <w:p w14:paraId="66745B39" w14:textId="518FBB0E" w:rsidR="00EB33B7" w:rsidRDefault="004F6064" w:rsidP="00EB33B7">
      <w:pPr>
        <w:rPr>
          <w:rStyle w:val="Hyperlink"/>
          <w:rFonts w:asciiTheme="majorBidi" w:hAnsiTheme="majorBidi" w:cstheme="majorBidi"/>
        </w:rPr>
      </w:pPr>
      <w:r w:rsidRPr="00321ED6">
        <w:rPr>
          <w:rFonts w:asciiTheme="majorBidi" w:hAnsiTheme="majorBidi" w:cstheme="majorBidi"/>
          <w:color w:val="000000"/>
        </w:rPr>
        <w:t xml:space="preserve">Press release, 28/04/2015: </w:t>
      </w:r>
      <w:hyperlink r:id="rId54" w:history="1">
        <w:r w:rsidRPr="00321ED6">
          <w:rPr>
            <w:rStyle w:val="Hyperlink"/>
            <w:rFonts w:asciiTheme="majorBidi" w:hAnsiTheme="majorBidi" w:cstheme="majorBidi"/>
          </w:rPr>
          <w:t xml:space="preserve">Preparing the transition to advanced biofuels </w:t>
        </w:r>
      </w:hyperlink>
    </w:p>
    <w:p w14:paraId="1448A2FB" w14:textId="45CD9400" w:rsidR="004F6064" w:rsidRPr="003233AD" w:rsidRDefault="00EB33B7" w:rsidP="004F6064">
      <w:pPr>
        <w:pStyle w:val="Sub-itemApproved"/>
        <w:rPr>
          <w:rFonts w:eastAsiaTheme="minorHAnsi"/>
        </w:rPr>
      </w:pPr>
      <w:r>
        <w:rPr>
          <w:rStyle w:val="Hyperlink"/>
          <w:rFonts w:asciiTheme="majorBidi" w:hAnsiTheme="majorBidi" w:cstheme="majorBidi"/>
        </w:rPr>
        <w:br w:type="page"/>
      </w:r>
      <w:bookmarkStart w:id="28" w:name="_Toc426453510"/>
      <w:r w:rsidR="004F6064" w:rsidRPr="003233AD">
        <w:rPr>
          <w:rFonts w:eastAsiaTheme="minorHAnsi"/>
        </w:rPr>
        <w:lastRenderedPageBreak/>
        <w:t>Doha amendment to the Kyoto Protocol</w:t>
      </w:r>
      <w:bookmarkEnd w:id="28"/>
    </w:p>
    <w:p w14:paraId="41A136CC" w14:textId="77777777" w:rsidR="004F6064" w:rsidRDefault="004F6064" w:rsidP="004F6064">
      <w:pPr>
        <w:spacing w:before="0" w:after="0"/>
        <w:rPr>
          <w:rFonts w:eastAsiaTheme="minorHAnsi" w:cstheme="minorBidi"/>
          <w:szCs w:val="22"/>
        </w:rPr>
      </w:pPr>
      <w:r w:rsidRPr="003233AD">
        <w:rPr>
          <w:rFonts w:eastAsiaTheme="minorHAnsi" w:cstheme="minorBidi"/>
          <w:szCs w:val="22"/>
        </w:rPr>
        <w:t>The Council adopted:</w:t>
      </w:r>
    </w:p>
    <w:p w14:paraId="4383D2DA" w14:textId="18EF114E" w:rsidR="004F6064" w:rsidRPr="003233AD" w:rsidRDefault="004F6064" w:rsidP="002821A0">
      <w:pPr>
        <w:numPr>
          <w:ilvl w:val="0"/>
          <w:numId w:val="5"/>
        </w:numPr>
        <w:spacing w:before="0" w:after="0"/>
        <w:ind w:left="924" w:hanging="357"/>
        <w:rPr>
          <w:rFonts w:eastAsiaTheme="minorHAnsi" w:cstheme="minorBidi"/>
          <w:szCs w:val="22"/>
          <w:lang w:val="en-US"/>
        </w:rPr>
      </w:pPr>
      <w:r>
        <w:rPr>
          <w:rFonts w:eastAsiaTheme="minorHAnsi" w:cstheme="minorBidi"/>
          <w:szCs w:val="22"/>
          <w:lang w:val="en-US"/>
        </w:rPr>
        <w:tab/>
      </w:r>
      <w:r w:rsidRPr="003233AD">
        <w:rPr>
          <w:rFonts w:eastAsiaTheme="minorHAnsi" w:cstheme="minorBidi"/>
          <w:szCs w:val="22"/>
          <w:lang w:val="en-US"/>
        </w:rPr>
        <w:t>a decision</w:t>
      </w:r>
      <w:r w:rsidRPr="003233AD">
        <w:rPr>
          <w:rFonts w:eastAsiaTheme="minorHAnsi" w:cstheme="minorBidi"/>
          <w:color w:val="0000FF"/>
          <w:szCs w:val="22"/>
          <w:lang w:val="en-US"/>
        </w:rPr>
        <w:t xml:space="preserve"> </w:t>
      </w:r>
      <w:r w:rsidRPr="003233AD">
        <w:rPr>
          <w:rFonts w:eastAsiaTheme="minorHAnsi" w:cstheme="minorBidi"/>
          <w:szCs w:val="22"/>
          <w:lang w:val="en-US"/>
        </w:rPr>
        <w:t>on the conclusion, on behalf of the EU, of the Doha Amendment to the Kyoto Protocol to the UN Framework Convention on Climate Change (UNFC</w:t>
      </w:r>
      <w:r w:rsidR="00E77DC6">
        <w:rPr>
          <w:rFonts w:eastAsiaTheme="minorHAnsi" w:cstheme="minorBidi"/>
          <w:szCs w:val="22"/>
          <w:lang w:val="en-US"/>
        </w:rPr>
        <w:t>CC) and the joint fulfilment of</w:t>
      </w:r>
      <w:r w:rsidRPr="003233AD">
        <w:rPr>
          <w:rFonts w:eastAsiaTheme="minorHAnsi" w:cstheme="minorBidi"/>
          <w:szCs w:val="22"/>
          <w:lang w:val="en-US"/>
        </w:rPr>
        <w:t xml:space="preserve"> its</w:t>
      </w:r>
      <w:r w:rsidRPr="003233AD">
        <w:rPr>
          <w:rFonts w:eastAsiaTheme="minorHAnsi" w:cstheme="minorBidi"/>
          <w:color w:val="0000FF"/>
          <w:szCs w:val="22"/>
          <w:lang w:val="en-US"/>
        </w:rPr>
        <w:t xml:space="preserve"> </w:t>
      </w:r>
      <w:r w:rsidRPr="003233AD">
        <w:rPr>
          <w:rFonts w:eastAsiaTheme="minorHAnsi" w:cstheme="minorBidi"/>
          <w:szCs w:val="22"/>
          <w:lang w:val="en-US"/>
        </w:rPr>
        <w:t>commitments (</w:t>
      </w:r>
      <w:hyperlink r:id="rId55" w:tooltip="http://data.consilium.europa.eu/doc/document/ST-10400-2014-REV-5/en/pdf" w:history="1">
        <w:r>
          <w:rPr>
            <w:rStyle w:val="Hyperlink"/>
            <w:rFonts w:eastAsiaTheme="minorHAnsi" w:cstheme="minorBidi"/>
            <w:szCs w:val="22"/>
          </w:rPr>
          <w:t>10400/5/14 REV 5</w:t>
        </w:r>
      </w:hyperlink>
      <w:r w:rsidRPr="003233AD">
        <w:rPr>
          <w:rFonts w:eastAsiaTheme="minorHAnsi" w:cstheme="minorBidi"/>
          <w:szCs w:val="22"/>
        </w:rPr>
        <w:t>)</w:t>
      </w:r>
    </w:p>
    <w:p w14:paraId="2C096F2F" w14:textId="77777777" w:rsidR="00EB33B7" w:rsidRPr="00EB33B7" w:rsidRDefault="004F6064" w:rsidP="00EB33B7">
      <w:pPr>
        <w:numPr>
          <w:ilvl w:val="0"/>
          <w:numId w:val="5"/>
        </w:numPr>
        <w:spacing w:before="0" w:after="0"/>
        <w:ind w:left="924" w:hanging="357"/>
        <w:rPr>
          <w:rFonts w:eastAsiaTheme="minorHAnsi" w:cstheme="minorBidi"/>
          <w:szCs w:val="22"/>
          <w:lang w:val="en-US"/>
        </w:rPr>
      </w:pPr>
      <w:r w:rsidRPr="00EB33B7">
        <w:rPr>
          <w:rFonts w:eastAsiaTheme="minorHAnsi" w:cstheme="minorBidi"/>
          <w:szCs w:val="22"/>
          <w:lang w:val="en-US"/>
        </w:rPr>
        <w:tab/>
        <w:t xml:space="preserve">a decision on the agreement between the EU and its member states, of the one part, and Iceland, of the other part, concerning </w:t>
      </w:r>
      <w:r w:rsidR="00E77DC6" w:rsidRPr="00EB33B7">
        <w:rPr>
          <w:rFonts w:eastAsiaTheme="minorHAnsi" w:cstheme="minorBidi"/>
          <w:szCs w:val="22"/>
          <w:lang w:val="en-US"/>
        </w:rPr>
        <w:t>Iceland</w:t>
      </w:r>
      <w:r w:rsidRPr="00EB33B7">
        <w:rPr>
          <w:rFonts w:eastAsiaTheme="minorHAnsi" w:cstheme="minorBidi"/>
          <w:szCs w:val="22"/>
          <w:lang w:val="en-US"/>
        </w:rPr>
        <w:t>'s participation in the joint fulfilment of the commitments relating to the second commitment period of the Kyoto Protocol (</w:t>
      </w:r>
      <w:hyperlink r:id="rId56" w:tooltip="http://data.consilium.europa.eu/doc/document/ST-10883-2014-REV-5/en/pdf" w:history="1">
        <w:r w:rsidRPr="00EB33B7">
          <w:rPr>
            <w:rStyle w:val="Hyperlink"/>
            <w:rFonts w:eastAsiaTheme="minorHAnsi" w:cstheme="minorBidi"/>
            <w:szCs w:val="22"/>
          </w:rPr>
          <w:t>10883/5/14 REV 5</w:t>
        </w:r>
      </w:hyperlink>
      <w:r w:rsidRPr="00EB33B7">
        <w:rPr>
          <w:rFonts w:eastAsiaTheme="minorHAnsi" w:cstheme="minorBidi"/>
          <w:szCs w:val="22"/>
        </w:rPr>
        <w:t>)</w:t>
      </w:r>
      <w:r w:rsidR="00EB33B7">
        <w:rPr>
          <w:rFonts w:eastAsiaTheme="minorHAnsi" w:cstheme="minorBidi"/>
          <w:szCs w:val="22"/>
        </w:rPr>
        <w:t>^</w:t>
      </w:r>
    </w:p>
    <w:p w14:paraId="467B2876" w14:textId="565982AF" w:rsidR="00EB33B7" w:rsidRDefault="00EB33B7" w:rsidP="005353E0">
      <w:pPr>
        <w:spacing w:before="0" w:after="0"/>
        <w:rPr>
          <w:rFonts w:eastAsiaTheme="minorHAnsi" w:cstheme="minorBidi"/>
          <w:szCs w:val="22"/>
          <w:lang w:val="en-US"/>
        </w:rPr>
      </w:pPr>
      <w:r w:rsidRPr="00EB33B7">
        <w:rPr>
          <w:rFonts w:eastAsiaTheme="minorHAnsi" w:cstheme="minorBidi"/>
          <w:szCs w:val="22"/>
          <w:lang w:val="en-US"/>
        </w:rPr>
        <w:t>The Council also decided to inform the European Parliament of the adoption of these two decisions and to publish them, as well as the agreement concerning Iceland's participation, in the Official Journal.</w:t>
      </w:r>
    </w:p>
    <w:p w14:paraId="66EF9BF5" w14:textId="258C9FBB" w:rsidR="004F6064" w:rsidRDefault="004F6064" w:rsidP="005353E0">
      <w:pPr>
        <w:spacing w:before="0" w:after="0"/>
        <w:rPr>
          <w:rFonts w:eastAsiaTheme="minorHAnsi" w:cstheme="minorBidi"/>
          <w:szCs w:val="22"/>
          <w:lang w:val="en-US"/>
        </w:rPr>
      </w:pPr>
      <w:r w:rsidRPr="003233AD">
        <w:rPr>
          <w:rFonts w:eastAsiaTheme="minorHAnsi" w:cstheme="minorBidi"/>
          <w:szCs w:val="22"/>
          <w:lang w:val="en-US"/>
        </w:rPr>
        <w:t>The Kyoto Protocol to the UNFCCC entered into force in 2005 and contains legally binding emission reduction commitments for the period from 2008 to 2012 for the parties listed in its Annex B.</w:t>
      </w:r>
    </w:p>
    <w:p w14:paraId="22FDEE2D" w14:textId="76DB23C1" w:rsidR="004F6064" w:rsidRDefault="004F6064" w:rsidP="005353E0">
      <w:pPr>
        <w:spacing w:before="0" w:after="0"/>
        <w:rPr>
          <w:rFonts w:eastAsiaTheme="minorHAnsi" w:cstheme="minorBidi"/>
          <w:szCs w:val="22"/>
        </w:rPr>
      </w:pPr>
      <w:r w:rsidRPr="003233AD">
        <w:rPr>
          <w:rFonts w:eastAsiaTheme="minorHAnsi" w:cstheme="minorBidi"/>
          <w:szCs w:val="22"/>
        </w:rPr>
        <w:t>The Doha amendment establishes a second commitment period of the Kyoto Protocol, from 2013 to 2020, and amends Annex B. It sets out further legally binding mitigation commitments and implementation measures.</w:t>
      </w:r>
    </w:p>
    <w:p w14:paraId="02A6FC0F" w14:textId="5398FAC6" w:rsidR="004F6064" w:rsidRDefault="004F6064" w:rsidP="004F6064">
      <w:pPr>
        <w:pStyle w:val="ItemApproved"/>
        <w:rPr>
          <w:rFonts w:asciiTheme="minorBidi" w:hAnsiTheme="minorBidi"/>
          <w:sz w:val="22"/>
        </w:rPr>
      </w:pPr>
      <w:r>
        <w:t>ENERGY</w:t>
      </w:r>
    </w:p>
    <w:p w14:paraId="5B207868" w14:textId="77777777" w:rsidR="004F6064" w:rsidRPr="00B135A5" w:rsidRDefault="004F6064" w:rsidP="004F6064">
      <w:pPr>
        <w:pStyle w:val="Sub-itemApproved"/>
      </w:pPr>
      <w:bookmarkStart w:id="29" w:name="_Toc426453512"/>
      <w:proofErr w:type="spellStart"/>
      <w:r w:rsidRPr="00B135A5">
        <w:t>Ecodesign</w:t>
      </w:r>
      <w:proofErr w:type="spellEnd"/>
      <w:r w:rsidRPr="00B135A5">
        <w:t xml:space="preserve"> requirements for lamps</w:t>
      </w:r>
      <w:bookmarkEnd w:id="29"/>
    </w:p>
    <w:p w14:paraId="07B80707" w14:textId="0C883AA8" w:rsidR="004F6064" w:rsidRPr="002A4CB9" w:rsidRDefault="004F6064" w:rsidP="005353E0">
      <w:pPr>
        <w:rPr>
          <w:rFonts w:asciiTheme="majorBidi" w:hAnsiTheme="majorBidi" w:cstheme="majorBidi"/>
          <w:i/>
          <w:iCs/>
        </w:rPr>
      </w:pPr>
      <w:r w:rsidRPr="002A4CB9">
        <w:rPr>
          <w:rFonts w:asciiTheme="majorBidi" w:hAnsiTheme="majorBidi" w:cstheme="majorBidi"/>
        </w:rPr>
        <w:t xml:space="preserve">The Council decided not to oppose the adoption of the following Commission regulation </w:t>
      </w:r>
      <w:r w:rsidRPr="002A4CB9">
        <w:rPr>
          <w:rFonts w:asciiTheme="majorBidi" w:hAnsiTheme="majorBidi" w:cstheme="majorBidi"/>
          <w:i/>
          <w:iCs/>
        </w:rPr>
        <w:t>(</w:t>
      </w:r>
      <w:hyperlink r:id="rId57" w:tooltip="http://data.consilium.europa.eu/doc/document/ST-8756-2015-INIT/en/pdf" w:history="1">
        <w:r w:rsidRPr="002A4CB9">
          <w:rPr>
            <w:rStyle w:val="Hyperlink"/>
            <w:rFonts w:asciiTheme="majorBidi" w:hAnsiTheme="majorBidi" w:cstheme="majorBidi"/>
            <w:i/>
            <w:iCs/>
          </w:rPr>
          <w:t>8756/15</w:t>
        </w:r>
      </w:hyperlink>
      <w:r w:rsidRPr="002A4CB9">
        <w:rPr>
          <w:rFonts w:asciiTheme="majorBidi" w:hAnsiTheme="majorBidi" w:cstheme="majorBidi"/>
          <w:i/>
          <w:iCs/>
        </w:rPr>
        <w:t xml:space="preserve">) </w:t>
      </w:r>
      <w:r w:rsidRPr="002A4CB9">
        <w:rPr>
          <w:rFonts w:asciiTheme="majorBidi" w:hAnsiTheme="majorBidi" w:cstheme="majorBidi"/>
        </w:rPr>
        <w:t xml:space="preserve">concerning </w:t>
      </w:r>
      <w:proofErr w:type="spellStart"/>
      <w:r w:rsidRPr="002A4CB9">
        <w:rPr>
          <w:rFonts w:asciiTheme="majorBidi" w:hAnsiTheme="majorBidi" w:cstheme="majorBidi"/>
        </w:rPr>
        <w:t>ecodesign</w:t>
      </w:r>
      <w:proofErr w:type="spellEnd"/>
      <w:r w:rsidRPr="002A4CB9">
        <w:rPr>
          <w:rFonts w:asciiTheme="majorBidi" w:hAnsiTheme="majorBidi" w:cstheme="majorBidi"/>
        </w:rPr>
        <w:t xml:space="preserve"> requirements for</w:t>
      </w:r>
    </w:p>
    <w:p w14:paraId="39F24879" w14:textId="536DBB8F" w:rsidR="004F6064" w:rsidRPr="00642D61" w:rsidRDefault="004F6064" w:rsidP="002821A0">
      <w:pPr>
        <w:pStyle w:val="ListParagraph"/>
        <w:numPr>
          <w:ilvl w:val="0"/>
          <w:numId w:val="4"/>
        </w:numPr>
        <w:spacing w:line="240" w:lineRule="auto"/>
        <w:rPr>
          <w:rFonts w:asciiTheme="majorBidi" w:hAnsiTheme="majorBidi" w:cstheme="majorBidi"/>
          <w:szCs w:val="24"/>
          <w:lang w:val="en-GB"/>
        </w:rPr>
      </w:pPr>
      <w:r w:rsidRPr="00642D61">
        <w:rPr>
          <w:rFonts w:asciiTheme="majorBidi" w:hAnsiTheme="majorBidi" w:cstheme="majorBidi"/>
          <w:szCs w:val="24"/>
          <w:lang w:val="en-GB"/>
        </w:rPr>
        <w:t xml:space="preserve">non-directional household lamps (amending </w:t>
      </w:r>
      <w:hyperlink r:id="rId58" w:history="1">
        <w:r w:rsidRPr="009B480D">
          <w:rPr>
            <w:rStyle w:val="Hyperlink"/>
            <w:rFonts w:asciiTheme="majorBidi" w:hAnsiTheme="majorBidi" w:cstheme="majorBidi"/>
            <w:szCs w:val="24"/>
            <w:lang w:val="en-GB"/>
          </w:rPr>
          <w:t>Regulation 244/2009</w:t>
        </w:r>
      </w:hyperlink>
      <w:r w:rsidRPr="00642D61">
        <w:rPr>
          <w:rFonts w:asciiTheme="majorBidi" w:hAnsiTheme="majorBidi" w:cstheme="majorBidi"/>
          <w:szCs w:val="24"/>
          <w:lang w:val="en-GB"/>
        </w:rPr>
        <w:t>)</w:t>
      </w:r>
    </w:p>
    <w:p w14:paraId="1ED314E3" w14:textId="7C4EABB7" w:rsidR="004F6064" w:rsidRPr="00642D61" w:rsidRDefault="004F6064" w:rsidP="002821A0">
      <w:pPr>
        <w:pStyle w:val="ListParagraph"/>
        <w:numPr>
          <w:ilvl w:val="0"/>
          <w:numId w:val="4"/>
        </w:numPr>
        <w:spacing w:line="240" w:lineRule="auto"/>
        <w:rPr>
          <w:rFonts w:asciiTheme="majorBidi" w:hAnsiTheme="majorBidi" w:cstheme="majorBidi"/>
          <w:szCs w:val="24"/>
          <w:lang w:val="en-GB"/>
        </w:rPr>
      </w:pPr>
      <w:r w:rsidRPr="00642D61">
        <w:rPr>
          <w:rFonts w:asciiTheme="majorBidi" w:hAnsiTheme="majorBidi" w:cstheme="majorBidi"/>
          <w:szCs w:val="24"/>
          <w:lang w:val="en-GB"/>
        </w:rPr>
        <w:t xml:space="preserve">fluorescent lamps without integrated ballast, high intensity discharge lamps, and ballasts and luminaires able to operate such lamps (amending </w:t>
      </w:r>
      <w:hyperlink r:id="rId59" w:history="1">
        <w:r w:rsidRPr="009B480D">
          <w:rPr>
            <w:rStyle w:val="Hyperlink"/>
            <w:rFonts w:asciiTheme="majorBidi" w:hAnsiTheme="majorBidi" w:cstheme="majorBidi"/>
            <w:szCs w:val="24"/>
            <w:lang w:val="en-GB"/>
          </w:rPr>
          <w:t>Regulation 245/2009</w:t>
        </w:r>
      </w:hyperlink>
      <w:r w:rsidRPr="00642D61">
        <w:rPr>
          <w:rFonts w:asciiTheme="majorBidi" w:hAnsiTheme="majorBidi" w:cstheme="majorBidi"/>
          <w:szCs w:val="24"/>
          <w:lang w:val="en-GB"/>
        </w:rPr>
        <w:t>)</w:t>
      </w:r>
    </w:p>
    <w:p w14:paraId="22D51485" w14:textId="306E2C1D" w:rsidR="004F6064" w:rsidRPr="001225A5" w:rsidRDefault="00E77DC6" w:rsidP="002821A0">
      <w:pPr>
        <w:pStyle w:val="ListParagraph"/>
        <w:numPr>
          <w:ilvl w:val="0"/>
          <w:numId w:val="4"/>
        </w:numPr>
        <w:spacing w:line="240" w:lineRule="auto"/>
        <w:rPr>
          <w:rFonts w:asciiTheme="majorBidi" w:hAnsiTheme="majorBidi" w:cstheme="majorBidi"/>
          <w:szCs w:val="24"/>
          <w:lang w:val="en-GB"/>
        </w:rPr>
      </w:pPr>
      <w:r>
        <w:rPr>
          <w:rFonts w:asciiTheme="majorBidi" w:hAnsiTheme="majorBidi" w:cstheme="majorBidi"/>
          <w:szCs w:val="24"/>
          <w:lang w:val="en-GB"/>
        </w:rPr>
        <w:t>directional lamps, light-</w:t>
      </w:r>
      <w:r w:rsidR="004F6064" w:rsidRPr="00642D61">
        <w:rPr>
          <w:rFonts w:asciiTheme="majorBidi" w:hAnsiTheme="majorBidi" w:cstheme="majorBidi"/>
          <w:szCs w:val="24"/>
          <w:lang w:val="en-GB"/>
        </w:rPr>
        <w:t xml:space="preserve">emitting diode lamps and related equipment (amending </w:t>
      </w:r>
      <w:hyperlink r:id="rId60" w:history="1">
        <w:r w:rsidR="004F6064" w:rsidRPr="009B480D">
          <w:rPr>
            <w:rStyle w:val="Hyperlink"/>
            <w:rFonts w:asciiTheme="majorBidi" w:hAnsiTheme="majorBidi" w:cstheme="majorBidi"/>
            <w:szCs w:val="24"/>
            <w:lang w:val="en-GB"/>
          </w:rPr>
          <w:t>Regulation 1194/2012</w:t>
        </w:r>
      </w:hyperlink>
      <w:r w:rsidR="004F6064" w:rsidRPr="00642D61">
        <w:rPr>
          <w:rFonts w:asciiTheme="majorBidi" w:hAnsiTheme="majorBidi" w:cstheme="majorBidi"/>
          <w:szCs w:val="24"/>
          <w:lang w:val="en-GB"/>
        </w:rPr>
        <w:t>)</w:t>
      </w:r>
    </w:p>
    <w:p w14:paraId="6380F3CD" w14:textId="12BFD467" w:rsidR="004F6064" w:rsidRDefault="004F6064" w:rsidP="004F6064">
      <w:pPr>
        <w:rPr>
          <w:rFonts w:asciiTheme="majorBidi" w:hAnsiTheme="majorBidi" w:cstheme="majorBidi"/>
        </w:rPr>
      </w:pPr>
      <w:r w:rsidRPr="002A4CB9">
        <w:rPr>
          <w:rFonts w:asciiTheme="majorBidi" w:hAnsiTheme="majorBidi" w:cstheme="majorBidi"/>
        </w:rPr>
        <w:t>The Commission acts are subject to what is known as the regulatory procedure with scrutiny</w:t>
      </w:r>
      <w:r w:rsidRPr="002A4CB9">
        <w:rPr>
          <w:rStyle w:val="FootnoteReference"/>
          <w:rFonts w:asciiTheme="majorBidi" w:hAnsiTheme="majorBidi" w:cstheme="majorBidi"/>
        </w:rPr>
        <w:footnoteReference w:id="1"/>
      </w:r>
      <w:r w:rsidRPr="002A4CB9">
        <w:rPr>
          <w:rFonts w:asciiTheme="majorBidi" w:hAnsiTheme="majorBidi" w:cstheme="majorBidi"/>
        </w:rPr>
        <w:t>. This means that now that the Council has given its consent, the Commission may adopt them, unless the European Parliament objects.</w:t>
      </w:r>
    </w:p>
    <w:p w14:paraId="169431D1" w14:textId="4FF7A69D" w:rsidR="004F6064" w:rsidRDefault="00CE6113" w:rsidP="004F6064">
      <w:pPr>
        <w:pStyle w:val="ItemApproved"/>
      </w:pPr>
      <w:r>
        <w:br w:type="page"/>
      </w:r>
      <w:r w:rsidR="004F6064" w:rsidRPr="00B64D97">
        <w:lastRenderedPageBreak/>
        <w:t>EMPLOYMENT</w:t>
      </w:r>
    </w:p>
    <w:p w14:paraId="4E47E67B" w14:textId="77777777" w:rsidR="004F6064" w:rsidRPr="00B64D97" w:rsidRDefault="004F6064" w:rsidP="004F6064">
      <w:pPr>
        <w:pStyle w:val="Sub-itemApproved"/>
      </w:pPr>
      <w:bookmarkStart w:id="30" w:name="_Toc426453514"/>
      <w:r w:rsidRPr="00B64D97">
        <w:t xml:space="preserve">Mobilisation of the European Globalisation Adjustment Fund for </w:t>
      </w:r>
      <w:r>
        <w:t>Finland</w:t>
      </w:r>
      <w:bookmarkEnd w:id="30"/>
    </w:p>
    <w:p w14:paraId="3761E86E" w14:textId="2FCB94BC" w:rsidR="004F6064" w:rsidRDefault="004F6064" w:rsidP="005353E0">
      <w:r>
        <w:t xml:space="preserve">The Council adopted the three following decisions mobilising € 1.37 million under the European Globalisation Adjustment Fund (EGF), providing support for 568 workers made redundant in </w:t>
      </w:r>
      <w:r>
        <w:rPr>
          <w:noProof/>
          <w:lang w:val="en-IE"/>
        </w:rPr>
        <w:t>Broadcom Communications Finland and two suppliers or downstream producers.</w:t>
      </w:r>
    </w:p>
    <w:p w14:paraId="421EA571" w14:textId="77777777" w:rsidR="004F6064" w:rsidRDefault="004F6064" w:rsidP="004F6064">
      <w:r>
        <w:t>The EGF helps workers to find new jobs and develop new skills when they have lost their jobs as a result of changing global trade patterns, e.g. when a large company shuts down or a factory is moved outside the EU, or as a result of the global financial and economic crisis. The help of the EGF consists in co-financing measures such as job-search assistance, careers advice, tailor-made training and re-training, mentoring and promoting entrepreneurship. It also provides one-off, time-limited individual support, such as job-search allowances, mobility allowances and allowances for participating in lifelong learning and training activities.</w:t>
      </w:r>
    </w:p>
    <w:p w14:paraId="2CBDC5F4" w14:textId="77777777" w:rsidR="004F6064" w:rsidRPr="00321ED6" w:rsidRDefault="004F6064" w:rsidP="004F6064">
      <w:pPr>
        <w:pStyle w:val="ItemApproved"/>
      </w:pPr>
      <w:r w:rsidRPr="002A4CB9">
        <w:t>FOOD LAW</w:t>
      </w:r>
    </w:p>
    <w:p w14:paraId="075FFCAF" w14:textId="77777777" w:rsidR="004F6064" w:rsidRPr="0025799D" w:rsidRDefault="004F6064" w:rsidP="004F6064">
      <w:pPr>
        <w:pStyle w:val="Sub-itemApproved"/>
      </w:pPr>
      <w:bookmarkStart w:id="31" w:name="_Toc426453516"/>
      <w:r w:rsidRPr="0025799D">
        <w:t>Authorisation of certain colours in dried potato granules and flakes</w:t>
      </w:r>
      <w:bookmarkEnd w:id="31"/>
    </w:p>
    <w:p w14:paraId="086D6D4A" w14:textId="00D788BC" w:rsidR="004F6064" w:rsidRDefault="004F6064" w:rsidP="004F6064">
      <w:r w:rsidRPr="00FB7164">
        <w:t>The Council decided not to oppose the adoption of a Commission regulation</w:t>
      </w:r>
      <w:r>
        <w:t xml:space="preserve"> concerning </w:t>
      </w:r>
      <w:r w:rsidRPr="007C2325">
        <w:t>the use of</w:t>
      </w:r>
      <w:r>
        <w:t xml:space="preserve"> certain colours</w:t>
      </w:r>
      <w:r w:rsidRPr="007C2325">
        <w:t xml:space="preserve"> </w:t>
      </w:r>
      <w:r w:rsidRPr="00416618">
        <w:t xml:space="preserve">in </w:t>
      </w:r>
      <w:r w:rsidRPr="002A5ABA">
        <w:t>dried potato granules and flakes</w:t>
      </w:r>
      <w:r>
        <w:t xml:space="preserve"> (</w:t>
      </w:r>
      <w:hyperlink r:id="rId61" w:tooltip="http://data.consilium.europa.eu/doc/document/ST-9533-2015-INIT/en/pdf" w:history="1">
        <w:r>
          <w:rPr>
            <w:rStyle w:val="Hyperlink"/>
            <w:i/>
            <w:iCs/>
          </w:rPr>
          <w:t>9533/15</w:t>
        </w:r>
      </w:hyperlink>
      <w:r>
        <w:t>). The regulation authorise</w:t>
      </w:r>
      <w:r w:rsidR="009F2E2A">
        <w:t xml:space="preserve">s </w:t>
      </w:r>
      <w:proofErr w:type="spellStart"/>
      <w:r w:rsidR="009F2E2A">
        <w:t>r</w:t>
      </w:r>
      <w:r w:rsidRPr="001D0F5A">
        <w:t>iboflavins</w:t>
      </w:r>
      <w:proofErr w:type="spellEnd"/>
      <w:r w:rsidRPr="001D0F5A">
        <w:t xml:space="preserve"> (E 101) and </w:t>
      </w:r>
      <w:r>
        <w:t xml:space="preserve">carotenes (E 160a) for </w:t>
      </w:r>
      <w:r w:rsidRPr="001D0F5A">
        <w:t xml:space="preserve">use in dried potato granules and flakes to restore a visually acceptable appearance of the final product </w:t>
      </w:r>
      <w:r>
        <w:t>intended</w:t>
      </w:r>
      <w:r w:rsidRPr="001D0F5A">
        <w:t xml:space="preserve"> for consumption</w:t>
      </w:r>
    </w:p>
    <w:p w14:paraId="69066DB2" w14:textId="77777777" w:rsidR="004F6064" w:rsidRPr="00321ED6" w:rsidRDefault="004F6064" w:rsidP="004F6064">
      <w:r>
        <w:t xml:space="preserve">The Commission regulation is subject to the so called </w:t>
      </w:r>
      <w:r w:rsidRPr="00FB7164">
        <w:t>regulatory procedure with scrutiny</w:t>
      </w:r>
      <w:r>
        <w:t>. This means that now that the Council has given its consent, the Commission may adopt the regulation/decision/directive, unless the European Parliament objects.</w:t>
      </w:r>
    </w:p>
    <w:p w14:paraId="36AB403F" w14:textId="6ABFA67B" w:rsidR="004F6064" w:rsidRDefault="00CE6113" w:rsidP="002821A0">
      <w:pPr>
        <w:pStyle w:val="ItemApproved"/>
        <w:spacing w:before="120"/>
      </w:pPr>
      <w:r>
        <w:br w:type="page"/>
      </w:r>
      <w:bookmarkStart w:id="32" w:name="ControlPages"/>
      <w:bookmarkEnd w:id="32"/>
      <w:r w:rsidR="004F6064">
        <w:lastRenderedPageBreak/>
        <w:t>TRANSPARENCY</w:t>
      </w:r>
    </w:p>
    <w:p w14:paraId="62CC9105" w14:textId="77777777" w:rsidR="004F6064" w:rsidRDefault="004F6064" w:rsidP="002821A0">
      <w:pPr>
        <w:pStyle w:val="Sub-itemApproved"/>
        <w:spacing w:before="120" w:line="240" w:lineRule="exact"/>
      </w:pPr>
      <w:bookmarkStart w:id="33" w:name="_Toc426453518"/>
      <w:r w:rsidRPr="0039305A">
        <w:t>Access to documents</w:t>
      </w:r>
      <w:bookmarkEnd w:id="33"/>
    </w:p>
    <w:p w14:paraId="2C6D1D8F" w14:textId="77777777" w:rsidR="002821A0" w:rsidRDefault="004F6064" w:rsidP="00EB33B7">
      <w:pPr>
        <w:pStyle w:val="EndnoteText"/>
        <w:suppressAutoHyphens/>
        <w:rPr>
          <w:lang w:val="en-GB"/>
        </w:rPr>
      </w:pPr>
      <w:r>
        <w:rPr>
          <w:lang w:val="en-GB"/>
        </w:rPr>
        <w:t>On 13 July</w:t>
      </w:r>
      <w:r>
        <w:rPr>
          <w:b/>
          <w:lang w:val="en-GB"/>
        </w:rPr>
        <w:t xml:space="preserve"> </w:t>
      </w:r>
      <w:r>
        <w:rPr>
          <w:lang w:val="en-GB"/>
        </w:rPr>
        <w:t>2015, the Council approved:</w:t>
      </w:r>
    </w:p>
    <w:p w14:paraId="3CB989BB" w14:textId="7113B031" w:rsidR="004F6064" w:rsidRDefault="004F6064" w:rsidP="00EB33B7">
      <w:pPr>
        <w:pStyle w:val="EndnoteText"/>
        <w:suppressAutoHyphens/>
        <w:rPr>
          <w:bCs/>
          <w:szCs w:val="24"/>
          <w:lang w:val="en-GB"/>
        </w:rPr>
      </w:pPr>
      <w:r>
        <w:rPr>
          <w:lang w:val="en-GB"/>
        </w:rPr>
        <w:t>- the reply to confirmatory application No 11</w:t>
      </w:r>
      <w:r>
        <w:rPr>
          <w:szCs w:val="24"/>
        </w:rPr>
        <w:t xml:space="preserve">/c/01/15 </w:t>
      </w:r>
      <w:r>
        <w:t>(</w:t>
      </w:r>
      <w:hyperlink r:id="rId62" w:tooltip="http://data.consilium.europa.eu/doc/document/ST-9044-2015-INIT/en/pdf" w:history="1">
        <w:r w:rsidR="009B480D">
          <w:rPr>
            <w:rStyle w:val="Hyperlink"/>
          </w:rPr>
          <w:t>9044/15</w:t>
        </w:r>
      </w:hyperlink>
      <w:r>
        <w:rPr>
          <w:bCs/>
          <w:szCs w:val="24"/>
          <w:lang w:val="en-GB"/>
        </w:rPr>
        <w:t>).</w:t>
      </w:r>
    </w:p>
    <w:p w14:paraId="5092EF57" w14:textId="77777777" w:rsidR="004F6064" w:rsidRPr="006C1365" w:rsidRDefault="004F6064" w:rsidP="002821A0">
      <w:pPr>
        <w:pStyle w:val="ItemApproved"/>
      </w:pPr>
      <w:r w:rsidRPr="006C1365">
        <w:t>DECISIONS ADOPTED BY WRITTEN PROCEDURE</w:t>
      </w:r>
    </w:p>
    <w:p w14:paraId="2FF4C163" w14:textId="77777777" w:rsidR="004F6064" w:rsidRPr="002A4CB9" w:rsidRDefault="004F6064" w:rsidP="002821A0">
      <w:pPr>
        <w:pStyle w:val="Sub-itemApproved"/>
      </w:pPr>
      <w:bookmarkStart w:id="34" w:name="_Toc426453520"/>
      <w:r>
        <w:t>Transparency - A</w:t>
      </w:r>
      <w:r w:rsidRPr="002A4CB9">
        <w:t>ccess to documents</w:t>
      </w:r>
      <w:bookmarkEnd w:id="34"/>
    </w:p>
    <w:p w14:paraId="0DF9996F" w14:textId="40373429" w:rsidR="004F6064" w:rsidRPr="00EB33B7" w:rsidRDefault="004F6064" w:rsidP="00EB33B7">
      <w:pPr>
        <w:rPr>
          <w:lang w:val="fr-BE"/>
        </w:rPr>
      </w:pPr>
      <w:r w:rsidRPr="00832C42">
        <w:t xml:space="preserve">On </w:t>
      </w:r>
      <w:r>
        <w:t xml:space="preserve">26 June 2015, the Council </w:t>
      </w:r>
      <w:r w:rsidR="009F2E2A" w:rsidRPr="00885F0F">
        <w:t>unanimously</w:t>
      </w:r>
      <w:r w:rsidR="009F2E2A">
        <w:t xml:space="preserve"> </w:t>
      </w:r>
      <w:r>
        <w:t>adopted the replies to</w:t>
      </w:r>
      <w:r w:rsidR="009F2E2A">
        <w:t xml:space="preserve"> the</w:t>
      </w:r>
      <w:r>
        <w:t xml:space="preserve"> confirmatory applications </w:t>
      </w:r>
      <w:r w:rsidR="009F2E2A">
        <w:t xml:space="preserve">numbered 10/c/01/15, 12/c/02/15, 13/c/02/15 and </w:t>
      </w:r>
      <w:r>
        <w:t xml:space="preserve">14/c/03/15. See documents </w:t>
      </w:r>
      <w:hyperlink r:id="rId63" w:tooltip="http://data.consilium.europa.eu/doc/document/ST-9041-2015-INIT/en/pdf" w:history="1">
        <w:r>
          <w:rPr>
            <w:rStyle w:val="Hyperlink"/>
          </w:rPr>
          <w:t>9041/15</w:t>
        </w:r>
      </w:hyperlink>
      <w:r>
        <w:t xml:space="preserve">, </w:t>
      </w:r>
      <w:hyperlink r:id="rId64" w:tooltip="http://data.consilium.europa.eu/doc/document/ST-9222-2015-INIT/en/pdf" w:history="1">
        <w:r>
          <w:rPr>
            <w:rStyle w:val="Hyperlink"/>
          </w:rPr>
          <w:t>9222/15</w:t>
        </w:r>
      </w:hyperlink>
      <w:r>
        <w:t xml:space="preserve">, </w:t>
      </w:r>
      <w:hyperlink r:id="rId65" w:tooltip="http://data.consilium.europa.eu/doc/document/ST-9546-2015-INIT/en/pdf" w:history="1">
        <w:r>
          <w:rPr>
            <w:rStyle w:val="Hyperlink"/>
          </w:rPr>
          <w:t>9546/15</w:t>
        </w:r>
      </w:hyperlink>
      <w:r>
        <w:t xml:space="preserve"> and </w:t>
      </w:r>
      <w:hyperlink r:id="rId66" w:tooltip="http://data.consilium.europa.eu/doc/document/ST-9564-2015-INIT/en/pdf" w:history="1">
        <w:r>
          <w:rPr>
            <w:rStyle w:val="Hyperlink"/>
          </w:rPr>
          <w:t>9564/15</w:t>
        </w:r>
      </w:hyperlink>
      <w:r>
        <w:t>.</w:t>
      </w:r>
    </w:p>
    <w:sectPr w:rsidR="004F6064" w:rsidRPr="00EB33B7" w:rsidSect="00230F20">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1D8B3" w14:textId="77777777" w:rsidR="00E77DC6" w:rsidRDefault="00E77DC6">
      <w:pPr>
        <w:spacing w:before="0" w:after="0"/>
      </w:pPr>
      <w:r>
        <w:separator/>
      </w:r>
    </w:p>
  </w:endnote>
  <w:endnote w:type="continuationSeparator" w:id="0">
    <w:p w14:paraId="04FA307A" w14:textId="77777777" w:rsidR="00E77DC6" w:rsidRDefault="00E77D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6FDFE" w14:textId="77777777" w:rsidR="00230F20" w:rsidRPr="00230F20" w:rsidRDefault="00230F20" w:rsidP="00230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30F20" w:rsidRPr="007410E8" w14:paraId="262E9D63" w14:textId="77777777" w:rsidTr="00230F20">
      <w:trPr>
        <w:jc w:val="center"/>
      </w:trPr>
      <w:tc>
        <w:tcPr>
          <w:tcW w:w="2604" w:type="pct"/>
          <w:shd w:val="clear" w:color="auto" w:fill="auto"/>
        </w:tcPr>
        <w:p w14:paraId="69F69931" w14:textId="77777777" w:rsidR="00230F20" w:rsidRPr="007410E8" w:rsidRDefault="00230F20" w:rsidP="0035025C">
          <w:pPr>
            <w:pStyle w:val="FooterText"/>
            <w:rPr>
              <w:sz w:val="16"/>
              <w:szCs w:val="16"/>
            </w:rPr>
          </w:pPr>
          <w:bookmarkStart w:id="2" w:name="FOOTER_PR_STANDARD"/>
        </w:p>
      </w:tc>
      <w:tc>
        <w:tcPr>
          <w:tcW w:w="1319" w:type="pct"/>
          <w:shd w:val="clear" w:color="auto" w:fill="auto"/>
        </w:tcPr>
        <w:p w14:paraId="345FDCBF" w14:textId="77777777" w:rsidR="00230F20" w:rsidRPr="007410E8" w:rsidRDefault="00230F20" w:rsidP="0035025C">
          <w:pPr>
            <w:pStyle w:val="FooterText"/>
            <w:rPr>
              <w:sz w:val="16"/>
              <w:szCs w:val="16"/>
            </w:rPr>
          </w:pPr>
        </w:p>
      </w:tc>
      <w:tc>
        <w:tcPr>
          <w:tcW w:w="1077" w:type="pct"/>
          <w:shd w:val="clear" w:color="auto" w:fill="auto"/>
        </w:tcPr>
        <w:p w14:paraId="5CA44D19" w14:textId="77777777" w:rsidR="00230F20" w:rsidRPr="007410E8" w:rsidRDefault="00230F20" w:rsidP="0035025C">
          <w:pPr>
            <w:pStyle w:val="FooterText"/>
            <w:jc w:val="right"/>
            <w:rPr>
              <w:sz w:val="16"/>
              <w:szCs w:val="16"/>
            </w:rPr>
          </w:pPr>
        </w:p>
      </w:tc>
    </w:tr>
    <w:tr w:rsidR="00230F20" w:rsidRPr="007410E8" w14:paraId="52B01BD3" w14:textId="77777777" w:rsidTr="00230F20">
      <w:trPr>
        <w:jc w:val="center"/>
      </w:trPr>
      <w:tc>
        <w:tcPr>
          <w:tcW w:w="2604" w:type="pct"/>
          <w:shd w:val="clear" w:color="auto" w:fill="auto"/>
        </w:tcPr>
        <w:p w14:paraId="6558A89E" w14:textId="6BF6960F" w:rsidR="00230F20" w:rsidRPr="007410E8" w:rsidRDefault="00230F20" w:rsidP="0035025C">
          <w:pPr>
            <w:pStyle w:val="FooterText"/>
            <w:rPr>
              <w:sz w:val="16"/>
            </w:rPr>
          </w:pPr>
          <w:r>
            <w:t>10819/15</w:t>
          </w:r>
          <w:r w:rsidRPr="002511D8">
            <w:t xml:space="preserve"> </w:t>
          </w:r>
        </w:p>
      </w:tc>
      <w:tc>
        <w:tcPr>
          <w:tcW w:w="1319" w:type="pct"/>
          <w:shd w:val="clear" w:color="auto" w:fill="auto"/>
        </w:tcPr>
        <w:p w14:paraId="1549A472" w14:textId="77777777" w:rsidR="00230F20" w:rsidRPr="007410E8" w:rsidRDefault="00230F20" w:rsidP="0035025C">
          <w:pPr>
            <w:pStyle w:val="FooterText"/>
            <w:rPr>
              <w:sz w:val="16"/>
            </w:rPr>
          </w:pPr>
        </w:p>
      </w:tc>
      <w:tc>
        <w:tcPr>
          <w:tcW w:w="1077" w:type="pct"/>
          <w:shd w:val="clear" w:color="auto" w:fill="auto"/>
        </w:tcPr>
        <w:p w14:paraId="4536643C" w14:textId="66A1FB67" w:rsidR="00230F20" w:rsidRPr="007410E8" w:rsidRDefault="00230F20" w:rsidP="0035025C">
          <w:pPr>
            <w:pStyle w:val="FooterText"/>
            <w:jc w:val="right"/>
            <w:rPr>
              <w:sz w:val="16"/>
            </w:rPr>
          </w:pPr>
          <w:r>
            <w:fldChar w:fldCharType="begin"/>
          </w:r>
          <w:r>
            <w:instrText xml:space="preserve"> PAGE  \* MERGEFORMAT </w:instrText>
          </w:r>
          <w:r>
            <w:fldChar w:fldCharType="separate"/>
          </w:r>
          <w:r>
            <w:rPr>
              <w:noProof/>
            </w:rPr>
            <w:t>16</w:t>
          </w:r>
          <w:r>
            <w:fldChar w:fldCharType="end"/>
          </w:r>
        </w:p>
      </w:tc>
    </w:tr>
    <w:tr w:rsidR="00230F20" w:rsidRPr="007410E8" w14:paraId="1B0500EB" w14:textId="77777777" w:rsidTr="00230F20">
      <w:trPr>
        <w:jc w:val="center"/>
      </w:trPr>
      <w:tc>
        <w:tcPr>
          <w:tcW w:w="2604" w:type="pct"/>
          <w:shd w:val="clear" w:color="auto" w:fill="auto"/>
        </w:tcPr>
        <w:p w14:paraId="4928592D" w14:textId="0E6F8801" w:rsidR="00230F20" w:rsidRPr="007410E8" w:rsidRDefault="00230F20" w:rsidP="0035025C">
          <w:pPr>
            <w:pStyle w:val="FooterText"/>
            <w:rPr>
              <w:sz w:val="16"/>
            </w:rPr>
          </w:pPr>
        </w:p>
      </w:tc>
      <w:tc>
        <w:tcPr>
          <w:tcW w:w="1319" w:type="pct"/>
          <w:shd w:val="clear" w:color="auto" w:fill="auto"/>
        </w:tcPr>
        <w:p w14:paraId="2BF1DFED" w14:textId="77777777" w:rsidR="00230F20" w:rsidRPr="007410E8" w:rsidRDefault="00230F20" w:rsidP="0035025C">
          <w:pPr>
            <w:pStyle w:val="FooterText"/>
            <w:rPr>
              <w:sz w:val="16"/>
            </w:rPr>
          </w:pPr>
        </w:p>
      </w:tc>
      <w:tc>
        <w:tcPr>
          <w:tcW w:w="1077" w:type="pct"/>
          <w:shd w:val="clear" w:color="auto" w:fill="auto"/>
        </w:tcPr>
        <w:p w14:paraId="792852FF" w14:textId="00105A94" w:rsidR="00230F20" w:rsidRPr="007410E8" w:rsidRDefault="00230F20" w:rsidP="0035025C">
          <w:pPr>
            <w:pStyle w:val="FooterText"/>
            <w:jc w:val="right"/>
            <w:rPr>
              <w:sz w:val="16"/>
            </w:rPr>
          </w:pPr>
          <w:r>
            <w:rPr>
              <w:b/>
              <w:position w:val="-4"/>
              <w:sz w:val="36"/>
            </w:rPr>
            <w:t>EN</w:t>
          </w:r>
        </w:p>
      </w:tc>
    </w:tr>
    <w:bookmarkEnd w:id="2"/>
  </w:tbl>
  <w:p w14:paraId="439FC918" w14:textId="77777777" w:rsidR="00E77DC6" w:rsidRPr="00230F20" w:rsidRDefault="00E77DC6" w:rsidP="00230F2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230F20" w:rsidRPr="009C2FB3" w14:paraId="477697D6" w14:textId="77777777" w:rsidTr="00230F20">
      <w:trPr>
        <w:jc w:val="center"/>
      </w:trPr>
      <w:tc>
        <w:tcPr>
          <w:tcW w:w="569" w:type="pct"/>
          <w:shd w:val="clear" w:color="auto" w:fill="auto"/>
        </w:tcPr>
        <w:p w14:paraId="425C6E60" w14:textId="77777777" w:rsidR="00230F20" w:rsidRPr="009C2FB3" w:rsidRDefault="00230F20" w:rsidP="0035025C">
          <w:pPr>
            <w:pStyle w:val="FooterText"/>
          </w:pPr>
          <w:bookmarkStart w:id="3" w:name="FOOTER_PR_COVERPAGE"/>
        </w:p>
      </w:tc>
      <w:tc>
        <w:tcPr>
          <w:tcW w:w="3760" w:type="pct"/>
          <w:gridSpan w:val="3"/>
          <w:shd w:val="clear" w:color="auto" w:fill="auto"/>
          <w:noWrap/>
        </w:tcPr>
        <w:p w14:paraId="6F032BAB" w14:textId="6ED9A39C" w:rsidR="00230F20" w:rsidRPr="00F37CD6" w:rsidRDefault="00230F20"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14:paraId="67AF344F" w14:textId="77777777" w:rsidR="00230F20" w:rsidRPr="009C2FB3" w:rsidRDefault="00230F20" w:rsidP="0035025C">
          <w:pPr>
            <w:pStyle w:val="FooterText"/>
          </w:pPr>
        </w:p>
      </w:tc>
    </w:tr>
    <w:tr w:rsidR="00230F20" w:rsidRPr="00230F20" w14:paraId="5665BB37" w14:textId="77777777" w:rsidTr="00230F20">
      <w:trPr>
        <w:jc w:val="center"/>
      </w:trPr>
      <w:tc>
        <w:tcPr>
          <w:tcW w:w="5000" w:type="pct"/>
          <w:gridSpan w:val="5"/>
          <w:shd w:val="clear" w:color="auto" w:fill="auto"/>
        </w:tcPr>
        <w:p w14:paraId="2BABBE1E" w14:textId="77777777" w:rsidR="00230F20" w:rsidRPr="00230F20" w:rsidRDefault="00230F20" w:rsidP="0035025C">
          <w:pPr>
            <w:pStyle w:val="FooterAddressText"/>
            <w:rPr>
              <w:lang w:val="fr-BE"/>
            </w:rPr>
          </w:pPr>
        </w:p>
        <w:p w14:paraId="76A94269" w14:textId="13AC8267" w:rsidR="00230F20" w:rsidRPr="00230F20" w:rsidRDefault="00230F20" w:rsidP="0035025C">
          <w:pPr>
            <w:pStyle w:val="FooterAddressText"/>
            <w:rPr>
              <w:lang w:val="fr-BE"/>
            </w:rPr>
          </w:pPr>
          <w:r w:rsidRPr="00230F20">
            <w:rPr>
              <w:lang w:val="fr-BE"/>
            </w:rPr>
            <w:t>Rue de la Loi 175  B – 1048 BRUSSELS  Tel.: +32 (0)2 281 6319  Fax: +32 (0)2 281 8026</w:t>
          </w:r>
        </w:p>
      </w:tc>
    </w:tr>
    <w:tr w:rsidR="00230F20" w:rsidRPr="00230F20" w14:paraId="0C9850A6" w14:textId="77777777" w:rsidTr="00230F20">
      <w:trPr>
        <w:jc w:val="center"/>
      </w:trPr>
      <w:tc>
        <w:tcPr>
          <w:tcW w:w="5000" w:type="pct"/>
          <w:gridSpan w:val="5"/>
          <w:shd w:val="clear" w:color="auto" w:fill="auto"/>
        </w:tcPr>
        <w:p w14:paraId="17CC1D9A" w14:textId="4DD65F84" w:rsidR="00230F20" w:rsidRPr="00230F20" w:rsidRDefault="00230F20" w:rsidP="0035025C">
          <w:pPr>
            <w:pStyle w:val="FooterText"/>
            <w:jc w:val="center"/>
            <w:rPr>
              <w:sz w:val="20"/>
              <w:szCs w:val="20"/>
              <w:lang w:val="fr-BE"/>
            </w:rPr>
          </w:pPr>
          <w:hyperlink r:id="rId1" w:history="1">
            <w:r w:rsidRPr="00230F20">
              <w:rPr>
                <w:rStyle w:val="Hyperlink"/>
                <w:sz w:val="20"/>
                <w:lang w:val="fr-BE"/>
              </w:rPr>
              <w:t>press.office@consilium.europa.eu</w:t>
            </w:r>
          </w:hyperlink>
          <w:r w:rsidRPr="00230F20">
            <w:rPr>
              <w:sz w:val="20"/>
              <w:szCs w:val="20"/>
              <w:lang w:val="fr-BE"/>
            </w:rPr>
            <w:t xml:space="preserve">  </w:t>
          </w:r>
          <w:hyperlink r:id="rId2" w:history="1">
            <w:r w:rsidRPr="00230F20">
              <w:rPr>
                <w:rStyle w:val="Hyperlink"/>
                <w:sz w:val="20"/>
                <w:lang w:val="fr-BE"/>
              </w:rPr>
              <w:t>http://www.consilium.europa.eu/press</w:t>
            </w:r>
          </w:hyperlink>
        </w:p>
      </w:tc>
    </w:tr>
    <w:tr w:rsidR="00230F20" w:rsidRPr="007410E8" w14:paraId="286BF0FA" w14:textId="77777777" w:rsidTr="00230F20">
      <w:trPr>
        <w:jc w:val="center"/>
      </w:trPr>
      <w:tc>
        <w:tcPr>
          <w:tcW w:w="2604" w:type="pct"/>
          <w:gridSpan w:val="2"/>
          <w:shd w:val="clear" w:color="auto" w:fill="auto"/>
        </w:tcPr>
        <w:p w14:paraId="4A5AB085" w14:textId="4B920335" w:rsidR="00230F20" w:rsidRPr="007410E8" w:rsidRDefault="00230F20" w:rsidP="0035025C">
          <w:pPr>
            <w:pStyle w:val="FooterText"/>
            <w:spacing w:before="60"/>
            <w:rPr>
              <w:sz w:val="16"/>
            </w:rPr>
          </w:pPr>
          <w:r>
            <w:t>10819/15</w:t>
          </w:r>
          <w:r w:rsidRPr="002511D8">
            <w:t xml:space="preserve"> </w:t>
          </w:r>
        </w:p>
      </w:tc>
      <w:tc>
        <w:tcPr>
          <w:tcW w:w="1319" w:type="pct"/>
          <w:shd w:val="clear" w:color="auto" w:fill="auto"/>
        </w:tcPr>
        <w:p w14:paraId="1432AB58" w14:textId="77777777" w:rsidR="00230F20" w:rsidRPr="007410E8" w:rsidRDefault="00230F20" w:rsidP="0035025C">
          <w:pPr>
            <w:pStyle w:val="FooterText"/>
            <w:spacing w:before="120"/>
            <w:rPr>
              <w:sz w:val="16"/>
            </w:rPr>
          </w:pPr>
        </w:p>
      </w:tc>
      <w:tc>
        <w:tcPr>
          <w:tcW w:w="1077" w:type="pct"/>
          <w:gridSpan w:val="2"/>
          <w:shd w:val="clear" w:color="auto" w:fill="auto"/>
        </w:tcPr>
        <w:p w14:paraId="76E41E51" w14:textId="67AEFD97" w:rsidR="00230F20" w:rsidRPr="007410E8" w:rsidRDefault="00230F20"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230F20" w:rsidRPr="007410E8" w14:paraId="305329D1" w14:textId="77777777" w:rsidTr="00230F20">
      <w:trPr>
        <w:jc w:val="center"/>
      </w:trPr>
      <w:tc>
        <w:tcPr>
          <w:tcW w:w="2604" w:type="pct"/>
          <w:gridSpan w:val="2"/>
          <w:shd w:val="clear" w:color="auto" w:fill="auto"/>
        </w:tcPr>
        <w:p w14:paraId="500881B5" w14:textId="77777777" w:rsidR="00230F20" w:rsidRPr="007410E8" w:rsidRDefault="00230F20" w:rsidP="0035025C">
          <w:pPr>
            <w:pStyle w:val="FooterText"/>
            <w:rPr>
              <w:sz w:val="16"/>
            </w:rPr>
          </w:pPr>
        </w:p>
      </w:tc>
      <w:tc>
        <w:tcPr>
          <w:tcW w:w="1319" w:type="pct"/>
          <w:shd w:val="clear" w:color="auto" w:fill="auto"/>
        </w:tcPr>
        <w:p w14:paraId="7164E341" w14:textId="77777777" w:rsidR="00230F20" w:rsidRPr="007410E8" w:rsidRDefault="00230F20" w:rsidP="0035025C">
          <w:pPr>
            <w:pStyle w:val="FooterText"/>
            <w:rPr>
              <w:sz w:val="16"/>
            </w:rPr>
          </w:pPr>
        </w:p>
      </w:tc>
      <w:tc>
        <w:tcPr>
          <w:tcW w:w="1077" w:type="pct"/>
          <w:gridSpan w:val="2"/>
          <w:shd w:val="clear" w:color="auto" w:fill="auto"/>
        </w:tcPr>
        <w:p w14:paraId="466F2109" w14:textId="7373400A" w:rsidR="00230F20" w:rsidRPr="007410E8" w:rsidRDefault="00230F20" w:rsidP="0035025C">
          <w:pPr>
            <w:pStyle w:val="FooterText"/>
            <w:jc w:val="right"/>
            <w:rPr>
              <w:sz w:val="16"/>
            </w:rPr>
          </w:pPr>
          <w:r>
            <w:rPr>
              <w:b/>
              <w:position w:val="-4"/>
              <w:sz w:val="36"/>
            </w:rPr>
            <w:t>EN</w:t>
          </w:r>
        </w:p>
      </w:tc>
    </w:tr>
    <w:bookmarkEnd w:id="3"/>
  </w:tbl>
  <w:p w14:paraId="06EDDB9C" w14:textId="77777777" w:rsidR="00E77DC6" w:rsidRPr="00230F20" w:rsidRDefault="00E77DC6" w:rsidP="00230F20">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30F20" w:rsidRPr="007410E8" w14:paraId="3E91AC7D" w14:textId="77777777" w:rsidTr="00230F20">
      <w:trPr>
        <w:jc w:val="center"/>
      </w:trPr>
      <w:tc>
        <w:tcPr>
          <w:tcW w:w="5000" w:type="pct"/>
          <w:gridSpan w:val="3"/>
          <w:shd w:val="clear" w:color="auto" w:fill="auto"/>
        </w:tcPr>
        <w:p w14:paraId="45F58FEC" w14:textId="655189EA" w:rsidR="00230F20" w:rsidRPr="007410E8" w:rsidRDefault="00230F20"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14:paraId="789F203B" w14:textId="36992FD5" w:rsidR="00230F20" w:rsidRPr="007410E8" w:rsidRDefault="00230F2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14:paraId="0BA46CED" w14:textId="29BDDA43" w:rsidR="00230F20" w:rsidRPr="007410E8" w:rsidRDefault="00230F2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14:paraId="3DF36C61" w14:textId="77777777" w:rsidR="00230F20" w:rsidRPr="007410E8" w:rsidRDefault="00230F20" w:rsidP="0035025C">
          <w:pPr>
            <w:pStyle w:val="FooterText"/>
            <w:tabs>
              <w:tab w:val="left" w:pos="285"/>
              <w:tab w:val="left" w:pos="585"/>
            </w:tabs>
            <w:rPr>
              <w:sz w:val="21"/>
              <w:szCs w:val="21"/>
            </w:rPr>
          </w:pPr>
        </w:p>
      </w:tc>
    </w:tr>
    <w:tr w:rsidR="00230F20" w:rsidRPr="007410E8" w14:paraId="3B2ED114" w14:textId="77777777" w:rsidTr="00230F20">
      <w:trPr>
        <w:jc w:val="center"/>
      </w:trPr>
      <w:tc>
        <w:tcPr>
          <w:tcW w:w="2604" w:type="pct"/>
          <w:shd w:val="clear" w:color="auto" w:fill="auto"/>
        </w:tcPr>
        <w:p w14:paraId="75931CC9" w14:textId="57F86424" w:rsidR="00230F20" w:rsidRPr="007410E8" w:rsidRDefault="00230F20" w:rsidP="0035025C">
          <w:pPr>
            <w:pStyle w:val="FooterText"/>
            <w:rPr>
              <w:sz w:val="16"/>
            </w:rPr>
          </w:pPr>
          <w:r>
            <w:t>10819/15</w:t>
          </w:r>
          <w:r w:rsidRPr="002511D8">
            <w:t xml:space="preserve"> </w:t>
          </w:r>
        </w:p>
      </w:tc>
      <w:tc>
        <w:tcPr>
          <w:tcW w:w="1319" w:type="pct"/>
          <w:shd w:val="clear" w:color="auto" w:fill="auto"/>
        </w:tcPr>
        <w:p w14:paraId="27C44202" w14:textId="77777777" w:rsidR="00230F20" w:rsidRPr="007410E8" w:rsidRDefault="00230F20" w:rsidP="0035025C">
          <w:pPr>
            <w:pStyle w:val="FooterText"/>
            <w:rPr>
              <w:sz w:val="16"/>
            </w:rPr>
          </w:pPr>
        </w:p>
      </w:tc>
      <w:tc>
        <w:tcPr>
          <w:tcW w:w="1077" w:type="pct"/>
          <w:shd w:val="clear" w:color="auto" w:fill="auto"/>
        </w:tcPr>
        <w:p w14:paraId="2F250B4A" w14:textId="01820B15" w:rsidR="00230F20" w:rsidRPr="007410E8" w:rsidRDefault="00230F20"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230F20" w:rsidRPr="007410E8" w14:paraId="68C15DD0" w14:textId="77777777" w:rsidTr="00230F20">
      <w:trPr>
        <w:jc w:val="center"/>
      </w:trPr>
      <w:tc>
        <w:tcPr>
          <w:tcW w:w="2604" w:type="pct"/>
          <w:shd w:val="clear" w:color="auto" w:fill="auto"/>
        </w:tcPr>
        <w:p w14:paraId="0E17B2C7" w14:textId="4238A908" w:rsidR="00230F20" w:rsidRPr="007410E8" w:rsidRDefault="00230F20" w:rsidP="0035025C">
          <w:pPr>
            <w:pStyle w:val="FooterText"/>
            <w:rPr>
              <w:sz w:val="16"/>
            </w:rPr>
          </w:pPr>
        </w:p>
      </w:tc>
      <w:tc>
        <w:tcPr>
          <w:tcW w:w="1319" w:type="pct"/>
          <w:shd w:val="clear" w:color="auto" w:fill="auto"/>
        </w:tcPr>
        <w:p w14:paraId="3E322CD9" w14:textId="77777777" w:rsidR="00230F20" w:rsidRPr="007410E8" w:rsidRDefault="00230F20" w:rsidP="0035025C">
          <w:pPr>
            <w:pStyle w:val="FooterText"/>
            <w:rPr>
              <w:sz w:val="16"/>
            </w:rPr>
          </w:pPr>
        </w:p>
      </w:tc>
      <w:tc>
        <w:tcPr>
          <w:tcW w:w="1077" w:type="pct"/>
          <w:shd w:val="clear" w:color="auto" w:fill="auto"/>
        </w:tcPr>
        <w:p w14:paraId="25EF4F49" w14:textId="6924C223" w:rsidR="00230F20" w:rsidRPr="007410E8" w:rsidRDefault="00230F20" w:rsidP="0035025C">
          <w:pPr>
            <w:pStyle w:val="FooterText"/>
            <w:jc w:val="right"/>
            <w:rPr>
              <w:sz w:val="16"/>
            </w:rPr>
          </w:pPr>
          <w:r>
            <w:rPr>
              <w:b/>
              <w:position w:val="-4"/>
              <w:sz w:val="36"/>
            </w:rPr>
            <w:t>EN</w:t>
          </w:r>
        </w:p>
      </w:tc>
    </w:tr>
    <w:bookmarkEnd w:id="5"/>
  </w:tbl>
  <w:p w14:paraId="3FE6357D" w14:textId="77777777" w:rsidR="00E77DC6" w:rsidRPr="00230F20" w:rsidRDefault="00E77DC6" w:rsidP="00230F2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9B38E" w14:textId="77777777" w:rsidR="00E77DC6" w:rsidRDefault="00E77DC6">
      <w:pPr>
        <w:spacing w:before="0" w:after="0"/>
      </w:pPr>
      <w:r>
        <w:separator/>
      </w:r>
    </w:p>
  </w:footnote>
  <w:footnote w:type="continuationSeparator" w:id="0">
    <w:p w14:paraId="258BFE12" w14:textId="77777777" w:rsidR="00E77DC6" w:rsidRDefault="00E77DC6">
      <w:pPr>
        <w:spacing w:before="0" w:after="0"/>
      </w:pPr>
      <w:r>
        <w:continuationSeparator/>
      </w:r>
    </w:p>
  </w:footnote>
  <w:footnote w:id="1">
    <w:p w14:paraId="36B2BCE3" w14:textId="03774C89" w:rsidR="00E77DC6" w:rsidRPr="00783C77" w:rsidRDefault="00E77DC6" w:rsidP="002821A0">
      <w:pPr>
        <w:pStyle w:val="FootnoteText"/>
        <w:rPr>
          <w:rFonts w:asciiTheme="minorBidi" w:hAnsiTheme="minorBidi"/>
          <w:sz w:val="22"/>
          <w:szCs w:val="22"/>
        </w:rPr>
      </w:pPr>
      <w:r>
        <w:rPr>
          <w:rStyle w:val="FootnoteReference"/>
        </w:rPr>
        <w:footnoteRef/>
      </w:r>
      <w:r w:rsidR="00775607">
        <w:tab/>
      </w:r>
      <w:r w:rsidRPr="00642D61">
        <w:rPr>
          <w:rFonts w:asciiTheme="majorBidi" w:hAnsiTheme="majorBidi" w:cstheme="majorBidi"/>
        </w:rPr>
        <w:t xml:space="preserve">Council Decision 1999/468/EC laying down the procedures for the exercise of </w:t>
      </w:r>
      <w:r w:rsidR="005353E0">
        <w:rPr>
          <w:rFonts w:asciiTheme="majorBidi" w:hAnsiTheme="majorBidi" w:cstheme="majorBidi"/>
        </w:rPr>
        <w:t>i</w:t>
      </w:r>
      <w:r w:rsidRPr="00642D61">
        <w:rPr>
          <w:rFonts w:asciiTheme="majorBidi" w:hAnsiTheme="majorBidi" w:cstheme="majorBidi"/>
        </w:rPr>
        <w:t>mplementing powers conferred on the Commission (</w:t>
      </w:r>
      <w:hyperlink r:id="rId1" w:history="1">
        <w:r w:rsidRPr="00642D61">
          <w:rPr>
            <w:rStyle w:val="Hyperlink"/>
            <w:rFonts w:asciiTheme="majorBidi" w:hAnsiTheme="majorBidi" w:cstheme="majorBidi"/>
          </w:rPr>
          <w:t>OJ L 184, 17.7.1999</w:t>
        </w:r>
      </w:hyperlink>
      <w:r w:rsidRPr="00642D61">
        <w:rPr>
          <w:rFonts w:asciiTheme="majorBidi" w:hAnsiTheme="majorBidi" w:cstheme="majorBidi"/>
        </w:rPr>
        <w:t xml:space="preserve">), as amended by </w:t>
      </w:r>
      <w:r w:rsidR="005353E0">
        <w:rPr>
          <w:rFonts w:asciiTheme="majorBidi" w:hAnsiTheme="majorBidi" w:cstheme="majorBidi"/>
        </w:rPr>
        <w:t>d</w:t>
      </w:r>
      <w:r w:rsidRPr="00642D61">
        <w:rPr>
          <w:rFonts w:asciiTheme="majorBidi" w:hAnsiTheme="majorBidi" w:cstheme="majorBidi"/>
        </w:rPr>
        <w:t xml:space="preserve">ecision </w:t>
      </w:r>
      <w:r w:rsidR="009240A5">
        <w:rPr>
          <w:rFonts w:asciiTheme="majorBidi" w:hAnsiTheme="majorBidi" w:cstheme="majorBidi"/>
        </w:rPr>
        <w:t xml:space="preserve">2006/512/EC </w:t>
      </w:r>
      <w:r w:rsidRPr="00642D61">
        <w:rPr>
          <w:rFonts w:asciiTheme="majorBidi" w:hAnsiTheme="majorBidi" w:cstheme="majorBidi"/>
        </w:rPr>
        <w:t>(</w:t>
      </w:r>
      <w:hyperlink r:id="rId2" w:history="1">
        <w:r w:rsidRPr="00642D61">
          <w:rPr>
            <w:rStyle w:val="Hyperlink"/>
            <w:rFonts w:asciiTheme="majorBidi" w:hAnsiTheme="majorBidi" w:cstheme="majorBidi"/>
          </w:rPr>
          <w:t>OJ L 200, 22.7.2006</w:t>
        </w:r>
      </w:hyperlink>
      <w:r w:rsidRPr="00642D61">
        <w:rPr>
          <w:rFonts w:asciiTheme="majorBidi" w:hAnsiTheme="majorBidi" w:cstheme="maj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8324B" w14:textId="77777777" w:rsidR="00230F20" w:rsidRPr="00230F20" w:rsidRDefault="00230F20" w:rsidP="00230F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9C9B" w14:textId="77777777" w:rsidR="00230F20" w:rsidRPr="00230F20" w:rsidRDefault="00230F20" w:rsidP="00230F2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072C7" w14:textId="77777777" w:rsidR="00230F20" w:rsidRPr="00230F20" w:rsidRDefault="00230F20" w:rsidP="00230F20">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30F20" w:rsidRPr="007410E8" w14:paraId="03053B81" w14:textId="77777777" w:rsidTr="00230F20">
      <w:trPr>
        <w:jc w:val="center"/>
      </w:trPr>
      <w:tc>
        <w:tcPr>
          <w:tcW w:w="2500" w:type="pct"/>
          <w:shd w:val="clear" w:color="auto" w:fill="auto"/>
        </w:tcPr>
        <w:p w14:paraId="36E7DDDF" w14:textId="1D73841E" w:rsidR="00230F20" w:rsidRPr="007410E8" w:rsidRDefault="00230F20" w:rsidP="0035025C">
          <w:pPr>
            <w:pStyle w:val="HeaderText"/>
            <w:rPr>
              <w:b/>
              <w:i/>
              <w:sz w:val="16"/>
              <w:u w:val="single"/>
            </w:rPr>
          </w:pPr>
          <w:bookmarkStart w:id="4" w:name="HEADER_PRMEET"/>
        </w:p>
      </w:tc>
      <w:tc>
        <w:tcPr>
          <w:tcW w:w="2500" w:type="pct"/>
          <w:shd w:val="clear" w:color="auto" w:fill="auto"/>
        </w:tcPr>
        <w:p w14:paraId="7837780B" w14:textId="790705B9" w:rsidR="00230F20" w:rsidRPr="007410E8" w:rsidRDefault="00230F20" w:rsidP="00230F20">
          <w:pPr>
            <w:pStyle w:val="HeaderText"/>
            <w:jc w:val="right"/>
            <w:rPr>
              <w:sz w:val="16"/>
            </w:rPr>
          </w:pPr>
          <w:r w:rsidRPr="00230F20">
            <w:t>13 July 2015</w:t>
          </w:r>
        </w:p>
      </w:tc>
    </w:tr>
    <w:bookmarkEnd w:id="4"/>
  </w:tbl>
  <w:p w14:paraId="22701E3B" w14:textId="77777777" w:rsidR="00E77DC6" w:rsidRPr="00230F20" w:rsidRDefault="00E77DC6" w:rsidP="00230F20">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30F20" w:rsidRPr="007410E8" w14:paraId="5650A978" w14:textId="77777777" w:rsidTr="00230F20">
      <w:trPr>
        <w:jc w:val="center"/>
      </w:trPr>
      <w:tc>
        <w:tcPr>
          <w:tcW w:w="2500" w:type="pct"/>
          <w:shd w:val="clear" w:color="auto" w:fill="auto"/>
        </w:tcPr>
        <w:p w14:paraId="4E833C4C" w14:textId="6B708AE7" w:rsidR="00230F20" w:rsidRPr="007410E8" w:rsidRDefault="00230F20" w:rsidP="0035025C">
          <w:pPr>
            <w:pStyle w:val="HeaderText"/>
            <w:rPr>
              <w:b/>
              <w:i/>
              <w:sz w:val="16"/>
              <w:u w:val="single"/>
            </w:rPr>
          </w:pPr>
        </w:p>
      </w:tc>
      <w:tc>
        <w:tcPr>
          <w:tcW w:w="2500" w:type="pct"/>
          <w:shd w:val="clear" w:color="auto" w:fill="auto"/>
        </w:tcPr>
        <w:p w14:paraId="1BACFC1D" w14:textId="72A97EC0" w:rsidR="00230F20" w:rsidRPr="007410E8" w:rsidRDefault="00230F20" w:rsidP="00230F20">
          <w:pPr>
            <w:pStyle w:val="HeaderText"/>
            <w:jc w:val="right"/>
            <w:rPr>
              <w:sz w:val="16"/>
            </w:rPr>
          </w:pPr>
          <w:r w:rsidRPr="00230F20">
            <w:t>13 July 2015</w:t>
          </w:r>
        </w:p>
      </w:tc>
    </w:tr>
  </w:tbl>
  <w:p w14:paraId="0B138EEA" w14:textId="77777777" w:rsidR="00E77DC6" w:rsidRPr="00230F20" w:rsidRDefault="00E77DC6" w:rsidP="00230F2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5E066E0"/>
    <w:multiLevelType w:val="hybridMultilevel"/>
    <w:tmpl w:val="BA5A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13824D0"/>
    <w:multiLevelType w:val="hybridMultilevel"/>
    <w:tmpl w:val="DA0A7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3C15A63"/>
    <w:multiLevelType w:val="hybridMultilevel"/>
    <w:tmpl w:val="C3ECAB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8">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96F6DCC"/>
    <w:multiLevelType w:val="hybridMultilevel"/>
    <w:tmpl w:val="D12AF6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7">
    <w:nsid w:val="58F335BE"/>
    <w:multiLevelType w:val="hybridMultilevel"/>
    <w:tmpl w:val="8BB4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7B6814CF"/>
    <w:multiLevelType w:val="hybridMultilevel"/>
    <w:tmpl w:val="FBB6F8E4"/>
    <w:lvl w:ilvl="0" w:tplc="641AB2B4">
      <w:start w:val="1"/>
      <w:numFmt w:val="bullet"/>
      <w:lvlText w:val=""/>
      <w:lvlJc w:val="left"/>
      <w:pPr>
        <w:ind w:left="927" w:hanging="360"/>
      </w:pPr>
      <w:rPr>
        <w:rFonts w:ascii="Symbol" w:hAnsi="Symbo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abstractNumId w:val="5"/>
  </w:num>
  <w:num w:numId="2">
    <w:abstractNumId w:val="6"/>
  </w:num>
  <w:num w:numId="3">
    <w:abstractNumId w:val="13"/>
  </w:num>
  <w:num w:numId="4">
    <w:abstractNumId w:val="17"/>
  </w:num>
  <w:num w:numId="5">
    <w:abstractNumId w:val="20"/>
  </w:num>
  <w:num w:numId="6">
    <w:abstractNumId w:val="3"/>
  </w:num>
  <w:num w:numId="7">
    <w:abstractNumId w:val="12"/>
    <w:lvlOverride w:ilvl="0">
      <w:startOverride w:val="1"/>
    </w:lvlOverride>
  </w:num>
  <w:num w:numId="8">
    <w:abstractNumId w:val="7"/>
  </w:num>
  <w:num w:numId="9">
    <w:abstractNumId w:val="16"/>
  </w:num>
  <w:num w:numId="10">
    <w:abstractNumId w:val="9"/>
  </w:num>
  <w:num w:numId="11">
    <w:abstractNumId w:val="8"/>
  </w:num>
  <w:num w:numId="12">
    <w:abstractNumId w:val="1"/>
  </w:num>
  <w:num w:numId="13">
    <w:abstractNumId w:val="18"/>
  </w:num>
  <w:num w:numId="14">
    <w:abstractNumId w:val="2"/>
  </w:num>
  <w:num w:numId="15">
    <w:abstractNumId w:val="4"/>
  </w:num>
  <w:num w:numId="16">
    <w:abstractNumId w:val="15"/>
  </w:num>
  <w:num w:numId="17">
    <w:abstractNumId w:val="11"/>
  </w:num>
  <w:num w:numId="18">
    <w:abstractNumId w:val="0"/>
  </w:num>
  <w:num w:numId="19">
    <w:abstractNumId w:val="19"/>
  </w:num>
  <w:num w:numId="20">
    <w:abstractNumId w:val="14"/>
  </w:num>
  <w:num w:numId="21">
    <w:abstractNumId w:val="12"/>
  </w:num>
  <w:num w:numId="22">
    <w:abstractNumId w:val="10"/>
  </w:num>
  <w:num w:numId="23">
    <w:abstractNumId w:val="7"/>
  </w:num>
  <w:num w:numId="24">
    <w:abstractNumId w:val="16"/>
  </w:num>
  <w:num w:numId="25">
    <w:abstractNumId w:val="9"/>
  </w:num>
  <w:num w:numId="26">
    <w:abstractNumId w:val="8"/>
  </w:num>
  <w:num w:numId="27">
    <w:abstractNumId w:val="1"/>
  </w:num>
  <w:num w:numId="28">
    <w:abstractNumId w:val="18"/>
  </w:num>
  <w:num w:numId="29">
    <w:abstractNumId w:val="2"/>
  </w:num>
  <w:num w:numId="30">
    <w:abstractNumId w:val="4"/>
  </w:num>
  <w:num w:numId="31">
    <w:abstractNumId w:val="15"/>
  </w:num>
  <w:num w:numId="32">
    <w:abstractNumId w:val="11"/>
  </w:num>
  <w:num w:numId="33">
    <w:abstractNumId w:val="0"/>
  </w:num>
  <w:num w:numId="34">
    <w:abstractNumId w:val="19"/>
  </w:num>
  <w:num w:numId="35">
    <w:abstractNumId w:val="14"/>
  </w:num>
  <w:num w:numId="36">
    <w:abstractNumId w:val="12"/>
  </w:num>
  <w:num w:numId="37">
    <w:abstractNumId w:val="10"/>
  </w:num>
  <w:num w:numId="38">
    <w:abstractNumId w:val="10"/>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00d14dc4-b926-4aba-8a92-a99c46772e9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0819&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47&lt;/text&gt;_x000d__x000a_      &lt;text&gt;PR CO 3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Agriculture, Viticulture and Consumer Protection of Luxembourg&quot; name=&quot;Fernand Etgen&quot; text=&quot;Fernand Etgen, Minister for Agriculture, Viticulture and Consumer Protection of Luxembourg&quot; genderKeyBds=&quot;gend_01&quot; /&gt;_x000d__x000a_    &lt;/presidents&gt;_x000d__x000a_  &lt;/metadata&gt;_x000d__x000a_  &lt;metadata key=&quot;md_MeetingNumber&quot;&gt;_x000d__x000a_    &lt;text&gt;3402nd Council meeting&lt;/text&gt;_x000d__x000a_  &lt;/metadata&gt;_x000d__x000a_  &lt;metadata key=&quot;md_CouncilConfiguration&quot;&gt;_x000d__x000a_    &lt;basicdatatype&gt;_x000d__x000a_      &lt;configuration key=&quot;cc_08&quot; text=&quot;Agriculture and Fisherie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7-13&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D15446"/>
    <w:rsid w:val="00011AA4"/>
    <w:rsid w:val="00032138"/>
    <w:rsid w:val="00035E1C"/>
    <w:rsid w:val="0008012E"/>
    <w:rsid w:val="00092B2F"/>
    <w:rsid w:val="000A63B0"/>
    <w:rsid w:val="000A71A0"/>
    <w:rsid w:val="0011171C"/>
    <w:rsid w:val="001225A5"/>
    <w:rsid w:val="00187124"/>
    <w:rsid w:val="001916DE"/>
    <w:rsid w:val="001A196F"/>
    <w:rsid w:val="001A4176"/>
    <w:rsid w:val="001B6AA9"/>
    <w:rsid w:val="001B7C5F"/>
    <w:rsid w:val="001E741A"/>
    <w:rsid w:val="00230F20"/>
    <w:rsid w:val="002359C6"/>
    <w:rsid w:val="00253BFC"/>
    <w:rsid w:val="00263282"/>
    <w:rsid w:val="00276321"/>
    <w:rsid w:val="00281871"/>
    <w:rsid w:val="002821A0"/>
    <w:rsid w:val="002A4CB9"/>
    <w:rsid w:val="002D12D7"/>
    <w:rsid w:val="00316CD8"/>
    <w:rsid w:val="00317347"/>
    <w:rsid w:val="00321ED6"/>
    <w:rsid w:val="003233AD"/>
    <w:rsid w:val="003245FF"/>
    <w:rsid w:val="0033574E"/>
    <w:rsid w:val="00386B62"/>
    <w:rsid w:val="003946C8"/>
    <w:rsid w:val="003A4AF0"/>
    <w:rsid w:val="003C14B2"/>
    <w:rsid w:val="003D2E91"/>
    <w:rsid w:val="003E2187"/>
    <w:rsid w:val="003F2BCF"/>
    <w:rsid w:val="00412F11"/>
    <w:rsid w:val="004153F2"/>
    <w:rsid w:val="00436A75"/>
    <w:rsid w:val="00470937"/>
    <w:rsid w:val="004A4D46"/>
    <w:rsid w:val="004A6FBD"/>
    <w:rsid w:val="004F6064"/>
    <w:rsid w:val="00520FAC"/>
    <w:rsid w:val="005353E0"/>
    <w:rsid w:val="00536B8B"/>
    <w:rsid w:val="00546259"/>
    <w:rsid w:val="00577196"/>
    <w:rsid w:val="00595AD2"/>
    <w:rsid w:val="005C28E6"/>
    <w:rsid w:val="005C56BB"/>
    <w:rsid w:val="00632377"/>
    <w:rsid w:val="00634EE9"/>
    <w:rsid w:val="0063746C"/>
    <w:rsid w:val="00642D61"/>
    <w:rsid w:val="006653B3"/>
    <w:rsid w:val="00683D73"/>
    <w:rsid w:val="006A56D8"/>
    <w:rsid w:val="006E2F9D"/>
    <w:rsid w:val="006F4E9F"/>
    <w:rsid w:val="00704DB6"/>
    <w:rsid w:val="007340CA"/>
    <w:rsid w:val="00775607"/>
    <w:rsid w:val="007B4D94"/>
    <w:rsid w:val="007D4CB0"/>
    <w:rsid w:val="007E66AF"/>
    <w:rsid w:val="00801095"/>
    <w:rsid w:val="0082785B"/>
    <w:rsid w:val="008774FD"/>
    <w:rsid w:val="00895676"/>
    <w:rsid w:val="008F2C2F"/>
    <w:rsid w:val="00903758"/>
    <w:rsid w:val="009240A5"/>
    <w:rsid w:val="00926EAF"/>
    <w:rsid w:val="009B480D"/>
    <w:rsid w:val="009C0741"/>
    <w:rsid w:val="009F2E2A"/>
    <w:rsid w:val="00A33747"/>
    <w:rsid w:val="00A36655"/>
    <w:rsid w:val="00A52C0E"/>
    <w:rsid w:val="00A67613"/>
    <w:rsid w:val="00A76CDC"/>
    <w:rsid w:val="00AB285E"/>
    <w:rsid w:val="00B03546"/>
    <w:rsid w:val="00B07108"/>
    <w:rsid w:val="00B1432D"/>
    <w:rsid w:val="00B26546"/>
    <w:rsid w:val="00B34272"/>
    <w:rsid w:val="00B366BA"/>
    <w:rsid w:val="00B97242"/>
    <w:rsid w:val="00BB333F"/>
    <w:rsid w:val="00BB62EF"/>
    <w:rsid w:val="00BB7803"/>
    <w:rsid w:val="00BD29DD"/>
    <w:rsid w:val="00BD54A3"/>
    <w:rsid w:val="00BE2CA6"/>
    <w:rsid w:val="00C061E8"/>
    <w:rsid w:val="00C07624"/>
    <w:rsid w:val="00C21299"/>
    <w:rsid w:val="00C3043F"/>
    <w:rsid w:val="00C57A98"/>
    <w:rsid w:val="00C57AAC"/>
    <w:rsid w:val="00CA0D26"/>
    <w:rsid w:val="00CE4AA1"/>
    <w:rsid w:val="00CE6113"/>
    <w:rsid w:val="00CF04C0"/>
    <w:rsid w:val="00CF751D"/>
    <w:rsid w:val="00D07E05"/>
    <w:rsid w:val="00D15446"/>
    <w:rsid w:val="00D31574"/>
    <w:rsid w:val="00D31686"/>
    <w:rsid w:val="00D45C7C"/>
    <w:rsid w:val="00D71385"/>
    <w:rsid w:val="00D975FA"/>
    <w:rsid w:val="00DB4473"/>
    <w:rsid w:val="00DD3DFD"/>
    <w:rsid w:val="00E14AF6"/>
    <w:rsid w:val="00E32D93"/>
    <w:rsid w:val="00E42D90"/>
    <w:rsid w:val="00E47AAC"/>
    <w:rsid w:val="00E737DC"/>
    <w:rsid w:val="00E77DC6"/>
    <w:rsid w:val="00E85C6A"/>
    <w:rsid w:val="00EB33B7"/>
    <w:rsid w:val="00EB53FB"/>
    <w:rsid w:val="00EF58B3"/>
    <w:rsid w:val="00F17DDD"/>
    <w:rsid w:val="00F26BF6"/>
    <w:rsid w:val="00F36E60"/>
    <w:rsid w:val="00F40D7F"/>
    <w:rsid w:val="00F82A71"/>
    <w:rsid w:val="00FA2CA2"/>
    <w:rsid w:val="00FB563F"/>
    <w:rsid w:val="00FC7382"/>
    <w:rsid w:val="00FE5FD7"/>
    <w:rsid w:val="00FE733C"/>
    <w:rsid w:val="00FF136D"/>
    <w:rsid w:val="00FF71F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5C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9"/>
      </w:numPr>
      <w:spacing w:before="360"/>
      <w:outlineLvl w:val="0"/>
    </w:pPr>
    <w:rPr>
      <w:b/>
      <w:bCs/>
      <w:smallCaps/>
      <w:szCs w:val="32"/>
    </w:rPr>
  </w:style>
  <w:style w:type="paragraph" w:styleId="Heading2">
    <w:name w:val="heading 2"/>
    <w:basedOn w:val="Normal"/>
    <w:next w:val="Text1"/>
    <w:qFormat/>
    <w:rsid w:val="00A76CDC"/>
    <w:pPr>
      <w:keepNext/>
      <w:numPr>
        <w:ilvl w:val="1"/>
        <w:numId w:val="29"/>
      </w:numPr>
      <w:outlineLvl w:val="1"/>
    </w:pPr>
    <w:rPr>
      <w:b/>
      <w:bCs/>
      <w:iCs/>
      <w:szCs w:val="28"/>
    </w:rPr>
  </w:style>
  <w:style w:type="paragraph" w:styleId="Heading3">
    <w:name w:val="heading 3"/>
    <w:basedOn w:val="Normal"/>
    <w:next w:val="Text1"/>
    <w:qFormat/>
    <w:rsid w:val="00A76CDC"/>
    <w:pPr>
      <w:keepNext/>
      <w:numPr>
        <w:ilvl w:val="2"/>
        <w:numId w:val="29"/>
      </w:numPr>
      <w:outlineLvl w:val="2"/>
    </w:pPr>
    <w:rPr>
      <w:bCs/>
      <w:i/>
      <w:szCs w:val="26"/>
    </w:rPr>
  </w:style>
  <w:style w:type="paragraph" w:styleId="Heading4">
    <w:name w:val="heading 4"/>
    <w:basedOn w:val="Normal"/>
    <w:next w:val="Text1"/>
    <w:qFormat/>
    <w:rsid w:val="00A76CDC"/>
    <w:pPr>
      <w:keepNext/>
      <w:numPr>
        <w:ilvl w:val="3"/>
        <w:numId w:val="2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15446"/>
    <w:pPr>
      <w:spacing w:before="0" w:after="440"/>
      <w:ind w:left="-1134" w:right="-1134"/>
    </w:pPr>
    <w:rPr>
      <w:sz w:val="2"/>
    </w:rPr>
  </w:style>
  <w:style w:type="character" w:customStyle="1" w:styleId="TechnicalBlockChar">
    <w:name w:val="Technical Block Char"/>
    <w:basedOn w:val="DefaultParagraphFont"/>
    <w:rsid w:val="00D15446"/>
    <w:rPr>
      <w:sz w:val="24"/>
      <w:szCs w:val="24"/>
      <w:lang w:val="en-GB" w:eastAsia="en-US"/>
    </w:rPr>
  </w:style>
  <w:style w:type="character" w:customStyle="1" w:styleId="HeaderCouncilLargeChar">
    <w:name w:val="Header Council Large Char"/>
    <w:basedOn w:val="TechnicalBlockChar"/>
    <w:link w:val="HeaderCouncilLarge"/>
    <w:rsid w:val="00D15446"/>
    <w:rPr>
      <w:sz w:val="2"/>
      <w:szCs w:val="24"/>
      <w:lang w:val="en-GB" w:eastAsia="en-US"/>
    </w:rPr>
  </w:style>
  <w:style w:type="paragraph" w:customStyle="1" w:styleId="FooterText">
    <w:name w:val="Footer Text"/>
    <w:basedOn w:val="Normal"/>
    <w:rsid w:val="00D15446"/>
    <w:pPr>
      <w:spacing w:before="0" w:after="0"/>
    </w:pPr>
  </w:style>
  <w:style w:type="paragraph" w:customStyle="1" w:styleId="FooterAddressText">
    <w:name w:val="Footer Address Text"/>
    <w:basedOn w:val="FooterText"/>
    <w:qFormat/>
    <w:rsid w:val="00D15446"/>
    <w:pPr>
      <w:jc w:val="center"/>
    </w:pPr>
    <w:rPr>
      <w:spacing w:val="10"/>
      <w:sz w:val="16"/>
      <w:szCs w:val="16"/>
    </w:rPr>
  </w:style>
  <w:style w:type="character" w:styleId="Hyperlink">
    <w:name w:val="Hyperlink"/>
    <w:basedOn w:val="DefaultParagraphFont"/>
    <w:uiPriority w:val="99"/>
    <w:unhideWhenUsed/>
    <w:rsid w:val="00D15446"/>
    <w:rPr>
      <w:color w:val="0000FF" w:themeColor="hyperlink"/>
      <w:u w:val="single"/>
    </w:rPr>
  </w:style>
  <w:style w:type="paragraph" w:customStyle="1" w:styleId="HeaderText">
    <w:name w:val="Header Text"/>
    <w:basedOn w:val="Normal"/>
    <w:rsid w:val="00D15446"/>
    <w:pPr>
      <w:spacing w:before="0" w:after="0"/>
    </w:pPr>
  </w:style>
  <w:style w:type="character" w:customStyle="1" w:styleId="FootnoteTextChar">
    <w:name w:val="Footnote Text Char"/>
    <w:basedOn w:val="DefaultParagraphFont"/>
    <w:uiPriority w:val="99"/>
    <w:rsid w:val="00FB563F"/>
    <w:rPr>
      <w:sz w:val="24"/>
      <w:lang w:val="en-GB" w:eastAsia="en-US"/>
    </w:rPr>
  </w:style>
  <w:style w:type="paragraph" w:customStyle="1" w:styleId="PointManual">
    <w:name w:val="Point Manual"/>
    <w:basedOn w:val="Normal"/>
    <w:link w:val="PointManualChar"/>
    <w:rsid w:val="00FB563F"/>
    <w:pPr>
      <w:spacing w:after="120" w:line="360" w:lineRule="auto"/>
      <w:ind w:left="567" w:hanging="567"/>
    </w:pPr>
    <w:rPr>
      <w:lang w:eastAsia="fr-BE"/>
    </w:rPr>
  </w:style>
  <w:style w:type="character" w:customStyle="1" w:styleId="PointManualChar">
    <w:name w:val="Point Manual Char"/>
    <w:basedOn w:val="DefaultParagraphFont"/>
    <w:link w:val="PointManual"/>
    <w:locked/>
    <w:rsid w:val="00FB563F"/>
    <w:rPr>
      <w:sz w:val="24"/>
      <w:szCs w:val="24"/>
      <w:lang w:val="en-GB" w:eastAsia="fr-BE"/>
    </w:rPr>
  </w:style>
  <w:style w:type="character" w:styleId="FollowedHyperlink">
    <w:name w:val="FollowedHyperlink"/>
    <w:basedOn w:val="DefaultParagraphFont"/>
    <w:uiPriority w:val="99"/>
    <w:semiHidden/>
    <w:unhideWhenUsed/>
    <w:rsid w:val="007340CA"/>
    <w:rPr>
      <w:color w:val="800080" w:themeColor="followedHyperlink"/>
      <w:u w:val="single"/>
    </w:rPr>
  </w:style>
  <w:style w:type="character" w:styleId="CommentReference">
    <w:name w:val="annotation reference"/>
    <w:basedOn w:val="DefaultParagraphFont"/>
    <w:uiPriority w:val="99"/>
    <w:semiHidden/>
    <w:unhideWhenUsed/>
    <w:rsid w:val="001B6AA9"/>
    <w:rPr>
      <w:sz w:val="16"/>
      <w:szCs w:val="16"/>
    </w:rPr>
  </w:style>
  <w:style w:type="paragraph" w:styleId="CommentText">
    <w:name w:val="annotation text"/>
    <w:basedOn w:val="Normal"/>
    <w:link w:val="CommentTextChar"/>
    <w:uiPriority w:val="99"/>
    <w:semiHidden/>
    <w:unhideWhenUsed/>
    <w:rsid w:val="001B6AA9"/>
    <w:rPr>
      <w:sz w:val="20"/>
      <w:szCs w:val="20"/>
    </w:rPr>
  </w:style>
  <w:style w:type="character" w:customStyle="1" w:styleId="CommentTextChar">
    <w:name w:val="Comment Text Char"/>
    <w:basedOn w:val="DefaultParagraphFont"/>
    <w:link w:val="CommentText"/>
    <w:uiPriority w:val="99"/>
    <w:semiHidden/>
    <w:rsid w:val="001B6AA9"/>
    <w:rPr>
      <w:lang w:val="en-GB" w:eastAsia="en-US"/>
    </w:rPr>
  </w:style>
  <w:style w:type="paragraph" w:styleId="CommentSubject">
    <w:name w:val="annotation subject"/>
    <w:basedOn w:val="CommentText"/>
    <w:next w:val="CommentText"/>
    <w:link w:val="CommentSubjectChar"/>
    <w:uiPriority w:val="99"/>
    <w:semiHidden/>
    <w:unhideWhenUsed/>
    <w:rsid w:val="001B6AA9"/>
    <w:rPr>
      <w:b/>
      <w:bCs/>
    </w:rPr>
  </w:style>
  <w:style w:type="character" w:customStyle="1" w:styleId="CommentSubjectChar">
    <w:name w:val="Comment Subject Char"/>
    <w:basedOn w:val="CommentTextChar"/>
    <w:link w:val="CommentSubject"/>
    <w:uiPriority w:val="99"/>
    <w:semiHidden/>
    <w:rsid w:val="001B6AA9"/>
    <w:rPr>
      <w:b/>
      <w:bCs/>
      <w:lang w:val="en-GB" w:eastAsia="en-US"/>
    </w:rPr>
  </w:style>
  <w:style w:type="paragraph" w:styleId="BalloonText">
    <w:name w:val="Balloon Text"/>
    <w:basedOn w:val="Normal"/>
    <w:link w:val="BalloonTextChar"/>
    <w:uiPriority w:val="99"/>
    <w:semiHidden/>
    <w:unhideWhenUsed/>
    <w:rsid w:val="001A19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96F"/>
    <w:rPr>
      <w:rFonts w:ascii="Tahoma" w:hAnsi="Tahoma" w:cs="Tahoma"/>
      <w:sz w:val="16"/>
      <w:szCs w:val="16"/>
      <w:lang w:val="en-GB" w:eastAsia="en-US"/>
    </w:rPr>
  </w:style>
  <w:style w:type="paragraph" w:customStyle="1" w:styleId="CarcterCarcterCharCarcterCarcterCharCarcterCarcterCharCharCarcterCarcter">
    <w:name w:val="Carácter Carácter Char Carácter Carácter Char Carácter Carácter Char Char Carácter Carácter"/>
    <w:basedOn w:val="Normal"/>
    <w:rsid w:val="00321ED6"/>
    <w:pPr>
      <w:spacing w:before="0" w:after="0"/>
    </w:pPr>
    <w:rPr>
      <w:lang w:val="pl-PL" w:eastAsia="pl-PL"/>
    </w:rPr>
  </w:style>
  <w:style w:type="paragraph" w:customStyle="1" w:styleId="Default">
    <w:name w:val="Default"/>
    <w:rsid w:val="00321ED6"/>
    <w:pPr>
      <w:autoSpaceDE w:val="0"/>
      <w:autoSpaceDN w:val="0"/>
      <w:adjustRightInd w:val="0"/>
    </w:pPr>
    <w:rPr>
      <w:rFonts w:ascii="Arial" w:eastAsiaTheme="minorHAnsi" w:hAnsi="Arial" w:cs="Arial"/>
      <w:color w:val="000000"/>
      <w:sz w:val="24"/>
      <w:szCs w:val="24"/>
      <w:lang w:val="en-GB" w:eastAsia="en-US"/>
    </w:rPr>
  </w:style>
  <w:style w:type="paragraph" w:styleId="ListParagraph">
    <w:name w:val="List Paragraph"/>
    <w:basedOn w:val="Normal"/>
    <w:uiPriority w:val="34"/>
    <w:qFormat/>
    <w:rsid w:val="002A4CB9"/>
    <w:pPr>
      <w:spacing w:before="0" w:after="0" w:line="360" w:lineRule="auto"/>
      <w:ind w:left="720"/>
      <w:contextualSpacing/>
    </w:pPr>
    <w:rPr>
      <w:rFonts w:eastAsiaTheme="minorHAnsi" w:cstheme="minorBidi"/>
      <w:szCs w:val="22"/>
      <w:lang w:val="en-US"/>
    </w:rPr>
  </w:style>
  <w:style w:type="paragraph" w:styleId="EndnoteText">
    <w:name w:val="endnote text"/>
    <w:basedOn w:val="Normal"/>
    <w:link w:val="EndnoteTextChar"/>
    <w:semiHidden/>
    <w:rsid w:val="002A4CB9"/>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2A4CB9"/>
    <w:rPr>
      <w:snapToGrid w:val="0"/>
      <w:sz w:val="24"/>
      <w:lang w:val="en-US"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3"/>
      </w:numPr>
    </w:pPr>
  </w:style>
  <w:style w:type="paragraph" w:customStyle="1" w:styleId="Tiret1">
    <w:name w:val="Tiret 1"/>
    <w:basedOn w:val="Normal"/>
    <w:rsid w:val="00A76CDC"/>
    <w:pPr>
      <w:numPr>
        <w:numId w:val="24"/>
      </w:numPr>
      <w:outlineLvl w:val="0"/>
    </w:pPr>
  </w:style>
  <w:style w:type="paragraph" w:customStyle="1" w:styleId="Tiret2">
    <w:name w:val="Tiret 2"/>
    <w:basedOn w:val="Normal"/>
    <w:rsid w:val="00A76CDC"/>
    <w:pPr>
      <w:numPr>
        <w:numId w:val="25"/>
      </w:numPr>
      <w:outlineLvl w:val="1"/>
    </w:pPr>
  </w:style>
  <w:style w:type="paragraph" w:customStyle="1" w:styleId="Tiret3">
    <w:name w:val="Tiret 3"/>
    <w:basedOn w:val="Normal"/>
    <w:rsid w:val="00A76CDC"/>
    <w:pPr>
      <w:numPr>
        <w:numId w:val="26"/>
      </w:numPr>
      <w:outlineLvl w:val="2"/>
    </w:pPr>
  </w:style>
  <w:style w:type="paragraph" w:customStyle="1" w:styleId="Tiret4">
    <w:name w:val="Tiret 4"/>
    <w:basedOn w:val="Normal"/>
    <w:rsid w:val="00A76CDC"/>
    <w:pPr>
      <w:numPr>
        <w:numId w:val="27"/>
      </w:numPr>
      <w:outlineLvl w:val="3"/>
    </w:pPr>
  </w:style>
  <w:style w:type="paragraph" w:customStyle="1" w:styleId="NumPar1">
    <w:name w:val="NumPar 1"/>
    <w:basedOn w:val="Normal"/>
    <w:next w:val="Text1"/>
    <w:rsid w:val="00A76CDC"/>
    <w:pPr>
      <w:numPr>
        <w:numId w:val="28"/>
      </w:numPr>
      <w:outlineLvl w:val="0"/>
    </w:pPr>
  </w:style>
  <w:style w:type="paragraph" w:customStyle="1" w:styleId="NumPar2">
    <w:name w:val="NumPar 2"/>
    <w:basedOn w:val="Normal"/>
    <w:next w:val="Text1"/>
    <w:rsid w:val="00A76CDC"/>
    <w:pPr>
      <w:numPr>
        <w:ilvl w:val="1"/>
        <w:numId w:val="28"/>
      </w:numPr>
      <w:outlineLvl w:val="1"/>
    </w:pPr>
  </w:style>
  <w:style w:type="paragraph" w:customStyle="1" w:styleId="NumPar3">
    <w:name w:val="NumPar 3"/>
    <w:basedOn w:val="Normal"/>
    <w:next w:val="Text1"/>
    <w:rsid w:val="00A76CDC"/>
    <w:pPr>
      <w:numPr>
        <w:ilvl w:val="2"/>
        <w:numId w:val="28"/>
      </w:numPr>
      <w:outlineLvl w:val="2"/>
    </w:pPr>
  </w:style>
  <w:style w:type="paragraph" w:customStyle="1" w:styleId="NumPar4">
    <w:name w:val="NumPar 4"/>
    <w:basedOn w:val="Normal"/>
    <w:next w:val="Text1"/>
    <w:rsid w:val="00A76CDC"/>
    <w:pPr>
      <w:numPr>
        <w:ilvl w:val="3"/>
        <w:numId w:val="2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30"/>
      </w:numPr>
    </w:pPr>
  </w:style>
  <w:style w:type="paragraph" w:customStyle="1" w:styleId="Point1number">
    <w:name w:val="Point 1 (number)"/>
    <w:basedOn w:val="Normal"/>
    <w:rsid w:val="00A76CDC"/>
    <w:pPr>
      <w:numPr>
        <w:ilvl w:val="2"/>
        <w:numId w:val="30"/>
      </w:numPr>
      <w:outlineLvl w:val="0"/>
    </w:pPr>
  </w:style>
  <w:style w:type="paragraph" w:customStyle="1" w:styleId="Point2number">
    <w:name w:val="Point 2 (number)"/>
    <w:basedOn w:val="Normal"/>
    <w:rsid w:val="00A76CDC"/>
    <w:pPr>
      <w:numPr>
        <w:ilvl w:val="4"/>
        <w:numId w:val="30"/>
      </w:numPr>
      <w:outlineLvl w:val="1"/>
    </w:pPr>
  </w:style>
  <w:style w:type="paragraph" w:customStyle="1" w:styleId="Point3number">
    <w:name w:val="Point 3 (number)"/>
    <w:basedOn w:val="Normal"/>
    <w:rsid w:val="00A76CDC"/>
    <w:pPr>
      <w:numPr>
        <w:ilvl w:val="6"/>
        <w:numId w:val="30"/>
      </w:numPr>
      <w:outlineLvl w:val="2"/>
    </w:pPr>
  </w:style>
  <w:style w:type="paragraph" w:customStyle="1" w:styleId="Point0letter">
    <w:name w:val="Point 0 (letter)"/>
    <w:basedOn w:val="Normal"/>
    <w:rsid w:val="00A76CDC"/>
    <w:pPr>
      <w:numPr>
        <w:ilvl w:val="1"/>
        <w:numId w:val="30"/>
      </w:numPr>
    </w:pPr>
  </w:style>
  <w:style w:type="paragraph" w:customStyle="1" w:styleId="Point1letter">
    <w:name w:val="Point 1 (letter)"/>
    <w:basedOn w:val="Normal"/>
    <w:rsid w:val="00A76CDC"/>
    <w:pPr>
      <w:numPr>
        <w:ilvl w:val="3"/>
        <w:numId w:val="30"/>
      </w:numPr>
      <w:outlineLvl w:val="0"/>
    </w:pPr>
  </w:style>
  <w:style w:type="paragraph" w:customStyle="1" w:styleId="Point2letter">
    <w:name w:val="Point 2 (letter)"/>
    <w:basedOn w:val="Normal"/>
    <w:rsid w:val="00A76CDC"/>
    <w:pPr>
      <w:numPr>
        <w:ilvl w:val="5"/>
        <w:numId w:val="30"/>
      </w:numPr>
      <w:outlineLvl w:val="1"/>
    </w:pPr>
  </w:style>
  <w:style w:type="paragraph" w:customStyle="1" w:styleId="Point3letter">
    <w:name w:val="Point 3 (letter)"/>
    <w:basedOn w:val="Normal"/>
    <w:rsid w:val="00A76CDC"/>
    <w:pPr>
      <w:numPr>
        <w:ilvl w:val="7"/>
        <w:numId w:val="30"/>
      </w:numPr>
      <w:outlineLvl w:val="2"/>
    </w:pPr>
  </w:style>
  <w:style w:type="paragraph" w:customStyle="1" w:styleId="Point4letter">
    <w:name w:val="Point 4 (letter)"/>
    <w:basedOn w:val="Normal"/>
    <w:rsid w:val="00A76CDC"/>
    <w:pPr>
      <w:numPr>
        <w:ilvl w:val="8"/>
        <w:numId w:val="30"/>
      </w:numPr>
      <w:outlineLvl w:val="3"/>
    </w:pPr>
  </w:style>
  <w:style w:type="paragraph" w:customStyle="1" w:styleId="Bullet0">
    <w:name w:val="Bullet 0"/>
    <w:basedOn w:val="Normal"/>
    <w:rsid w:val="00A76CDC"/>
    <w:pPr>
      <w:numPr>
        <w:numId w:val="31"/>
      </w:numPr>
    </w:pPr>
  </w:style>
  <w:style w:type="paragraph" w:customStyle="1" w:styleId="Bullet1">
    <w:name w:val="Bullet 1"/>
    <w:basedOn w:val="Normal"/>
    <w:rsid w:val="00A76CDC"/>
    <w:pPr>
      <w:numPr>
        <w:numId w:val="32"/>
      </w:numPr>
      <w:outlineLvl w:val="0"/>
    </w:pPr>
  </w:style>
  <w:style w:type="paragraph" w:customStyle="1" w:styleId="Bullet2">
    <w:name w:val="Bullet 2"/>
    <w:basedOn w:val="Normal"/>
    <w:rsid w:val="00A76CDC"/>
    <w:pPr>
      <w:numPr>
        <w:numId w:val="33"/>
      </w:numPr>
      <w:outlineLvl w:val="1"/>
    </w:pPr>
  </w:style>
  <w:style w:type="paragraph" w:customStyle="1" w:styleId="Bullet3">
    <w:name w:val="Bullet 3"/>
    <w:basedOn w:val="Normal"/>
    <w:rsid w:val="00A76CDC"/>
    <w:pPr>
      <w:numPr>
        <w:numId w:val="34"/>
      </w:numPr>
      <w:outlineLvl w:val="2"/>
    </w:pPr>
  </w:style>
  <w:style w:type="paragraph" w:customStyle="1" w:styleId="Bullet4">
    <w:name w:val="Bullet 4"/>
    <w:basedOn w:val="Normal"/>
    <w:rsid w:val="00A76CDC"/>
    <w:pPr>
      <w:numPr>
        <w:numId w:val="3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9"/>
      </w:numPr>
      <w:spacing w:before="360"/>
      <w:outlineLvl w:val="0"/>
    </w:pPr>
    <w:rPr>
      <w:b/>
      <w:bCs/>
      <w:smallCaps/>
      <w:szCs w:val="32"/>
    </w:rPr>
  </w:style>
  <w:style w:type="paragraph" w:styleId="Heading2">
    <w:name w:val="heading 2"/>
    <w:basedOn w:val="Normal"/>
    <w:next w:val="Text1"/>
    <w:qFormat/>
    <w:rsid w:val="00A76CDC"/>
    <w:pPr>
      <w:keepNext/>
      <w:numPr>
        <w:ilvl w:val="1"/>
        <w:numId w:val="29"/>
      </w:numPr>
      <w:outlineLvl w:val="1"/>
    </w:pPr>
    <w:rPr>
      <w:b/>
      <w:bCs/>
      <w:iCs/>
      <w:szCs w:val="28"/>
    </w:rPr>
  </w:style>
  <w:style w:type="paragraph" w:styleId="Heading3">
    <w:name w:val="heading 3"/>
    <w:basedOn w:val="Normal"/>
    <w:next w:val="Text1"/>
    <w:qFormat/>
    <w:rsid w:val="00A76CDC"/>
    <w:pPr>
      <w:keepNext/>
      <w:numPr>
        <w:ilvl w:val="2"/>
        <w:numId w:val="29"/>
      </w:numPr>
      <w:outlineLvl w:val="2"/>
    </w:pPr>
    <w:rPr>
      <w:bCs/>
      <w:i/>
      <w:szCs w:val="26"/>
    </w:rPr>
  </w:style>
  <w:style w:type="paragraph" w:styleId="Heading4">
    <w:name w:val="heading 4"/>
    <w:basedOn w:val="Normal"/>
    <w:next w:val="Text1"/>
    <w:qFormat/>
    <w:rsid w:val="00A76CDC"/>
    <w:pPr>
      <w:keepNext/>
      <w:numPr>
        <w:ilvl w:val="3"/>
        <w:numId w:val="2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15446"/>
    <w:pPr>
      <w:spacing w:before="0" w:after="440"/>
      <w:ind w:left="-1134" w:right="-1134"/>
    </w:pPr>
    <w:rPr>
      <w:sz w:val="2"/>
    </w:rPr>
  </w:style>
  <w:style w:type="character" w:customStyle="1" w:styleId="TechnicalBlockChar">
    <w:name w:val="Technical Block Char"/>
    <w:basedOn w:val="DefaultParagraphFont"/>
    <w:rsid w:val="00D15446"/>
    <w:rPr>
      <w:sz w:val="24"/>
      <w:szCs w:val="24"/>
      <w:lang w:val="en-GB" w:eastAsia="en-US"/>
    </w:rPr>
  </w:style>
  <w:style w:type="character" w:customStyle="1" w:styleId="HeaderCouncilLargeChar">
    <w:name w:val="Header Council Large Char"/>
    <w:basedOn w:val="TechnicalBlockChar"/>
    <w:link w:val="HeaderCouncilLarge"/>
    <w:rsid w:val="00D15446"/>
    <w:rPr>
      <w:sz w:val="2"/>
      <w:szCs w:val="24"/>
      <w:lang w:val="en-GB" w:eastAsia="en-US"/>
    </w:rPr>
  </w:style>
  <w:style w:type="paragraph" w:customStyle="1" w:styleId="FooterText">
    <w:name w:val="Footer Text"/>
    <w:basedOn w:val="Normal"/>
    <w:rsid w:val="00D15446"/>
    <w:pPr>
      <w:spacing w:before="0" w:after="0"/>
    </w:pPr>
  </w:style>
  <w:style w:type="paragraph" w:customStyle="1" w:styleId="FooterAddressText">
    <w:name w:val="Footer Address Text"/>
    <w:basedOn w:val="FooterText"/>
    <w:qFormat/>
    <w:rsid w:val="00D15446"/>
    <w:pPr>
      <w:jc w:val="center"/>
    </w:pPr>
    <w:rPr>
      <w:spacing w:val="10"/>
      <w:sz w:val="16"/>
      <w:szCs w:val="16"/>
    </w:rPr>
  </w:style>
  <w:style w:type="character" w:styleId="Hyperlink">
    <w:name w:val="Hyperlink"/>
    <w:basedOn w:val="DefaultParagraphFont"/>
    <w:uiPriority w:val="99"/>
    <w:unhideWhenUsed/>
    <w:rsid w:val="00D15446"/>
    <w:rPr>
      <w:color w:val="0000FF" w:themeColor="hyperlink"/>
      <w:u w:val="single"/>
    </w:rPr>
  </w:style>
  <w:style w:type="paragraph" w:customStyle="1" w:styleId="HeaderText">
    <w:name w:val="Header Text"/>
    <w:basedOn w:val="Normal"/>
    <w:rsid w:val="00D15446"/>
    <w:pPr>
      <w:spacing w:before="0" w:after="0"/>
    </w:pPr>
  </w:style>
  <w:style w:type="character" w:customStyle="1" w:styleId="FootnoteTextChar">
    <w:name w:val="Footnote Text Char"/>
    <w:basedOn w:val="DefaultParagraphFont"/>
    <w:uiPriority w:val="99"/>
    <w:rsid w:val="00FB563F"/>
    <w:rPr>
      <w:sz w:val="24"/>
      <w:lang w:val="en-GB" w:eastAsia="en-US"/>
    </w:rPr>
  </w:style>
  <w:style w:type="paragraph" w:customStyle="1" w:styleId="PointManual">
    <w:name w:val="Point Manual"/>
    <w:basedOn w:val="Normal"/>
    <w:link w:val="PointManualChar"/>
    <w:rsid w:val="00FB563F"/>
    <w:pPr>
      <w:spacing w:after="120" w:line="360" w:lineRule="auto"/>
      <w:ind w:left="567" w:hanging="567"/>
    </w:pPr>
    <w:rPr>
      <w:lang w:eastAsia="fr-BE"/>
    </w:rPr>
  </w:style>
  <w:style w:type="character" w:customStyle="1" w:styleId="PointManualChar">
    <w:name w:val="Point Manual Char"/>
    <w:basedOn w:val="DefaultParagraphFont"/>
    <w:link w:val="PointManual"/>
    <w:locked/>
    <w:rsid w:val="00FB563F"/>
    <w:rPr>
      <w:sz w:val="24"/>
      <w:szCs w:val="24"/>
      <w:lang w:val="en-GB" w:eastAsia="fr-BE"/>
    </w:rPr>
  </w:style>
  <w:style w:type="character" w:styleId="FollowedHyperlink">
    <w:name w:val="FollowedHyperlink"/>
    <w:basedOn w:val="DefaultParagraphFont"/>
    <w:uiPriority w:val="99"/>
    <w:semiHidden/>
    <w:unhideWhenUsed/>
    <w:rsid w:val="007340CA"/>
    <w:rPr>
      <w:color w:val="800080" w:themeColor="followedHyperlink"/>
      <w:u w:val="single"/>
    </w:rPr>
  </w:style>
  <w:style w:type="character" w:styleId="CommentReference">
    <w:name w:val="annotation reference"/>
    <w:basedOn w:val="DefaultParagraphFont"/>
    <w:uiPriority w:val="99"/>
    <w:semiHidden/>
    <w:unhideWhenUsed/>
    <w:rsid w:val="001B6AA9"/>
    <w:rPr>
      <w:sz w:val="16"/>
      <w:szCs w:val="16"/>
    </w:rPr>
  </w:style>
  <w:style w:type="paragraph" w:styleId="CommentText">
    <w:name w:val="annotation text"/>
    <w:basedOn w:val="Normal"/>
    <w:link w:val="CommentTextChar"/>
    <w:uiPriority w:val="99"/>
    <w:semiHidden/>
    <w:unhideWhenUsed/>
    <w:rsid w:val="001B6AA9"/>
    <w:rPr>
      <w:sz w:val="20"/>
      <w:szCs w:val="20"/>
    </w:rPr>
  </w:style>
  <w:style w:type="character" w:customStyle="1" w:styleId="CommentTextChar">
    <w:name w:val="Comment Text Char"/>
    <w:basedOn w:val="DefaultParagraphFont"/>
    <w:link w:val="CommentText"/>
    <w:uiPriority w:val="99"/>
    <w:semiHidden/>
    <w:rsid w:val="001B6AA9"/>
    <w:rPr>
      <w:lang w:val="en-GB" w:eastAsia="en-US"/>
    </w:rPr>
  </w:style>
  <w:style w:type="paragraph" w:styleId="CommentSubject">
    <w:name w:val="annotation subject"/>
    <w:basedOn w:val="CommentText"/>
    <w:next w:val="CommentText"/>
    <w:link w:val="CommentSubjectChar"/>
    <w:uiPriority w:val="99"/>
    <w:semiHidden/>
    <w:unhideWhenUsed/>
    <w:rsid w:val="001B6AA9"/>
    <w:rPr>
      <w:b/>
      <w:bCs/>
    </w:rPr>
  </w:style>
  <w:style w:type="character" w:customStyle="1" w:styleId="CommentSubjectChar">
    <w:name w:val="Comment Subject Char"/>
    <w:basedOn w:val="CommentTextChar"/>
    <w:link w:val="CommentSubject"/>
    <w:uiPriority w:val="99"/>
    <w:semiHidden/>
    <w:rsid w:val="001B6AA9"/>
    <w:rPr>
      <w:b/>
      <w:bCs/>
      <w:lang w:val="en-GB" w:eastAsia="en-US"/>
    </w:rPr>
  </w:style>
  <w:style w:type="paragraph" w:styleId="BalloonText">
    <w:name w:val="Balloon Text"/>
    <w:basedOn w:val="Normal"/>
    <w:link w:val="BalloonTextChar"/>
    <w:uiPriority w:val="99"/>
    <w:semiHidden/>
    <w:unhideWhenUsed/>
    <w:rsid w:val="001A19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96F"/>
    <w:rPr>
      <w:rFonts w:ascii="Tahoma" w:hAnsi="Tahoma" w:cs="Tahoma"/>
      <w:sz w:val="16"/>
      <w:szCs w:val="16"/>
      <w:lang w:val="en-GB" w:eastAsia="en-US"/>
    </w:rPr>
  </w:style>
  <w:style w:type="paragraph" w:customStyle="1" w:styleId="CarcterCarcterCharCarcterCarcterCharCarcterCarcterCharCharCarcterCarcter">
    <w:name w:val="Carácter Carácter Char Carácter Carácter Char Carácter Carácter Char Char Carácter Carácter"/>
    <w:basedOn w:val="Normal"/>
    <w:rsid w:val="00321ED6"/>
    <w:pPr>
      <w:spacing w:before="0" w:after="0"/>
    </w:pPr>
    <w:rPr>
      <w:lang w:val="pl-PL" w:eastAsia="pl-PL"/>
    </w:rPr>
  </w:style>
  <w:style w:type="paragraph" w:customStyle="1" w:styleId="Default">
    <w:name w:val="Default"/>
    <w:rsid w:val="00321ED6"/>
    <w:pPr>
      <w:autoSpaceDE w:val="0"/>
      <w:autoSpaceDN w:val="0"/>
      <w:adjustRightInd w:val="0"/>
    </w:pPr>
    <w:rPr>
      <w:rFonts w:ascii="Arial" w:eastAsiaTheme="minorHAnsi" w:hAnsi="Arial" w:cs="Arial"/>
      <w:color w:val="000000"/>
      <w:sz w:val="24"/>
      <w:szCs w:val="24"/>
      <w:lang w:val="en-GB" w:eastAsia="en-US"/>
    </w:rPr>
  </w:style>
  <w:style w:type="paragraph" w:styleId="ListParagraph">
    <w:name w:val="List Paragraph"/>
    <w:basedOn w:val="Normal"/>
    <w:uiPriority w:val="34"/>
    <w:qFormat/>
    <w:rsid w:val="002A4CB9"/>
    <w:pPr>
      <w:spacing w:before="0" w:after="0" w:line="360" w:lineRule="auto"/>
      <w:ind w:left="720"/>
      <w:contextualSpacing/>
    </w:pPr>
    <w:rPr>
      <w:rFonts w:eastAsiaTheme="minorHAnsi" w:cstheme="minorBidi"/>
      <w:szCs w:val="22"/>
      <w:lang w:val="en-US"/>
    </w:rPr>
  </w:style>
  <w:style w:type="paragraph" w:styleId="EndnoteText">
    <w:name w:val="endnote text"/>
    <w:basedOn w:val="Normal"/>
    <w:link w:val="EndnoteTextChar"/>
    <w:semiHidden/>
    <w:rsid w:val="002A4CB9"/>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2A4CB9"/>
    <w:rPr>
      <w:snapToGrid w:val="0"/>
      <w:sz w:val="24"/>
      <w:lang w:val="en-US"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3"/>
      </w:numPr>
    </w:pPr>
  </w:style>
  <w:style w:type="paragraph" w:customStyle="1" w:styleId="Tiret1">
    <w:name w:val="Tiret 1"/>
    <w:basedOn w:val="Normal"/>
    <w:rsid w:val="00A76CDC"/>
    <w:pPr>
      <w:numPr>
        <w:numId w:val="24"/>
      </w:numPr>
      <w:outlineLvl w:val="0"/>
    </w:pPr>
  </w:style>
  <w:style w:type="paragraph" w:customStyle="1" w:styleId="Tiret2">
    <w:name w:val="Tiret 2"/>
    <w:basedOn w:val="Normal"/>
    <w:rsid w:val="00A76CDC"/>
    <w:pPr>
      <w:numPr>
        <w:numId w:val="25"/>
      </w:numPr>
      <w:outlineLvl w:val="1"/>
    </w:pPr>
  </w:style>
  <w:style w:type="paragraph" w:customStyle="1" w:styleId="Tiret3">
    <w:name w:val="Tiret 3"/>
    <w:basedOn w:val="Normal"/>
    <w:rsid w:val="00A76CDC"/>
    <w:pPr>
      <w:numPr>
        <w:numId w:val="26"/>
      </w:numPr>
      <w:outlineLvl w:val="2"/>
    </w:pPr>
  </w:style>
  <w:style w:type="paragraph" w:customStyle="1" w:styleId="Tiret4">
    <w:name w:val="Tiret 4"/>
    <w:basedOn w:val="Normal"/>
    <w:rsid w:val="00A76CDC"/>
    <w:pPr>
      <w:numPr>
        <w:numId w:val="27"/>
      </w:numPr>
      <w:outlineLvl w:val="3"/>
    </w:pPr>
  </w:style>
  <w:style w:type="paragraph" w:customStyle="1" w:styleId="NumPar1">
    <w:name w:val="NumPar 1"/>
    <w:basedOn w:val="Normal"/>
    <w:next w:val="Text1"/>
    <w:rsid w:val="00A76CDC"/>
    <w:pPr>
      <w:numPr>
        <w:numId w:val="28"/>
      </w:numPr>
      <w:outlineLvl w:val="0"/>
    </w:pPr>
  </w:style>
  <w:style w:type="paragraph" w:customStyle="1" w:styleId="NumPar2">
    <w:name w:val="NumPar 2"/>
    <w:basedOn w:val="Normal"/>
    <w:next w:val="Text1"/>
    <w:rsid w:val="00A76CDC"/>
    <w:pPr>
      <w:numPr>
        <w:ilvl w:val="1"/>
        <w:numId w:val="28"/>
      </w:numPr>
      <w:outlineLvl w:val="1"/>
    </w:pPr>
  </w:style>
  <w:style w:type="paragraph" w:customStyle="1" w:styleId="NumPar3">
    <w:name w:val="NumPar 3"/>
    <w:basedOn w:val="Normal"/>
    <w:next w:val="Text1"/>
    <w:rsid w:val="00A76CDC"/>
    <w:pPr>
      <w:numPr>
        <w:ilvl w:val="2"/>
        <w:numId w:val="28"/>
      </w:numPr>
      <w:outlineLvl w:val="2"/>
    </w:pPr>
  </w:style>
  <w:style w:type="paragraph" w:customStyle="1" w:styleId="NumPar4">
    <w:name w:val="NumPar 4"/>
    <w:basedOn w:val="Normal"/>
    <w:next w:val="Text1"/>
    <w:rsid w:val="00A76CDC"/>
    <w:pPr>
      <w:numPr>
        <w:ilvl w:val="3"/>
        <w:numId w:val="2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30"/>
      </w:numPr>
    </w:pPr>
  </w:style>
  <w:style w:type="paragraph" w:customStyle="1" w:styleId="Point1number">
    <w:name w:val="Point 1 (number)"/>
    <w:basedOn w:val="Normal"/>
    <w:rsid w:val="00A76CDC"/>
    <w:pPr>
      <w:numPr>
        <w:ilvl w:val="2"/>
        <w:numId w:val="30"/>
      </w:numPr>
      <w:outlineLvl w:val="0"/>
    </w:pPr>
  </w:style>
  <w:style w:type="paragraph" w:customStyle="1" w:styleId="Point2number">
    <w:name w:val="Point 2 (number)"/>
    <w:basedOn w:val="Normal"/>
    <w:rsid w:val="00A76CDC"/>
    <w:pPr>
      <w:numPr>
        <w:ilvl w:val="4"/>
        <w:numId w:val="30"/>
      </w:numPr>
      <w:outlineLvl w:val="1"/>
    </w:pPr>
  </w:style>
  <w:style w:type="paragraph" w:customStyle="1" w:styleId="Point3number">
    <w:name w:val="Point 3 (number)"/>
    <w:basedOn w:val="Normal"/>
    <w:rsid w:val="00A76CDC"/>
    <w:pPr>
      <w:numPr>
        <w:ilvl w:val="6"/>
        <w:numId w:val="30"/>
      </w:numPr>
      <w:outlineLvl w:val="2"/>
    </w:pPr>
  </w:style>
  <w:style w:type="paragraph" w:customStyle="1" w:styleId="Point0letter">
    <w:name w:val="Point 0 (letter)"/>
    <w:basedOn w:val="Normal"/>
    <w:rsid w:val="00A76CDC"/>
    <w:pPr>
      <w:numPr>
        <w:ilvl w:val="1"/>
        <w:numId w:val="30"/>
      </w:numPr>
    </w:pPr>
  </w:style>
  <w:style w:type="paragraph" w:customStyle="1" w:styleId="Point1letter">
    <w:name w:val="Point 1 (letter)"/>
    <w:basedOn w:val="Normal"/>
    <w:rsid w:val="00A76CDC"/>
    <w:pPr>
      <w:numPr>
        <w:ilvl w:val="3"/>
        <w:numId w:val="30"/>
      </w:numPr>
      <w:outlineLvl w:val="0"/>
    </w:pPr>
  </w:style>
  <w:style w:type="paragraph" w:customStyle="1" w:styleId="Point2letter">
    <w:name w:val="Point 2 (letter)"/>
    <w:basedOn w:val="Normal"/>
    <w:rsid w:val="00A76CDC"/>
    <w:pPr>
      <w:numPr>
        <w:ilvl w:val="5"/>
        <w:numId w:val="30"/>
      </w:numPr>
      <w:outlineLvl w:val="1"/>
    </w:pPr>
  </w:style>
  <w:style w:type="paragraph" w:customStyle="1" w:styleId="Point3letter">
    <w:name w:val="Point 3 (letter)"/>
    <w:basedOn w:val="Normal"/>
    <w:rsid w:val="00A76CDC"/>
    <w:pPr>
      <w:numPr>
        <w:ilvl w:val="7"/>
        <w:numId w:val="30"/>
      </w:numPr>
      <w:outlineLvl w:val="2"/>
    </w:pPr>
  </w:style>
  <w:style w:type="paragraph" w:customStyle="1" w:styleId="Point4letter">
    <w:name w:val="Point 4 (letter)"/>
    <w:basedOn w:val="Normal"/>
    <w:rsid w:val="00A76CDC"/>
    <w:pPr>
      <w:numPr>
        <w:ilvl w:val="8"/>
        <w:numId w:val="30"/>
      </w:numPr>
      <w:outlineLvl w:val="3"/>
    </w:pPr>
  </w:style>
  <w:style w:type="paragraph" w:customStyle="1" w:styleId="Bullet0">
    <w:name w:val="Bullet 0"/>
    <w:basedOn w:val="Normal"/>
    <w:rsid w:val="00A76CDC"/>
    <w:pPr>
      <w:numPr>
        <w:numId w:val="31"/>
      </w:numPr>
    </w:pPr>
  </w:style>
  <w:style w:type="paragraph" w:customStyle="1" w:styleId="Bullet1">
    <w:name w:val="Bullet 1"/>
    <w:basedOn w:val="Normal"/>
    <w:rsid w:val="00A76CDC"/>
    <w:pPr>
      <w:numPr>
        <w:numId w:val="32"/>
      </w:numPr>
      <w:outlineLvl w:val="0"/>
    </w:pPr>
  </w:style>
  <w:style w:type="paragraph" w:customStyle="1" w:styleId="Bullet2">
    <w:name w:val="Bullet 2"/>
    <w:basedOn w:val="Normal"/>
    <w:rsid w:val="00A76CDC"/>
    <w:pPr>
      <w:numPr>
        <w:numId w:val="33"/>
      </w:numPr>
      <w:outlineLvl w:val="1"/>
    </w:pPr>
  </w:style>
  <w:style w:type="paragraph" w:customStyle="1" w:styleId="Bullet3">
    <w:name w:val="Bullet 3"/>
    <w:basedOn w:val="Normal"/>
    <w:rsid w:val="00A76CDC"/>
    <w:pPr>
      <w:numPr>
        <w:numId w:val="34"/>
      </w:numPr>
      <w:outlineLvl w:val="2"/>
    </w:pPr>
  </w:style>
  <w:style w:type="paragraph" w:customStyle="1" w:styleId="Bullet4">
    <w:name w:val="Bullet 4"/>
    <w:basedOn w:val="Normal"/>
    <w:rsid w:val="00A76CDC"/>
    <w:pPr>
      <w:numPr>
        <w:numId w:val="3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030296">
      <w:bodyDiv w:val="1"/>
      <w:marLeft w:val="0"/>
      <w:marRight w:val="0"/>
      <w:marTop w:val="0"/>
      <w:marBottom w:val="0"/>
      <w:divBdr>
        <w:top w:val="none" w:sz="0" w:space="0" w:color="auto"/>
        <w:left w:val="none" w:sz="0" w:space="0" w:color="auto"/>
        <w:bottom w:val="none" w:sz="0" w:space="0" w:color="auto"/>
        <w:right w:val="none" w:sz="0" w:space="0" w:color="auto"/>
      </w:divBdr>
    </w:div>
    <w:div w:id="811604911">
      <w:bodyDiv w:val="1"/>
      <w:marLeft w:val="0"/>
      <w:marRight w:val="0"/>
      <w:marTop w:val="0"/>
      <w:marBottom w:val="0"/>
      <w:divBdr>
        <w:top w:val="none" w:sz="0" w:space="0" w:color="auto"/>
        <w:left w:val="none" w:sz="0" w:space="0" w:color="auto"/>
        <w:bottom w:val="none" w:sz="0" w:space="0" w:color="auto"/>
        <w:right w:val="none" w:sz="0" w:space="0" w:color="auto"/>
      </w:divBdr>
    </w:div>
    <w:div w:id="1740857967">
      <w:bodyDiv w:val="1"/>
      <w:marLeft w:val="0"/>
      <w:marRight w:val="0"/>
      <w:marTop w:val="0"/>
      <w:marBottom w:val="0"/>
      <w:divBdr>
        <w:top w:val="none" w:sz="0" w:space="0" w:color="auto"/>
        <w:left w:val="none" w:sz="0" w:space="0" w:color="auto"/>
        <w:bottom w:val="none" w:sz="0" w:space="0" w:color="auto"/>
        <w:right w:val="none" w:sz="0" w:space="0" w:color="auto"/>
      </w:divBdr>
      <w:divsChild>
        <w:div w:id="400905386">
          <w:marLeft w:val="0"/>
          <w:marRight w:val="0"/>
          <w:marTop w:val="120"/>
          <w:marBottom w:val="240"/>
          <w:divBdr>
            <w:top w:val="none" w:sz="0" w:space="0" w:color="auto"/>
            <w:left w:val="none" w:sz="0" w:space="0" w:color="auto"/>
            <w:bottom w:val="none" w:sz="0" w:space="0" w:color="auto"/>
            <w:right w:val="none" w:sz="0" w:space="0" w:color="auto"/>
          </w:divBdr>
        </w:div>
        <w:div w:id="290552480">
          <w:marLeft w:val="0"/>
          <w:marRight w:val="0"/>
          <w:marTop w:val="12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data.consilium.europa.eu/doc/document/ST-10711-2015-INIT/x/pdf" TargetMode="External"/><Relationship Id="rId39" Type="http://schemas.openxmlformats.org/officeDocument/2006/relationships/hyperlink" Target="http://eur-lex.europa.eu/legal-content/EN/TXT/?uri=celex:32011R1343" TargetMode="External"/><Relationship Id="rId21" Type="http://schemas.openxmlformats.org/officeDocument/2006/relationships/hyperlink" Target="http://data.consilium.europa.eu/doc/document/ST-8356-2015-INIT/en/pdf" TargetMode="External"/><Relationship Id="rId34" Type="http://schemas.openxmlformats.org/officeDocument/2006/relationships/hyperlink" Target="http://data.consilium.europa.eu/doc/document/ST-10655-2015-INIT/en/pdf" TargetMode="External"/><Relationship Id="rId42" Type="http://schemas.openxmlformats.org/officeDocument/2006/relationships/hyperlink" Target="http://data.consilium.europa.eu/doc/document/ST-8589-2015-INIT/en/pdf" TargetMode="External"/><Relationship Id="rId47" Type="http://schemas.openxmlformats.org/officeDocument/2006/relationships/hyperlink" Target="http://data.consilium.europa.eu/doc/document/ST-9957-2015-INIT/en/pdf" TargetMode="External"/><Relationship Id="rId50" Type="http://schemas.openxmlformats.org/officeDocument/2006/relationships/hyperlink" Target="http://data.consilium.europa.eu/doc/document/ST-8282-2015-INIT/en/pdf" TargetMode="External"/><Relationship Id="rId55" Type="http://schemas.openxmlformats.org/officeDocument/2006/relationships/hyperlink" Target="http://data.consilium.europa.eu/doc/document/ST-10400-2014-REV-5/en/pdf" TargetMode="External"/><Relationship Id="rId63" Type="http://schemas.openxmlformats.org/officeDocument/2006/relationships/hyperlink" Target="http://data.consilium.europa.eu/doc/document/ST-9041-2015-INIT/en/pdf"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data.consilium.europa.eu/doc/document/ST-5958-2014-INIT/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data.consilium.europa.eu/doc/document/ST-10613-2015-INIT/en/pdf" TargetMode="External"/><Relationship Id="rId32" Type="http://schemas.openxmlformats.org/officeDocument/2006/relationships/hyperlink" Target="http://data.consilium.europa.eu/doc/document/ST-10709-2015-INIT/en/pdf" TargetMode="External"/><Relationship Id="rId37" Type="http://schemas.openxmlformats.org/officeDocument/2006/relationships/hyperlink" Target="http://eur-lex.europa.eu/legal-content/EN/TXT/?uri=celex:32011R1343" TargetMode="External"/><Relationship Id="rId40" Type="http://schemas.openxmlformats.org/officeDocument/2006/relationships/hyperlink" Target="http://www.consilium.europa.eu/en/press/press-releases/2015/05/13-eucap-sahel-niger/" TargetMode="External"/><Relationship Id="rId45" Type="http://schemas.openxmlformats.org/officeDocument/2006/relationships/hyperlink" Target="http://data.consilium.europa.eu/doc/document/ST-9957-2015-ADD-1/en/pdf" TargetMode="External"/><Relationship Id="rId53" Type="http://schemas.openxmlformats.org/officeDocument/2006/relationships/hyperlink" Target="http://data.consilium.europa.eu/doc/document/ST-10390-2015-ADD-1-REV-2/en/pdf" TargetMode="External"/><Relationship Id="rId58" Type="http://schemas.openxmlformats.org/officeDocument/2006/relationships/hyperlink" Target="http://eur-lex.europa.eu/LexUriServ/LexUriServ.do?uri=OJ:L:2009:076:0003:0016:en:PDF" TargetMode="External"/><Relationship Id="rId66" Type="http://schemas.openxmlformats.org/officeDocument/2006/relationships/hyperlink" Target="http://data.consilium.europa.eu/doc/document/ST-9564-2015-INIT/en/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ur-lex.europa.eu/legal-content/EN/TXT/PDF/?uri=CELEX:32015L0412&amp;from=EN" TargetMode="External"/><Relationship Id="rId28" Type="http://schemas.openxmlformats.org/officeDocument/2006/relationships/hyperlink" Target="http://data.consilium.europa.eu/doc/document/ST-10620-2015-INIT/en/pdf" TargetMode="External"/><Relationship Id="rId36" Type="http://schemas.openxmlformats.org/officeDocument/2006/relationships/hyperlink" Target="http://data.consilium.europa.eu/doc/document/ST-10698-2015-INIT/en/pdf" TargetMode="External"/><Relationship Id="rId49" Type="http://schemas.openxmlformats.org/officeDocument/2006/relationships/hyperlink" Target="http://www.consilium.europa.eu/en/press/press-releases/2015/06/10-trade-marks/" TargetMode="External"/><Relationship Id="rId57" Type="http://schemas.openxmlformats.org/officeDocument/2006/relationships/hyperlink" Target="http://data.consilium.europa.eu/doc/document/ST-8756-2015-INIT/en/pdf" TargetMode="External"/><Relationship Id="rId61" Type="http://schemas.openxmlformats.org/officeDocument/2006/relationships/hyperlink" Target="http://data.consilium.europa.eu/doc/document/ST-9533-2015-INIT/en/pdf" TargetMode="External"/><Relationship Id="rId10" Type="http://schemas.openxmlformats.org/officeDocument/2006/relationships/header" Target="header1.xml"/><Relationship Id="rId19" Type="http://schemas.openxmlformats.org/officeDocument/2006/relationships/hyperlink" Target="http://data.consilium.europa.eu/doc/document/ST-10690-2015-INIT/en/pdf" TargetMode="External"/><Relationship Id="rId31" Type="http://schemas.openxmlformats.org/officeDocument/2006/relationships/hyperlink" Target="http://data.consilium.europa.eu/doc/document/ST-14533-2014-INIT/en/pdf" TargetMode="External"/><Relationship Id="rId44" Type="http://schemas.openxmlformats.org/officeDocument/2006/relationships/hyperlink" Target="http://data.consilium.europa.eu/doc/document/PE-8-2015-INIT/en/pdf" TargetMode="External"/><Relationship Id="rId52" Type="http://schemas.openxmlformats.org/officeDocument/2006/relationships/hyperlink" Target="http://data.consilium.europa.eu/doc/document/PE-28-2015-INIT/en/pdf" TargetMode="External"/><Relationship Id="rId60" Type="http://schemas.openxmlformats.org/officeDocument/2006/relationships/hyperlink" Target="http://eur-lex.europa.eu/LexUriServ/LexUriServ.do?uri=OJ:L:2012:342:0001:0022:en:PDF" TargetMode="External"/><Relationship Id="rId65" Type="http://schemas.openxmlformats.org/officeDocument/2006/relationships/hyperlink" Target="http://data.consilium.europa.eu/doc/document/ST-9546-2015-INIT/en/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data.consilium.europa.eu/doc/document/ST-10569-2015-INIT/en/pdf" TargetMode="External"/><Relationship Id="rId27" Type="http://schemas.openxmlformats.org/officeDocument/2006/relationships/hyperlink" Target="http://data.consilium.europa.eu/doc/document/ST-10710-2015-INIT/en/pdf" TargetMode="External"/><Relationship Id="rId30" Type="http://schemas.openxmlformats.org/officeDocument/2006/relationships/hyperlink" Target="http://data.consilium.europa.eu/doc/document/ST-6054-2014-INIT/en/pdf" TargetMode="External"/><Relationship Id="rId35" Type="http://schemas.openxmlformats.org/officeDocument/2006/relationships/hyperlink" Target="http://data.consilium.europa.eu/doc/document/ST-10657-2015-INIT/en/pdf" TargetMode="External"/><Relationship Id="rId43" Type="http://schemas.openxmlformats.org/officeDocument/2006/relationships/hyperlink" Target="http://data.consilium.europa.eu/doc/document/ST-9477-2015-INIT/en/pdf" TargetMode="External"/><Relationship Id="rId48" Type="http://schemas.openxmlformats.org/officeDocument/2006/relationships/hyperlink" Target="http://www.consilium.europa.eu/en/press/press-releases/2015/04/21-trade-marks-reform-presidency-secures-provisional-agreement/" TargetMode="External"/><Relationship Id="rId56" Type="http://schemas.openxmlformats.org/officeDocument/2006/relationships/hyperlink" Target="http://data.consilium.europa.eu/doc/document/ST-10883-2014-REV-5/en/pdf" TargetMode="External"/><Relationship Id="rId64" Type="http://schemas.openxmlformats.org/officeDocument/2006/relationships/hyperlink" Target="http://data.consilium.europa.eu/doc/document/ST-9222-2015-INIT/en/pdf" TargetMode="External"/><Relationship Id="rId8" Type="http://schemas.openxmlformats.org/officeDocument/2006/relationships/endnotes" Target="endnotes.xml"/><Relationship Id="rId51" Type="http://schemas.openxmlformats.org/officeDocument/2006/relationships/hyperlink" Target="http://data.consilium.europa.eu/doc/document/ST-8284-2015-INIT/en/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data.consilium.europa.eu/doc/document/ST-10707-2015-INIT/en/pdf" TargetMode="External"/><Relationship Id="rId33" Type="http://schemas.openxmlformats.org/officeDocument/2006/relationships/hyperlink" Target="http://data.consilium.europa.eu/doc/document/ST-10505-2015-INIT/en/pdf" TargetMode="External"/><Relationship Id="rId38" Type="http://schemas.openxmlformats.org/officeDocument/2006/relationships/hyperlink" Target="http://data.consilium.europa.eu/doc/document/ST-8806-2015-INIT/en/pdf" TargetMode="External"/><Relationship Id="rId46" Type="http://schemas.openxmlformats.org/officeDocument/2006/relationships/hyperlink" Target="http://data.consilium.europa.eu/doc/document/ST-9957-2015-ADD-2/en/pdf" TargetMode="External"/><Relationship Id="rId59" Type="http://schemas.openxmlformats.org/officeDocument/2006/relationships/hyperlink" Target="http://eur-lex.europa.eu/LexUriServ/LexUriServ.do?uri=OJ:L:2009:076:0017:0044:en:PDF" TargetMode="External"/><Relationship Id="rId67" Type="http://schemas.openxmlformats.org/officeDocument/2006/relationships/fontTable" Target="fontTable.xml"/><Relationship Id="rId20" Type="http://schemas.openxmlformats.org/officeDocument/2006/relationships/hyperlink" Target="http://data.consilium.europa.eu/doc/document/ST-8344-2015-INIT/en/pdf" TargetMode="External"/><Relationship Id="rId41" Type="http://schemas.openxmlformats.org/officeDocument/2006/relationships/hyperlink" Target="http://www.consilium.europa.eu/en/press/press-releases/2015/07/13-deficit-data-valencia/" TargetMode="External"/><Relationship Id="rId54" Type="http://schemas.openxmlformats.org/officeDocument/2006/relationships/hyperlink" Target="http://www.consilium.europa.eu/en/press/press-releases/2015/04/28-preparing-transition-advanced-biofuels/" TargetMode="External"/><Relationship Id="rId62" Type="http://schemas.openxmlformats.org/officeDocument/2006/relationships/hyperlink" Target="http://data.consilium.europa.eu/doc/document/ST-9044-2015-INIT/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uri=CELEX:32006D0512" TargetMode="External"/><Relationship Id="rId1" Type="http://schemas.openxmlformats.org/officeDocument/2006/relationships/hyperlink" Target="http://eur-lex.europa.eu/legal-content/EN/TXT/?uri=OJ:L:1999:184: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B2C27-2DA6-478F-ADAC-52045E74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11</TotalTime>
  <Pages>16</Pages>
  <Words>3829</Words>
  <Characters>29250</Characters>
  <Application>Microsoft Office Word</Application>
  <DocSecurity>0</DocSecurity>
  <Lines>541</Lines>
  <Paragraphs>295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CRESPO PARRONDO Ana</dc:creator>
  <cp:lastModifiedBy>KONTOGIANNI Elpida</cp:lastModifiedBy>
  <cp:revision>6</cp:revision>
  <cp:lastPrinted>2015-08-04T11:23:00Z</cp:lastPrinted>
  <dcterms:created xsi:type="dcterms:W3CDTF">2015-08-04T10:07:00Z</dcterms:created>
  <dcterms:modified xsi:type="dcterms:W3CDTF">2015-08-04T11:26:00Z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y fmtid="{D5CDD505-2E9C-101B-9397-08002B2CF9AE}" pid="5" name="SkipControlLengthPage">
    <vt:lpwstr/>
  </property>
</Properties>
</file>