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C1" w:rsidRPr="00ED7EC1" w:rsidRDefault="00ED7EC1" w:rsidP="00ED7EC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f7c5c6a-902e-483e-9e63-61ea22f4934f_0" style="width:573.75pt;height:413.25pt">
            <v:imagedata r:id="rId8" o:title=""/>
          </v:shape>
        </w:pict>
      </w:r>
      <w:bookmarkEnd w:id="0"/>
    </w:p>
    <w:p w:rsidR="00876110" w:rsidRDefault="00876110" w:rsidP="00876110">
      <w:pPr>
        <w:pStyle w:val="TechnicalBlock"/>
        <w:ind w:left="-1134" w:right="-1134"/>
        <w:sectPr w:rsidR="00876110" w:rsidSect="00ED7EC1">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A70275" w:rsidRDefault="00783ACD" w:rsidP="00783ACD">
      <w:pPr>
        <w:pStyle w:val="TOCHeading"/>
      </w:pPr>
      <w:r>
        <w:lastRenderedPageBreak/>
        <w:t>CONTENTS</w:t>
      </w:r>
      <w:r w:rsidRPr="00783ACD">
        <w:rPr>
          <w:vertAlign w:val="superscript"/>
        </w:rPr>
        <w:t>1</w:t>
      </w:r>
    </w:p>
    <w:p w:rsidR="00783ACD" w:rsidRDefault="00783ACD" w:rsidP="00783ACD">
      <w:pPr>
        <w:pStyle w:val="TOC5"/>
      </w:pPr>
      <w:r>
        <w:t>ITEMS DEBATED</w:t>
      </w:r>
    </w:p>
    <w:p w:rsidR="00783ACD" w:rsidRDefault="00783ACD" w:rsidP="00783ACD">
      <w:pPr>
        <w:pStyle w:val="TOC6"/>
        <w:keepNext/>
        <w:rPr>
          <w:rFonts w:asciiTheme="minorHAnsi" w:eastAsiaTheme="minorEastAsia" w:hAnsiTheme="minorHAnsi" w:cstheme="minorBidi"/>
          <w:noProof/>
          <w:sz w:val="22"/>
          <w:szCs w:val="22"/>
          <w:lang w:eastAsia="en-GB"/>
        </w:rPr>
      </w:pPr>
      <w:r w:rsidRPr="00742D6B">
        <w:rPr>
          <w:rFonts w:eastAsia="Calibri"/>
          <w:noProof/>
        </w:rPr>
        <w:t>AGRICULTURE</w:t>
      </w:r>
      <w:r>
        <w:rPr>
          <w:noProof/>
        </w:rPr>
        <w:tab/>
      </w:r>
      <w:r>
        <w:rPr>
          <w:noProof/>
        </w:rPr>
        <w:fldChar w:fldCharType="begin"/>
      </w:r>
      <w:r>
        <w:rPr>
          <w:noProof/>
        </w:rPr>
        <w:instrText xml:space="preserve"> PAGEREF \h _Toc419199021 \* MERGEFORMAT </w:instrText>
      </w:r>
      <w:r>
        <w:rPr>
          <w:noProof/>
        </w:rPr>
      </w:r>
      <w:r>
        <w:rPr>
          <w:noProof/>
        </w:rPr>
        <w:fldChar w:fldCharType="separate"/>
      </w:r>
      <w:r w:rsidR="00420D4A">
        <w:rPr>
          <w:noProof/>
        </w:rPr>
        <w:t>4</w:t>
      </w:r>
      <w:r>
        <w:rPr>
          <w:noProof/>
        </w:rPr>
        <w:fldChar w:fldCharType="end"/>
      </w:r>
    </w:p>
    <w:p w:rsidR="00783ACD" w:rsidRDefault="00783ACD" w:rsidP="00783ACD">
      <w:pPr>
        <w:pStyle w:val="TOC7"/>
        <w:keepNext/>
        <w:rPr>
          <w:rFonts w:asciiTheme="minorHAnsi" w:eastAsiaTheme="minorEastAsia" w:hAnsiTheme="minorHAnsi" w:cstheme="minorBidi"/>
          <w:noProof/>
          <w:sz w:val="22"/>
          <w:szCs w:val="22"/>
          <w:lang w:eastAsia="en-GB"/>
        </w:rPr>
      </w:pPr>
      <w:r>
        <w:rPr>
          <w:noProof/>
        </w:rPr>
        <w:t>Organic farming</w:t>
      </w:r>
      <w:r>
        <w:rPr>
          <w:noProof/>
        </w:rPr>
        <w:tab/>
      </w:r>
      <w:r>
        <w:rPr>
          <w:noProof/>
        </w:rPr>
        <w:fldChar w:fldCharType="begin"/>
      </w:r>
      <w:r>
        <w:rPr>
          <w:noProof/>
        </w:rPr>
        <w:instrText xml:space="preserve"> PAGEREF \h _Toc419199022 \* MERGEFORMAT </w:instrText>
      </w:r>
      <w:r>
        <w:rPr>
          <w:noProof/>
        </w:rPr>
      </w:r>
      <w:r>
        <w:rPr>
          <w:noProof/>
        </w:rPr>
        <w:fldChar w:fldCharType="separate"/>
      </w:r>
      <w:r w:rsidR="00420D4A">
        <w:rPr>
          <w:noProof/>
        </w:rPr>
        <w:t>4</w:t>
      </w:r>
      <w:r>
        <w:rPr>
          <w:noProof/>
        </w:rPr>
        <w:fldChar w:fldCharType="end"/>
      </w:r>
    </w:p>
    <w:p w:rsidR="00783ACD" w:rsidRDefault="00783ACD" w:rsidP="00783ACD">
      <w:pPr>
        <w:pStyle w:val="TOC7"/>
        <w:rPr>
          <w:rFonts w:asciiTheme="minorHAnsi" w:eastAsiaTheme="minorEastAsia" w:hAnsiTheme="minorHAnsi" w:cstheme="minorBidi"/>
          <w:noProof/>
          <w:sz w:val="22"/>
          <w:szCs w:val="22"/>
          <w:lang w:eastAsia="en-GB"/>
        </w:rPr>
      </w:pPr>
      <w:r>
        <w:rPr>
          <w:noProof/>
        </w:rPr>
        <w:t>CAP simplification - Council conclusions</w:t>
      </w:r>
      <w:r>
        <w:rPr>
          <w:noProof/>
        </w:rPr>
        <w:tab/>
      </w:r>
      <w:r>
        <w:rPr>
          <w:noProof/>
        </w:rPr>
        <w:fldChar w:fldCharType="begin"/>
      </w:r>
      <w:r>
        <w:rPr>
          <w:noProof/>
        </w:rPr>
        <w:instrText xml:space="preserve"> PAGEREF \h _Toc419199023 \* MERGEFORMAT </w:instrText>
      </w:r>
      <w:r>
        <w:rPr>
          <w:noProof/>
        </w:rPr>
      </w:r>
      <w:r>
        <w:rPr>
          <w:noProof/>
        </w:rPr>
        <w:fldChar w:fldCharType="separate"/>
      </w:r>
      <w:r w:rsidR="00420D4A">
        <w:rPr>
          <w:noProof/>
        </w:rPr>
        <w:t>4</w:t>
      </w:r>
      <w:r>
        <w:rPr>
          <w:noProof/>
        </w:rPr>
        <w:fldChar w:fldCharType="end"/>
      </w:r>
    </w:p>
    <w:p w:rsidR="00783ACD" w:rsidRDefault="00783ACD" w:rsidP="00783ACD">
      <w:pPr>
        <w:pStyle w:val="TOC6"/>
        <w:keepNext/>
        <w:rPr>
          <w:rFonts w:asciiTheme="minorHAnsi" w:eastAsiaTheme="minorEastAsia" w:hAnsiTheme="minorHAnsi" w:cstheme="minorBidi"/>
          <w:noProof/>
          <w:sz w:val="22"/>
          <w:szCs w:val="22"/>
          <w:lang w:eastAsia="en-GB"/>
        </w:rPr>
      </w:pPr>
      <w:r w:rsidRPr="00742D6B">
        <w:rPr>
          <w:rFonts w:eastAsia="Calibri"/>
          <w:noProof/>
        </w:rPr>
        <w:t>ANY OTHER BUSINESS</w:t>
      </w:r>
      <w:r>
        <w:rPr>
          <w:noProof/>
        </w:rPr>
        <w:tab/>
      </w:r>
      <w:r>
        <w:rPr>
          <w:noProof/>
        </w:rPr>
        <w:fldChar w:fldCharType="begin"/>
      </w:r>
      <w:r>
        <w:rPr>
          <w:noProof/>
        </w:rPr>
        <w:instrText xml:space="preserve"> PAGEREF \h _Toc419199024 \* MERGEFORMAT </w:instrText>
      </w:r>
      <w:r>
        <w:rPr>
          <w:noProof/>
        </w:rPr>
      </w:r>
      <w:r>
        <w:rPr>
          <w:noProof/>
        </w:rPr>
        <w:fldChar w:fldCharType="separate"/>
      </w:r>
      <w:r w:rsidR="00420D4A">
        <w:rPr>
          <w:noProof/>
        </w:rPr>
        <w:t>5</w:t>
      </w:r>
      <w:r>
        <w:rPr>
          <w:noProof/>
        </w:rPr>
        <w:fldChar w:fldCharType="end"/>
      </w:r>
    </w:p>
    <w:p w:rsidR="00783ACD" w:rsidRDefault="00783ACD" w:rsidP="00783ACD">
      <w:pPr>
        <w:pStyle w:val="TOC7"/>
        <w:keepNext/>
        <w:rPr>
          <w:rFonts w:asciiTheme="minorHAnsi" w:eastAsiaTheme="minorEastAsia" w:hAnsiTheme="minorHAnsi" w:cstheme="minorBidi"/>
          <w:noProof/>
          <w:sz w:val="22"/>
          <w:szCs w:val="22"/>
          <w:lang w:eastAsia="en-GB"/>
        </w:rPr>
      </w:pPr>
      <w:r>
        <w:rPr>
          <w:noProof/>
        </w:rPr>
        <w:t>World Honeybee Day</w:t>
      </w:r>
      <w:r>
        <w:rPr>
          <w:noProof/>
        </w:rPr>
        <w:tab/>
      </w:r>
      <w:r>
        <w:rPr>
          <w:noProof/>
        </w:rPr>
        <w:fldChar w:fldCharType="begin"/>
      </w:r>
      <w:r>
        <w:rPr>
          <w:noProof/>
        </w:rPr>
        <w:instrText xml:space="preserve"> PAGEREF \h _Toc419199025 \* MERGEFORMAT </w:instrText>
      </w:r>
      <w:r>
        <w:rPr>
          <w:noProof/>
        </w:rPr>
      </w:r>
      <w:r>
        <w:rPr>
          <w:noProof/>
        </w:rPr>
        <w:fldChar w:fldCharType="separate"/>
      </w:r>
      <w:r w:rsidR="00420D4A">
        <w:rPr>
          <w:noProof/>
        </w:rPr>
        <w:t>5</w:t>
      </w:r>
      <w:r>
        <w:rPr>
          <w:noProof/>
        </w:rPr>
        <w:fldChar w:fldCharType="end"/>
      </w:r>
    </w:p>
    <w:p w:rsidR="00783ACD" w:rsidRDefault="00783ACD" w:rsidP="00783ACD">
      <w:pPr>
        <w:pStyle w:val="TOC7"/>
        <w:keepNext/>
        <w:rPr>
          <w:rFonts w:asciiTheme="minorHAnsi" w:eastAsiaTheme="minorEastAsia" w:hAnsiTheme="minorHAnsi" w:cstheme="minorBidi"/>
          <w:noProof/>
          <w:sz w:val="22"/>
          <w:szCs w:val="22"/>
          <w:lang w:eastAsia="en-GB"/>
        </w:rPr>
      </w:pPr>
      <w:r>
        <w:rPr>
          <w:noProof/>
        </w:rPr>
        <w:t>Conference on pig welfare</w:t>
      </w:r>
      <w:r>
        <w:rPr>
          <w:noProof/>
        </w:rPr>
        <w:tab/>
      </w:r>
      <w:r>
        <w:rPr>
          <w:noProof/>
        </w:rPr>
        <w:fldChar w:fldCharType="begin"/>
      </w:r>
      <w:r>
        <w:rPr>
          <w:noProof/>
        </w:rPr>
        <w:instrText xml:space="preserve"> PAGEREF \h _Toc419199026 \* MERGEFORMAT </w:instrText>
      </w:r>
      <w:r>
        <w:rPr>
          <w:noProof/>
        </w:rPr>
      </w:r>
      <w:r>
        <w:rPr>
          <w:noProof/>
        </w:rPr>
        <w:fldChar w:fldCharType="separate"/>
      </w:r>
      <w:r w:rsidR="00420D4A">
        <w:rPr>
          <w:noProof/>
        </w:rPr>
        <w:t>5</w:t>
      </w:r>
      <w:r>
        <w:rPr>
          <w:noProof/>
        </w:rPr>
        <w:fldChar w:fldCharType="end"/>
      </w:r>
    </w:p>
    <w:p w:rsidR="00783ACD" w:rsidRPr="00783ACD" w:rsidRDefault="00783ACD" w:rsidP="00783ACD">
      <w:pPr>
        <w:pStyle w:val="TOC7"/>
      </w:pPr>
      <w:r>
        <w:rPr>
          <w:noProof/>
        </w:rPr>
        <w:t>Extension of the eligibility of rural development programmes</w:t>
      </w:r>
      <w:r>
        <w:rPr>
          <w:noProof/>
        </w:rPr>
        <w:tab/>
      </w:r>
      <w:r>
        <w:rPr>
          <w:noProof/>
        </w:rPr>
        <w:fldChar w:fldCharType="begin"/>
      </w:r>
      <w:r>
        <w:rPr>
          <w:noProof/>
        </w:rPr>
        <w:instrText xml:space="preserve"> PAGEREF \h _Toc419199027 \* MERGEFORMAT </w:instrText>
      </w:r>
      <w:r>
        <w:rPr>
          <w:noProof/>
        </w:rPr>
      </w:r>
      <w:r>
        <w:rPr>
          <w:noProof/>
        </w:rPr>
        <w:fldChar w:fldCharType="separate"/>
      </w:r>
      <w:r w:rsidR="00420D4A">
        <w:rPr>
          <w:noProof/>
        </w:rPr>
        <w:t>5</w:t>
      </w:r>
      <w:r>
        <w:rPr>
          <w:noProof/>
        </w:rPr>
        <w:fldChar w:fldCharType="end"/>
      </w:r>
    </w:p>
    <w:p w:rsidR="00783ACD" w:rsidRDefault="00783ACD" w:rsidP="00783ACD">
      <w:pPr>
        <w:pStyle w:val="TOC5"/>
      </w:pPr>
      <w:r>
        <w:t>OTHER ITEMS APPROVED</w:t>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t>AGRICULTURE</w:t>
      </w:r>
    </w:p>
    <w:p w:rsidR="00783ACD" w:rsidRDefault="00783ACD" w:rsidP="00783ACD">
      <w:pPr>
        <w:pStyle w:val="TOC9"/>
        <w:keepNext/>
        <w:rPr>
          <w:rFonts w:asciiTheme="minorHAnsi" w:eastAsiaTheme="minorEastAsia" w:hAnsiTheme="minorHAnsi" w:cstheme="minorBidi"/>
          <w:noProof/>
          <w:sz w:val="22"/>
          <w:szCs w:val="22"/>
          <w:lang w:eastAsia="en-GB"/>
        </w:rPr>
      </w:pPr>
      <w:r>
        <w:rPr>
          <w:noProof/>
        </w:rPr>
        <w:t>Rural development - Amendment of rural development envelopes</w:t>
      </w:r>
      <w:r>
        <w:rPr>
          <w:noProof/>
        </w:rPr>
        <w:tab/>
      </w:r>
      <w:r>
        <w:rPr>
          <w:noProof/>
        </w:rPr>
        <w:fldChar w:fldCharType="begin"/>
      </w:r>
      <w:r>
        <w:rPr>
          <w:noProof/>
        </w:rPr>
        <w:instrText xml:space="preserve"> PAGEREF \h _Toc419199029 \* MERGEFORMAT </w:instrText>
      </w:r>
      <w:r>
        <w:rPr>
          <w:noProof/>
        </w:rPr>
      </w:r>
      <w:r>
        <w:rPr>
          <w:noProof/>
        </w:rPr>
        <w:fldChar w:fldCharType="separate"/>
      </w:r>
      <w:r w:rsidR="00420D4A">
        <w:rPr>
          <w:noProof/>
        </w:rPr>
        <w:t>6</w:t>
      </w:r>
      <w:r>
        <w:rPr>
          <w:noProof/>
        </w:rPr>
        <w:fldChar w:fldCharType="end"/>
      </w:r>
    </w:p>
    <w:p w:rsidR="00783ACD" w:rsidRDefault="00783ACD" w:rsidP="00783ACD">
      <w:pPr>
        <w:pStyle w:val="TOC9"/>
        <w:keepNext/>
        <w:rPr>
          <w:rFonts w:asciiTheme="minorHAnsi" w:eastAsiaTheme="minorEastAsia" w:hAnsiTheme="minorHAnsi" w:cstheme="minorBidi"/>
          <w:noProof/>
          <w:sz w:val="22"/>
          <w:szCs w:val="22"/>
          <w:lang w:eastAsia="en-GB"/>
        </w:rPr>
      </w:pPr>
      <w:r>
        <w:rPr>
          <w:noProof/>
        </w:rPr>
        <w:t>Pesticides - Maximum residue levels</w:t>
      </w:r>
      <w:r>
        <w:rPr>
          <w:noProof/>
        </w:rPr>
        <w:tab/>
      </w:r>
      <w:r>
        <w:rPr>
          <w:noProof/>
        </w:rPr>
        <w:fldChar w:fldCharType="begin"/>
      </w:r>
      <w:r>
        <w:rPr>
          <w:noProof/>
        </w:rPr>
        <w:instrText xml:space="preserve"> PAGEREF \h _Toc419199030 \* MERGEFORMAT </w:instrText>
      </w:r>
      <w:r>
        <w:rPr>
          <w:noProof/>
        </w:rPr>
      </w:r>
      <w:r>
        <w:rPr>
          <w:noProof/>
        </w:rPr>
        <w:fldChar w:fldCharType="separate"/>
      </w:r>
      <w:r w:rsidR="00420D4A">
        <w:rPr>
          <w:noProof/>
        </w:rPr>
        <w:t>6</w:t>
      </w:r>
      <w:r>
        <w:rPr>
          <w:noProof/>
        </w:rPr>
        <w:fldChar w:fldCharType="end"/>
      </w:r>
    </w:p>
    <w:p w:rsidR="00783ACD" w:rsidRDefault="00783ACD" w:rsidP="00783ACD">
      <w:pPr>
        <w:pStyle w:val="TOC9"/>
        <w:rPr>
          <w:rFonts w:asciiTheme="minorHAnsi" w:eastAsiaTheme="minorEastAsia" w:hAnsiTheme="minorHAnsi" w:cstheme="minorBidi"/>
          <w:noProof/>
          <w:sz w:val="22"/>
          <w:szCs w:val="22"/>
          <w:lang w:eastAsia="en-GB"/>
        </w:rPr>
      </w:pPr>
      <w:r>
        <w:rPr>
          <w:noProof/>
        </w:rPr>
        <w:t>Animal health - Specified risk material for spongiform encephalopathies</w:t>
      </w:r>
      <w:r>
        <w:rPr>
          <w:noProof/>
        </w:rPr>
        <w:tab/>
      </w:r>
      <w:r>
        <w:rPr>
          <w:noProof/>
        </w:rPr>
        <w:fldChar w:fldCharType="begin"/>
      </w:r>
      <w:r>
        <w:rPr>
          <w:noProof/>
        </w:rPr>
        <w:instrText xml:space="preserve"> PAGEREF \h _Toc419199031 \* MERGEFORMAT </w:instrText>
      </w:r>
      <w:r>
        <w:rPr>
          <w:noProof/>
        </w:rPr>
      </w:r>
      <w:r>
        <w:rPr>
          <w:noProof/>
        </w:rPr>
        <w:fldChar w:fldCharType="separate"/>
      </w:r>
      <w:r w:rsidR="00420D4A">
        <w:rPr>
          <w:noProof/>
        </w:rPr>
        <w:t>7</w:t>
      </w:r>
      <w:r>
        <w:rPr>
          <w:noProof/>
        </w:rPr>
        <w:fldChar w:fldCharType="end"/>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t>FISHERIES</w:t>
      </w:r>
    </w:p>
    <w:p w:rsidR="00783ACD" w:rsidRDefault="00783ACD" w:rsidP="00783ACD">
      <w:pPr>
        <w:pStyle w:val="TOC9"/>
        <w:rPr>
          <w:rFonts w:asciiTheme="minorHAnsi" w:eastAsiaTheme="minorEastAsia" w:hAnsiTheme="minorHAnsi" w:cstheme="minorBidi"/>
          <w:noProof/>
          <w:sz w:val="22"/>
          <w:szCs w:val="22"/>
          <w:lang w:eastAsia="en-GB"/>
        </w:rPr>
      </w:pPr>
      <w:r>
        <w:rPr>
          <w:noProof/>
        </w:rPr>
        <w:t>Fish landing obligation - Adoption of the "omnibus" regulation</w:t>
      </w:r>
      <w:r>
        <w:rPr>
          <w:noProof/>
        </w:rPr>
        <w:tab/>
      </w:r>
      <w:r>
        <w:rPr>
          <w:noProof/>
        </w:rPr>
        <w:fldChar w:fldCharType="begin"/>
      </w:r>
      <w:r>
        <w:rPr>
          <w:noProof/>
        </w:rPr>
        <w:instrText xml:space="preserve"> PAGEREF \h _Toc419199033 \* MERGEFORMAT </w:instrText>
      </w:r>
      <w:r>
        <w:rPr>
          <w:noProof/>
        </w:rPr>
      </w:r>
      <w:r>
        <w:rPr>
          <w:noProof/>
        </w:rPr>
        <w:fldChar w:fldCharType="separate"/>
      </w:r>
      <w:r w:rsidR="00420D4A">
        <w:rPr>
          <w:noProof/>
        </w:rPr>
        <w:t>8</w:t>
      </w:r>
      <w:r>
        <w:rPr>
          <w:noProof/>
        </w:rPr>
        <w:fldChar w:fldCharType="end"/>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t>GENERAL AFFAIRS</w:t>
      </w:r>
    </w:p>
    <w:p w:rsidR="00783ACD" w:rsidRDefault="00783ACD" w:rsidP="00783ACD">
      <w:pPr>
        <w:pStyle w:val="TOC9"/>
        <w:keepNext/>
        <w:rPr>
          <w:rFonts w:asciiTheme="minorHAnsi" w:eastAsiaTheme="minorEastAsia" w:hAnsiTheme="minorHAnsi" w:cstheme="minorBidi"/>
          <w:noProof/>
          <w:sz w:val="22"/>
          <w:szCs w:val="22"/>
          <w:lang w:eastAsia="en-GB"/>
        </w:rPr>
      </w:pPr>
      <w:r>
        <w:rPr>
          <w:noProof/>
        </w:rPr>
        <w:t>Pericles 2020 programme extended to member states outside the euro zone</w:t>
      </w:r>
      <w:r>
        <w:rPr>
          <w:noProof/>
        </w:rPr>
        <w:tab/>
      </w:r>
      <w:r>
        <w:rPr>
          <w:noProof/>
        </w:rPr>
        <w:fldChar w:fldCharType="begin"/>
      </w:r>
      <w:r>
        <w:rPr>
          <w:noProof/>
        </w:rPr>
        <w:instrText xml:space="preserve"> PAGEREF \h _Toc419199035 \* MERGEFORMAT </w:instrText>
      </w:r>
      <w:r>
        <w:rPr>
          <w:noProof/>
        </w:rPr>
      </w:r>
      <w:r>
        <w:rPr>
          <w:noProof/>
        </w:rPr>
        <w:fldChar w:fldCharType="separate"/>
      </w:r>
      <w:r w:rsidR="00420D4A">
        <w:rPr>
          <w:noProof/>
        </w:rPr>
        <w:t>9</w:t>
      </w:r>
      <w:r>
        <w:rPr>
          <w:noProof/>
        </w:rPr>
        <w:fldChar w:fldCharType="end"/>
      </w:r>
    </w:p>
    <w:p w:rsidR="00783ACD" w:rsidRDefault="00783ACD" w:rsidP="00783ACD">
      <w:pPr>
        <w:pStyle w:val="TOC9"/>
        <w:rPr>
          <w:rFonts w:asciiTheme="minorHAnsi" w:eastAsiaTheme="minorEastAsia" w:hAnsiTheme="minorHAnsi" w:cstheme="minorBidi"/>
          <w:noProof/>
          <w:sz w:val="22"/>
          <w:szCs w:val="22"/>
          <w:lang w:eastAsia="en-GB"/>
        </w:rPr>
      </w:pPr>
      <w:r>
        <w:rPr>
          <w:noProof/>
        </w:rPr>
        <w:t>Greenhouse gas emissions of the EU institutions - Report of the European Court of Auditors</w:t>
      </w:r>
      <w:r>
        <w:rPr>
          <w:noProof/>
        </w:rPr>
        <w:tab/>
      </w:r>
      <w:r>
        <w:rPr>
          <w:noProof/>
        </w:rPr>
        <w:fldChar w:fldCharType="begin"/>
      </w:r>
      <w:r>
        <w:rPr>
          <w:noProof/>
        </w:rPr>
        <w:instrText xml:space="preserve"> PAGEREF \h _Toc419199036 \* MERGEFORMAT </w:instrText>
      </w:r>
      <w:r>
        <w:rPr>
          <w:noProof/>
        </w:rPr>
      </w:r>
      <w:r>
        <w:rPr>
          <w:noProof/>
        </w:rPr>
        <w:fldChar w:fldCharType="separate"/>
      </w:r>
      <w:r w:rsidR="00420D4A">
        <w:rPr>
          <w:noProof/>
        </w:rPr>
        <w:t>9</w:t>
      </w:r>
      <w:r>
        <w:rPr>
          <w:noProof/>
        </w:rPr>
        <w:fldChar w:fldCharType="end"/>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t>CUSTOMS UNION</w:t>
      </w:r>
    </w:p>
    <w:p w:rsidR="00783ACD" w:rsidRDefault="00783ACD" w:rsidP="00783ACD">
      <w:pPr>
        <w:pStyle w:val="TOC9"/>
        <w:keepNext/>
        <w:rPr>
          <w:rFonts w:asciiTheme="minorHAnsi" w:eastAsiaTheme="minorEastAsia" w:hAnsiTheme="minorHAnsi" w:cstheme="minorBidi"/>
          <w:noProof/>
          <w:sz w:val="22"/>
          <w:szCs w:val="22"/>
          <w:lang w:eastAsia="en-GB"/>
        </w:rPr>
      </w:pPr>
      <w:r>
        <w:rPr>
          <w:noProof/>
        </w:rPr>
        <w:t>Improved antifraud measures</w:t>
      </w:r>
      <w:r>
        <w:rPr>
          <w:noProof/>
        </w:rPr>
        <w:tab/>
      </w:r>
      <w:r>
        <w:rPr>
          <w:noProof/>
        </w:rPr>
        <w:fldChar w:fldCharType="begin"/>
      </w:r>
      <w:r>
        <w:rPr>
          <w:noProof/>
        </w:rPr>
        <w:instrText xml:space="preserve"> PAGEREF \h _Toc419199038 \* MERGEFORMAT </w:instrText>
      </w:r>
      <w:r>
        <w:rPr>
          <w:noProof/>
        </w:rPr>
      </w:r>
      <w:r>
        <w:rPr>
          <w:noProof/>
        </w:rPr>
        <w:fldChar w:fldCharType="separate"/>
      </w:r>
      <w:r w:rsidR="00420D4A">
        <w:rPr>
          <w:noProof/>
        </w:rPr>
        <w:t>9</w:t>
      </w:r>
      <w:r>
        <w:rPr>
          <w:noProof/>
        </w:rPr>
        <w:fldChar w:fldCharType="end"/>
      </w:r>
    </w:p>
    <w:p w:rsidR="00783ACD" w:rsidRDefault="00783ACD" w:rsidP="00783ACD">
      <w:pPr>
        <w:pStyle w:val="TOC9"/>
        <w:rPr>
          <w:rFonts w:asciiTheme="minorHAnsi" w:eastAsiaTheme="minorEastAsia" w:hAnsiTheme="minorHAnsi" w:cstheme="minorBidi"/>
          <w:noProof/>
          <w:sz w:val="22"/>
          <w:szCs w:val="22"/>
          <w:lang w:eastAsia="en-GB"/>
        </w:rPr>
      </w:pPr>
      <w:r>
        <w:rPr>
          <w:noProof/>
        </w:rPr>
        <w:t>Former Yugoslav Republic of Macedonia - Conventions on transit and trade</w:t>
      </w:r>
      <w:r>
        <w:rPr>
          <w:noProof/>
        </w:rPr>
        <w:tab/>
      </w:r>
      <w:r>
        <w:rPr>
          <w:noProof/>
        </w:rPr>
        <w:fldChar w:fldCharType="begin"/>
      </w:r>
      <w:r>
        <w:rPr>
          <w:noProof/>
        </w:rPr>
        <w:instrText xml:space="preserve"> PAGEREF \h _Toc419199039 \* MERGEFORMAT </w:instrText>
      </w:r>
      <w:r>
        <w:rPr>
          <w:noProof/>
        </w:rPr>
      </w:r>
      <w:r>
        <w:rPr>
          <w:noProof/>
        </w:rPr>
        <w:fldChar w:fldCharType="separate"/>
      </w:r>
      <w:r w:rsidR="00420D4A">
        <w:rPr>
          <w:noProof/>
        </w:rPr>
        <w:t>10</w:t>
      </w:r>
      <w:r>
        <w:rPr>
          <w:noProof/>
        </w:rPr>
        <w:fldChar w:fldCharType="end"/>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lastRenderedPageBreak/>
        <w:t>BUDGETS</w:t>
      </w:r>
    </w:p>
    <w:p w:rsidR="00783ACD" w:rsidRDefault="00783ACD" w:rsidP="00783ACD">
      <w:pPr>
        <w:pStyle w:val="TOC9"/>
        <w:rPr>
          <w:rFonts w:asciiTheme="minorHAnsi" w:eastAsiaTheme="minorEastAsia" w:hAnsiTheme="minorHAnsi" w:cstheme="minorBidi"/>
          <w:noProof/>
          <w:sz w:val="22"/>
          <w:szCs w:val="22"/>
          <w:lang w:eastAsia="en-GB"/>
        </w:rPr>
      </w:pPr>
      <w:r>
        <w:rPr>
          <w:noProof/>
        </w:rPr>
        <w:t>Timetable for adoption of the EU budget for 2016</w:t>
      </w:r>
      <w:r>
        <w:rPr>
          <w:noProof/>
        </w:rPr>
        <w:tab/>
      </w:r>
      <w:r>
        <w:rPr>
          <w:noProof/>
        </w:rPr>
        <w:fldChar w:fldCharType="begin"/>
      </w:r>
      <w:r>
        <w:rPr>
          <w:noProof/>
        </w:rPr>
        <w:instrText xml:space="preserve"> PAGEREF \h _Toc419199041 \* MERGEFORMAT </w:instrText>
      </w:r>
      <w:r>
        <w:rPr>
          <w:noProof/>
        </w:rPr>
      </w:r>
      <w:r>
        <w:rPr>
          <w:noProof/>
        </w:rPr>
        <w:fldChar w:fldCharType="separate"/>
      </w:r>
      <w:r w:rsidR="00420D4A">
        <w:rPr>
          <w:noProof/>
        </w:rPr>
        <w:t>10</w:t>
      </w:r>
      <w:r>
        <w:rPr>
          <w:noProof/>
        </w:rPr>
        <w:fldChar w:fldCharType="end"/>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t>ENVIRONMENT</w:t>
      </w:r>
    </w:p>
    <w:p w:rsidR="00783ACD" w:rsidRDefault="00783ACD" w:rsidP="00783ACD">
      <w:pPr>
        <w:pStyle w:val="TOC9"/>
        <w:keepNext/>
        <w:rPr>
          <w:rFonts w:asciiTheme="minorHAnsi" w:eastAsiaTheme="minorEastAsia" w:hAnsiTheme="minorHAnsi" w:cstheme="minorBidi"/>
          <w:noProof/>
          <w:sz w:val="22"/>
          <w:szCs w:val="22"/>
          <w:lang w:eastAsia="en-GB"/>
        </w:rPr>
      </w:pPr>
      <w:r>
        <w:rPr>
          <w:noProof/>
        </w:rPr>
        <w:t>Exemption for applications containing cadmium</w:t>
      </w:r>
      <w:r>
        <w:rPr>
          <w:noProof/>
        </w:rPr>
        <w:tab/>
      </w:r>
      <w:r>
        <w:rPr>
          <w:noProof/>
        </w:rPr>
        <w:fldChar w:fldCharType="begin"/>
      </w:r>
      <w:r>
        <w:rPr>
          <w:noProof/>
        </w:rPr>
        <w:instrText xml:space="preserve"> PAGEREF \h _Toc419199043 \* MERGEFORMAT </w:instrText>
      </w:r>
      <w:r>
        <w:rPr>
          <w:noProof/>
        </w:rPr>
      </w:r>
      <w:r>
        <w:rPr>
          <w:noProof/>
        </w:rPr>
        <w:fldChar w:fldCharType="separate"/>
      </w:r>
      <w:r w:rsidR="00420D4A">
        <w:rPr>
          <w:noProof/>
        </w:rPr>
        <w:t>10</w:t>
      </w:r>
      <w:r>
        <w:rPr>
          <w:noProof/>
        </w:rPr>
        <w:fldChar w:fldCharType="end"/>
      </w:r>
    </w:p>
    <w:p w:rsidR="00783ACD" w:rsidRDefault="00783ACD" w:rsidP="00783ACD">
      <w:pPr>
        <w:pStyle w:val="TOC9"/>
        <w:rPr>
          <w:rFonts w:asciiTheme="minorHAnsi" w:eastAsiaTheme="minorEastAsia" w:hAnsiTheme="minorHAnsi" w:cstheme="minorBidi"/>
          <w:noProof/>
          <w:sz w:val="22"/>
          <w:szCs w:val="22"/>
          <w:lang w:eastAsia="en-GB"/>
        </w:rPr>
      </w:pPr>
      <w:r>
        <w:rPr>
          <w:noProof/>
        </w:rPr>
        <w:t>Protection of the ozone layer</w:t>
      </w:r>
      <w:r>
        <w:rPr>
          <w:noProof/>
        </w:rPr>
        <w:tab/>
      </w:r>
      <w:r>
        <w:rPr>
          <w:noProof/>
        </w:rPr>
        <w:fldChar w:fldCharType="begin"/>
      </w:r>
      <w:r>
        <w:rPr>
          <w:noProof/>
        </w:rPr>
        <w:instrText xml:space="preserve"> PAGEREF \h _Toc419199044 \* MERGEFORMAT </w:instrText>
      </w:r>
      <w:r>
        <w:rPr>
          <w:noProof/>
        </w:rPr>
      </w:r>
      <w:r>
        <w:rPr>
          <w:noProof/>
        </w:rPr>
        <w:fldChar w:fldCharType="separate"/>
      </w:r>
      <w:r w:rsidR="00420D4A">
        <w:rPr>
          <w:noProof/>
        </w:rPr>
        <w:t>11</w:t>
      </w:r>
      <w:r>
        <w:rPr>
          <w:noProof/>
        </w:rPr>
        <w:fldChar w:fldCharType="end"/>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t>ENERGY</w:t>
      </w:r>
    </w:p>
    <w:p w:rsidR="00783ACD" w:rsidRDefault="00783ACD" w:rsidP="00783ACD">
      <w:pPr>
        <w:pStyle w:val="TOC9"/>
        <w:rPr>
          <w:rFonts w:asciiTheme="minorHAnsi" w:eastAsiaTheme="minorEastAsia" w:hAnsiTheme="minorHAnsi" w:cstheme="minorBidi"/>
          <w:noProof/>
          <w:sz w:val="22"/>
          <w:szCs w:val="22"/>
          <w:lang w:eastAsia="en-GB"/>
        </w:rPr>
      </w:pPr>
      <w:r>
        <w:rPr>
          <w:noProof/>
        </w:rPr>
        <w:t>International Energy Charter</w:t>
      </w:r>
      <w:r>
        <w:rPr>
          <w:noProof/>
        </w:rPr>
        <w:tab/>
      </w:r>
      <w:r>
        <w:rPr>
          <w:noProof/>
        </w:rPr>
        <w:fldChar w:fldCharType="begin"/>
      </w:r>
      <w:r>
        <w:rPr>
          <w:noProof/>
        </w:rPr>
        <w:instrText xml:space="preserve"> PAGEREF \h _Toc419199046 \* MERGEFORMAT </w:instrText>
      </w:r>
      <w:r>
        <w:rPr>
          <w:noProof/>
        </w:rPr>
      </w:r>
      <w:r>
        <w:rPr>
          <w:noProof/>
        </w:rPr>
        <w:fldChar w:fldCharType="separate"/>
      </w:r>
      <w:r w:rsidR="00420D4A">
        <w:rPr>
          <w:noProof/>
        </w:rPr>
        <w:t>11</w:t>
      </w:r>
      <w:r>
        <w:rPr>
          <w:noProof/>
        </w:rPr>
        <w:fldChar w:fldCharType="end"/>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t>EMPLOYMENT AND SOCIAL POLICY</w:t>
      </w:r>
    </w:p>
    <w:p w:rsidR="00783ACD" w:rsidRDefault="00783ACD" w:rsidP="00783ACD">
      <w:pPr>
        <w:pStyle w:val="TOC9"/>
        <w:rPr>
          <w:rFonts w:asciiTheme="minorHAnsi" w:eastAsiaTheme="minorEastAsia" w:hAnsiTheme="minorHAnsi" w:cstheme="minorBidi"/>
          <w:noProof/>
          <w:sz w:val="22"/>
          <w:szCs w:val="22"/>
          <w:lang w:eastAsia="en-GB"/>
        </w:rPr>
      </w:pPr>
      <w:r>
        <w:rPr>
          <w:noProof/>
        </w:rPr>
        <w:t>Functioning of committees</w:t>
      </w:r>
      <w:r>
        <w:rPr>
          <w:noProof/>
        </w:rPr>
        <w:tab/>
      </w:r>
      <w:r>
        <w:rPr>
          <w:noProof/>
        </w:rPr>
        <w:fldChar w:fldCharType="begin"/>
      </w:r>
      <w:r>
        <w:rPr>
          <w:noProof/>
        </w:rPr>
        <w:instrText xml:space="preserve"> PAGEREF \h _Toc419199048 \* MERGEFORMAT </w:instrText>
      </w:r>
      <w:r>
        <w:rPr>
          <w:noProof/>
        </w:rPr>
      </w:r>
      <w:r>
        <w:rPr>
          <w:noProof/>
        </w:rPr>
        <w:fldChar w:fldCharType="separate"/>
      </w:r>
      <w:r w:rsidR="00420D4A">
        <w:rPr>
          <w:noProof/>
        </w:rPr>
        <w:t>11</w:t>
      </w:r>
      <w:r>
        <w:rPr>
          <w:noProof/>
        </w:rPr>
        <w:fldChar w:fldCharType="end"/>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t>FOOD LAW</w:t>
      </w:r>
    </w:p>
    <w:p w:rsidR="00783ACD" w:rsidRDefault="00783ACD" w:rsidP="00783ACD">
      <w:pPr>
        <w:pStyle w:val="TOC9"/>
        <w:keepNext/>
        <w:rPr>
          <w:rFonts w:asciiTheme="minorHAnsi" w:eastAsiaTheme="minorEastAsia" w:hAnsiTheme="minorHAnsi" w:cstheme="minorBidi"/>
          <w:noProof/>
          <w:sz w:val="22"/>
          <w:szCs w:val="22"/>
          <w:lang w:eastAsia="en-GB"/>
        </w:rPr>
      </w:pPr>
      <w:r>
        <w:rPr>
          <w:noProof/>
        </w:rPr>
        <w:t>Maximum levels for contaminants in foodstuffs</w:t>
      </w:r>
      <w:r>
        <w:rPr>
          <w:noProof/>
        </w:rPr>
        <w:tab/>
      </w:r>
      <w:r>
        <w:rPr>
          <w:noProof/>
        </w:rPr>
        <w:fldChar w:fldCharType="begin"/>
      </w:r>
      <w:r>
        <w:rPr>
          <w:noProof/>
        </w:rPr>
        <w:instrText xml:space="preserve"> PAGEREF \h _Toc419199050 \* MERGEFORMAT </w:instrText>
      </w:r>
      <w:r>
        <w:rPr>
          <w:noProof/>
        </w:rPr>
      </w:r>
      <w:r>
        <w:rPr>
          <w:noProof/>
        </w:rPr>
        <w:fldChar w:fldCharType="separate"/>
      </w:r>
      <w:r w:rsidR="00420D4A">
        <w:rPr>
          <w:noProof/>
        </w:rPr>
        <w:t>12</w:t>
      </w:r>
      <w:r>
        <w:rPr>
          <w:noProof/>
        </w:rPr>
        <w:fldChar w:fldCharType="end"/>
      </w:r>
    </w:p>
    <w:p w:rsidR="00783ACD" w:rsidRDefault="00783ACD" w:rsidP="00783ACD">
      <w:pPr>
        <w:pStyle w:val="TOC9"/>
        <w:keepNext/>
        <w:rPr>
          <w:rFonts w:asciiTheme="minorHAnsi" w:eastAsiaTheme="minorEastAsia" w:hAnsiTheme="minorHAnsi" w:cstheme="minorBidi"/>
          <w:noProof/>
          <w:sz w:val="22"/>
          <w:szCs w:val="22"/>
          <w:lang w:eastAsia="en-GB"/>
        </w:rPr>
      </w:pPr>
      <w:r>
        <w:rPr>
          <w:noProof/>
        </w:rPr>
        <w:t>Health claims on foods</w:t>
      </w:r>
      <w:r>
        <w:rPr>
          <w:noProof/>
        </w:rPr>
        <w:tab/>
      </w:r>
      <w:r>
        <w:rPr>
          <w:noProof/>
        </w:rPr>
        <w:fldChar w:fldCharType="begin"/>
      </w:r>
      <w:r>
        <w:rPr>
          <w:noProof/>
        </w:rPr>
        <w:instrText xml:space="preserve"> PAGEREF \h _Toc419199051 \* MERGEFORMAT </w:instrText>
      </w:r>
      <w:r>
        <w:rPr>
          <w:noProof/>
        </w:rPr>
      </w:r>
      <w:r>
        <w:rPr>
          <w:noProof/>
        </w:rPr>
        <w:fldChar w:fldCharType="separate"/>
      </w:r>
      <w:r w:rsidR="00420D4A">
        <w:rPr>
          <w:noProof/>
        </w:rPr>
        <w:t>12</w:t>
      </w:r>
      <w:r>
        <w:rPr>
          <w:noProof/>
        </w:rPr>
        <w:fldChar w:fldCharType="end"/>
      </w:r>
    </w:p>
    <w:p w:rsidR="00783ACD" w:rsidRDefault="00783ACD" w:rsidP="00783ACD">
      <w:pPr>
        <w:pStyle w:val="TOC9"/>
        <w:keepNext/>
        <w:rPr>
          <w:rFonts w:asciiTheme="minorHAnsi" w:eastAsiaTheme="minorEastAsia" w:hAnsiTheme="minorHAnsi" w:cstheme="minorBidi"/>
          <w:noProof/>
          <w:sz w:val="22"/>
          <w:szCs w:val="22"/>
          <w:lang w:eastAsia="en-GB"/>
        </w:rPr>
      </w:pPr>
      <w:r>
        <w:rPr>
          <w:noProof/>
        </w:rPr>
        <w:t>Removal of flavourings from EU list</w:t>
      </w:r>
      <w:r>
        <w:rPr>
          <w:noProof/>
        </w:rPr>
        <w:tab/>
      </w:r>
      <w:r>
        <w:rPr>
          <w:noProof/>
        </w:rPr>
        <w:fldChar w:fldCharType="begin"/>
      </w:r>
      <w:r>
        <w:rPr>
          <w:noProof/>
        </w:rPr>
        <w:instrText xml:space="preserve"> PAGEREF \h _Toc419199052 \* MERGEFORMAT </w:instrText>
      </w:r>
      <w:r>
        <w:rPr>
          <w:noProof/>
        </w:rPr>
      </w:r>
      <w:r>
        <w:rPr>
          <w:noProof/>
        </w:rPr>
        <w:fldChar w:fldCharType="separate"/>
      </w:r>
      <w:r w:rsidR="00420D4A">
        <w:rPr>
          <w:noProof/>
        </w:rPr>
        <w:t>13</w:t>
      </w:r>
      <w:r>
        <w:rPr>
          <w:noProof/>
        </w:rPr>
        <w:fldChar w:fldCharType="end"/>
      </w:r>
    </w:p>
    <w:p w:rsidR="00783ACD" w:rsidRDefault="00783ACD" w:rsidP="00783ACD">
      <w:pPr>
        <w:pStyle w:val="TOC9"/>
        <w:rPr>
          <w:rFonts w:asciiTheme="minorHAnsi" w:eastAsiaTheme="minorEastAsia" w:hAnsiTheme="minorHAnsi" w:cstheme="minorBidi"/>
          <w:noProof/>
          <w:sz w:val="22"/>
          <w:szCs w:val="22"/>
          <w:lang w:eastAsia="en-GB"/>
        </w:rPr>
      </w:pPr>
      <w:r w:rsidRPr="00CE68A9">
        <w:rPr>
          <w:bCs/>
          <w:noProof/>
        </w:rPr>
        <w:t>Maximum level for ochratoxin A</w:t>
      </w:r>
      <w:r>
        <w:rPr>
          <w:noProof/>
        </w:rPr>
        <w:tab/>
      </w:r>
      <w:r>
        <w:rPr>
          <w:noProof/>
        </w:rPr>
        <w:fldChar w:fldCharType="begin"/>
      </w:r>
      <w:r>
        <w:rPr>
          <w:noProof/>
        </w:rPr>
        <w:instrText xml:space="preserve"> PAGEREF \h _Toc419199053 \* MERGEFORMAT </w:instrText>
      </w:r>
      <w:r>
        <w:rPr>
          <w:noProof/>
        </w:rPr>
      </w:r>
      <w:r>
        <w:rPr>
          <w:noProof/>
        </w:rPr>
        <w:fldChar w:fldCharType="separate"/>
      </w:r>
      <w:r w:rsidR="00420D4A">
        <w:rPr>
          <w:noProof/>
        </w:rPr>
        <w:t>13</w:t>
      </w:r>
      <w:r>
        <w:rPr>
          <w:noProof/>
        </w:rPr>
        <w:fldChar w:fldCharType="end"/>
      </w:r>
    </w:p>
    <w:p w:rsidR="00783ACD" w:rsidRDefault="00783ACD" w:rsidP="00783ACD">
      <w:pPr>
        <w:pStyle w:val="TOC8"/>
        <w:rPr>
          <w:rFonts w:asciiTheme="minorHAnsi" w:eastAsiaTheme="minorEastAsia" w:hAnsiTheme="minorHAnsi" w:cstheme="minorBidi"/>
          <w:i w:val="0"/>
          <w:noProof/>
          <w:sz w:val="22"/>
          <w:szCs w:val="22"/>
          <w:lang w:eastAsia="en-GB"/>
        </w:rPr>
      </w:pPr>
      <w:r>
        <w:rPr>
          <w:noProof/>
        </w:rPr>
        <w:t>HEALTH</w:t>
      </w:r>
    </w:p>
    <w:p w:rsidR="00783ACD" w:rsidRDefault="00783ACD" w:rsidP="00783ACD">
      <w:pPr>
        <w:pStyle w:val="TOC9"/>
      </w:pPr>
      <w:r>
        <w:rPr>
          <w:noProof/>
        </w:rPr>
        <w:t>Alignment of transposition deadlines of tobacco directives</w:t>
      </w:r>
      <w:r>
        <w:rPr>
          <w:noProof/>
        </w:rPr>
        <w:tab/>
      </w:r>
      <w:r>
        <w:rPr>
          <w:noProof/>
        </w:rPr>
        <w:fldChar w:fldCharType="begin"/>
      </w:r>
      <w:r>
        <w:rPr>
          <w:noProof/>
        </w:rPr>
        <w:instrText xml:space="preserve"> PAGEREF \h _Toc419199055 \* MERGEFORMAT </w:instrText>
      </w:r>
      <w:r>
        <w:rPr>
          <w:noProof/>
        </w:rPr>
      </w:r>
      <w:r>
        <w:rPr>
          <w:noProof/>
        </w:rPr>
        <w:fldChar w:fldCharType="separate"/>
      </w:r>
      <w:r w:rsidR="00420D4A">
        <w:rPr>
          <w:noProof/>
        </w:rPr>
        <w:t>13</w:t>
      </w:r>
      <w:r>
        <w:rPr>
          <w:noProof/>
        </w:rPr>
        <w:fldChar w:fldCharType="end"/>
      </w:r>
    </w:p>
    <w:p w:rsidR="00783ACD" w:rsidRDefault="00783ACD" w:rsidP="00876110">
      <w:pPr>
        <w:sectPr w:rsidR="00783ACD" w:rsidSect="00ED7EC1">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876110" w:rsidRDefault="00876110" w:rsidP="00876110">
      <w:pPr>
        <w:pStyle w:val="ItemsDebatedHeading"/>
      </w:pPr>
      <w:r w:rsidRPr="00876110">
        <w:lastRenderedPageBreak/>
        <w:t>ITEMS DEBATED</w:t>
      </w:r>
    </w:p>
    <w:p w:rsidR="00254832" w:rsidRPr="00B54FFD" w:rsidRDefault="00254832" w:rsidP="00254832">
      <w:pPr>
        <w:pStyle w:val="ItemDebated"/>
        <w:rPr>
          <w:rFonts w:eastAsia="Calibri"/>
        </w:rPr>
      </w:pPr>
      <w:bookmarkStart w:id="6" w:name="_Toc419199021"/>
      <w:r w:rsidRPr="00B54FFD">
        <w:rPr>
          <w:rFonts w:eastAsia="Calibri"/>
        </w:rPr>
        <w:t>AGRICULTURE</w:t>
      </w:r>
      <w:bookmarkEnd w:id="6"/>
    </w:p>
    <w:p w:rsidR="00254832" w:rsidRPr="00B54FFD" w:rsidRDefault="00254832" w:rsidP="00254832">
      <w:pPr>
        <w:pStyle w:val="Sub-itemDebated"/>
      </w:pPr>
      <w:bookmarkStart w:id="7" w:name="_Toc419199022"/>
      <w:r w:rsidRPr="00B54FFD">
        <w:t>Organic farming</w:t>
      </w:r>
      <w:bookmarkEnd w:id="7"/>
    </w:p>
    <w:p w:rsidR="00254832" w:rsidRPr="00254832" w:rsidRDefault="00254832" w:rsidP="00C07097">
      <w:pPr>
        <w:rPr>
          <w:rFonts w:asciiTheme="majorBidi" w:eastAsia="Calibri" w:hAnsiTheme="majorBidi" w:cstheme="majorBidi"/>
        </w:rPr>
      </w:pPr>
      <w:r w:rsidRPr="00254832">
        <w:rPr>
          <w:rFonts w:asciiTheme="majorBidi" w:eastAsia="Calibri" w:hAnsiTheme="majorBidi" w:cstheme="majorBidi"/>
        </w:rPr>
        <w:t xml:space="preserve">The Council discussed the proposal for a regulation on organic farming </w:t>
      </w:r>
      <w:r w:rsidR="00C07097">
        <w:rPr>
          <w:rFonts w:asciiTheme="majorBidi" w:eastAsia="Calibri" w:hAnsiTheme="majorBidi" w:cstheme="majorBidi"/>
        </w:rPr>
        <w:t>with a</w:t>
      </w:r>
      <w:r w:rsidRPr="00254832">
        <w:rPr>
          <w:rFonts w:asciiTheme="majorBidi" w:eastAsia="Calibri" w:hAnsiTheme="majorBidi" w:cstheme="majorBidi"/>
        </w:rPr>
        <w:t xml:space="preserve"> view</w:t>
      </w:r>
      <w:r w:rsidR="00C07097">
        <w:rPr>
          <w:rFonts w:asciiTheme="majorBidi" w:eastAsia="Calibri" w:hAnsiTheme="majorBidi" w:cstheme="majorBidi"/>
        </w:rPr>
        <w:t xml:space="preserve"> to reaching </w:t>
      </w:r>
      <w:r w:rsidRPr="00254832">
        <w:rPr>
          <w:rFonts w:asciiTheme="majorBidi" w:eastAsia="Calibri" w:hAnsiTheme="majorBidi" w:cstheme="majorBidi"/>
        </w:rPr>
        <w:t>a general approach (</w:t>
      </w:r>
      <w:hyperlink r:id="rId14" w:tooltip="http://data.consilium.europa.eu/doc/document/ST-8576-2015-INIT/en/pdf" w:history="1">
        <w:r w:rsidRPr="00254832">
          <w:rPr>
            <w:rFonts w:asciiTheme="majorBidi" w:eastAsia="Calibri" w:hAnsiTheme="majorBidi" w:cstheme="majorBidi"/>
            <w:i/>
            <w:iCs/>
            <w:color w:val="0000FF"/>
            <w:u w:val="single"/>
          </w:rPr>
          <w:t>8576/15</w:t>
        </w:r>
      </w:hyperlink>
      <w:r w:rsidRPr="00254832">
        <w:rPr>
          <w:rFonts w:asciiTheme="majorBidi" w:eastAsia="Calibri" w:hAnsiTheme="majorBidi" w:cstheme="majorBidi"/>
        </w:rPr>
        <w:t xml:space="preserve">). It made significant progress on a number of articles </w:t>
      </w:r>
      <w:r w:rsidR="00D30549">
        <w:rPr>
          <w:rFonts w:asciiTheme="majorBidi" w:eastAsia="Calibri" w:hAnsiTheme="majorBidi" w:cstheme="majorBidi"/>
        </w:rPr>
        <w:t>but</w:t>
      </w:r>
      <w:r w:rsidRPr="00254832">
        <w:rPr>
          <w:rFonts w:asciiTheme="majorBidi" w:eastAsia="Calibri" w:hAnsiTheme="majorBidi" w:cstheme="majorBidi"/>
        </w:rPr>
        <w:t xml:space="preserve"> some member states </w:t>
      </w:r>
      <w:r w:rsidR="00D30549">
        <w:rPr>
          <w:rFonts w:asciiTheme="majorBidi" w:eastAsia="Calibri" w:hAnsiTheme="majorBidi" w:cstheme="majorBidi"/>
        </w:rPr>
        <w:t xml:space="preserve">requested more time </w:t>
      </w:r>
      <w:r w:rsidRPr="00254832">
        <w:rPr>
          <w:rFonts w:asciiTheme="majorBidi" w:eastAsia="Calibri" w:hAnsiTheme="majorBidi" w:cstheme="majorBidi"/>
        </w:rPr>
        <w:t xml:space="preserve">to reflect further on some sensitive issues such as controls and the presence of non-authorised </w:t>
      </w:r>
      <w:r w:rsidR="003A4E1E">
        <w:rPr>
          <w:rFonts w:asciiTheme="majorBidi" w:eastAsia="Calibri" w:hAnsiTheme="majorBidi" w:cstheme="majorBidi"/>
        </w:rPr>
        <w:t xml:space="preserve">products or </w:t>
      </w:r>
      <w:r w:rsidRPr="00254832">
        <w:rPr>
          <w:rFonts w:asciiTheme="majorBidi" w:eastAsia="Calibri" w:hAnsiTheme="majorBidi" w:cstheme="majorBidi"/>
        </w:rPr>
        <w:t>substances in organic products.</w:t>
      </w:r>
    </w:p>
    <w:p w:rsidR="00254832" w:rsidRPr="00254832" w:rsidRDefault="003A4E1E" w:rsidP="00D30549">
      <w:pPr>
        <w:rPr>
          <w:rFonts w:eastAsia="Calibri"/>
        </w:rPr>
      </w:pPr>
      <w:r>
        <w:rPr>
          <w:rFonts w:eastAsia="Calibri"/>
        </w:rPr>
        <w:t>Regarding</w:t>
      </w:r>
      <w:r w:rsidR="00254832" w:rsidRPr="00254832">
        <w:rPr>
          <w:rFonts w:eastAsia="Calibri"/>
        </w:rPr>
        <w:t xml:space="preserve"> the presence of non authorised </w:t>
      </w:r>
      <w:r>
        <w:rPr>
          <w:rFonts w:eastAsia="Calibri"/>
        </w:rPr>
        <w:t xml:space="preserve">products or </w:t>
      </w:r>
      <w:r w:rsidR="00254832" w:rsidRPr="00254832">
        <w:rPr>
          <w:rFonts w:eastAsia="Calibri"/>
        </w:rPr>
        <w:t>substances in organic agricultural products, delegation</w:t>
      </w:r>
      <w:r w:rsidR="00C07097">
        <w:rPr>
          <w:rFonts w:eastAsia="Calibri"/>
        </w:rPr>
        <w:t>s</w:t>
      </w:r>
      <w:r w:rsidR="00254832" w:rsidRPr="00254832">
        <w:rPr>
          <w:rFonts w:eastAsia="Calibri"/>
        </w:rPr>
        <w:t xml:space="preserve"> expressed diverging views on how to achieve a harmonised EU approach. Some countries would support imposing legal</w:t>
      </w:r>
      <w:r>
        <w:rPr>
          <w:rFonts w:eastAsia="Calibri"/>
        </w:rPr>
        <w:t>ly binding</w:t>
      </w:r>
      <w:r w:rsidR="00254832" w:rsidRPr="00254832">
        <w:rPr>
          <w:rFonts w:eastAsia="Calibri"/>
        </w:rPr>
        <w:t xml:space="preserve"> threshold limits as initially proposed by the Commission, while others would prefer to rely instead on the existing system of control in the production process.</w:t>
      </w:r>
    </w:p>
    <w:p w:rsidR="00254832" w:rsidRPr="00254832" w:rsidRDefault="00254832" w:rsidP="003A4E1E">
      <w:pPr>
        <w:rPr>
          <w:rFonts w:eastAsia="Calibri"/>
        </w:rPr>
      </w:pPr>
      <w:r w:rsidRPr="00254832">
        <w:rPr>
          <w:rFonts w:eastAsia="Calibri"/>
        </w:rPr>
        <w:t xml:space="preserve">Concerning the control system for organic agriculture, delegations were divided on the mechanism governing the frequency of the controls. Many EU countries would like to keep mandatory annual or regular physical inspections. However, others were in favour of setting </w:t>
      </w:r>
      <w:r w:rsidR="003A4E1E">
        <w:rPr>
          <w:rFonts w:eastAsia="Calibri"/>
        </w:rPr>
        <w:t xml:space="preserve">a risk based control system. </w:t>
      </w:r>
    </w:p>
    <w:p w:rsidR="00254832" w:rsidRPr="00254832" w:rsidRDefault="00254832" w:rsidP="00C07097">
      <w:pPr>
        <w:rPr>
          <w:rFonts w:eastAsia="Calibri"/>
        </w:rPr>
      </w:pPr>
      <w:r w:rsidRPr="00254832">
        <w:rPr>
          <w:rFonts w:eastAsia="Calibri"/>
        </w:rPr>
        <w:t xml:space="preserve">On the basis of this </w:t>
      </w:r>
      <w:r w:rsidR="00C07097">
        <w:rPr>
          <w:rFonts w:eastAsia="Calibri"/>
        </w:rPr>
        <w:t>discussion</w:t>
      </w:r>
      <w:r w:rsidRPr="00254832">
        <w:rPr>
          <w:rFonts w:eastAsia="Calibri"/>
        </w:rPr>
        <w:t xml:space="preserve">, the Presidency expects to reach a general approach on this issue at the Council </w:t>
      </w:r>
      <w:r w:rsidR="00C07097">
        <w:rPr>
          <w:rFonts w:eastAsia="Calibri"/>
        </w:rPr>
        <w:t xml:space="preserve">meeting </w:t>
      </w:r>
      <w:r w:rsidRPr="00254832">
        <w:rPr>
          <w:rFonts w:eastAsia="Calibri"/>
        </w:rPr>
        <w:t>in June before launching negotiations with the European Parliament.</w:t>
      </w:r>
    </w:p>
    <w:p w:rsidR="00254832" w:rsidRPr="00254832" w:rsidRDefault="00254832" w:rsidP="00D30549">
      <w:pPr>
        <w:rPr>
          <w:rFonts w:eastAsia="Calibri"/>
        </w:rPr>
      </w:pPr>
      <w:r w:rsidRPr="00254832">
        <w:rPr>
          <w:rFonts w:eastAsia="Calibri"/>
        </w:rPr>
        <w:t>The proposal is aimed at revising the existing legislation on organic production and labelling of organic products so as to remove obstacles to the development of organic production in the EU, guarantee fair competition for farmers and operators and improve consumer confidence in organic products.</w:t>
      </w:r>
    </w:p>
    <w:p w:rsidR="00254832" w:rsidRPr="00254832" w:rsidRDefault="00254832" w:rsidP="00254832">
      <w:pPr>
        <w:pStyle w:val="Sub-itemDebated"/>
      </w:pPr>
      <w:bookmarkStart w:id="8" w:name="_Toc419199023"/>
      <w:r w:rsidRPr="00254832">
        <w:t>CAP simplification - Council conclusions</w:t>
      </w:r>
      <w:bookmarkEnd w:id="8"/>
    </w:p>
    <w:p w:rsidR="00254832" w:rsidRPr="00254832" w:rsidRDefault="00254832" w:rsidP="00254C07">
      <w:pPr>
        <w:spacing w:after="120"/>
        <w:rPr>
          <w:rFonts w:asciiTheme="majorBidi" w:eastAsia="Calibri" w:hAnsiTheme="majorBidi" w:cstheme="majorBidi"/>
        </w:rPr>
      </w:pPr>
      <w:r w:rsidRPr="00254832">
        <w:rPr>
          <w:rFonts w:asciiTheme="majorBidi" w:eastAsia="Calibri" w:hAnsiTheme="majorBidi" w:cstheme="majorBidi"/>
        </w:rPr>
        <w:t>The Council adopted conclusions on the simplification of the Common Agricultural Policy (CAP)</w:t>
      </w:r>
      <w:r w:rsidR="00254C07">
        <w:rPr>
          <w:rFonts w:asciiTheme="majorBidi" w:eastAsia="Calibri" w:hAnsiTheme="majorBidi" w:cstheme="majorBidi"/>
        </w:rPr>
        <w:t xml:space="preserve"> - </w:t>
      </w:r>
      <w:hyperlink r:id="rId15" w:history="1">
        <w:r w:rsidR="00254C07" w:rsidRPr="00254C07">
          <w:rPr>
            <w:rStyle w:val="Hyperlink"/>
            <w:rFonts w:asciiTheme="majorBidi" w:eastAsia="Calibri" w:hAnsiTheme="majorBidi" w:cstheme="majorBidi"/>
          </w:rPr>
          <w:t>see press release</w:t>
        </w:r>
      </w:hyperlink>
      <w:r w:rsidRPr="00254832">
        <w:rPr>
          <w:rFonts w:asciiTheme="majorBidi" w:eastAsia="Calibri" w:hAnsiTheme="majorBidi" w:cstheme="majorBidi"/>
        </w:rPr>
        <w:t>.</w:t>
      </w:r>
    </w:p>
    <w:p w:rsidR="00466A9A" w:rsidRPr="00466A9A" w:rsidRDefault="00C07097" w:rsidP="00466A9A">
      <w:pPr>
        <w:spacing w:after="120"/>
        <w:rPr>
          <w:rFonts w:asciiTheme="majorBidi" w:eastAsia="Calibri" w:hAnsiTheme="majorBidi" w:cstheme="majorBidi"/>
        </w:rPr>
      </w:pPr>
      <w:r>
        <w:rPr>
          <w:rFonts w:asciiTheme="majorBidi" w:eastAsia="Calibri" w:hAnsiTheme="majorBidi" w:cstheme="majorBidi"/>
        </w:rPr>
        <w:t xml:space="preserve">Since the beginning of 2015, this issue has become one of the priorities for the Council, the European Parliament and the Commission. In recent months the Presidency has consulted Member States. These conclusions highlight priorities for simplification in the areas of Direct Payments, Common Market Organisation, Rural Development and Horizontal Provisions, based on the national experiences of implementation of the recently reformed CAP. These conclusions are supplemented by a more extensive Presidency summary of Member States' views </w:t>
      </w:r>
      <w:r w:rsidR="00466A9A" w:rsidRPr="00254832">
        <w:rPr>
          <w:rFonts w:asciiTheme="majorBidi" w:eastAsia="Calibri" w:hAnsiTheme="majorBidi" w:cstheme="majorBidi"/>
        </w:rPr>
        <w:t>(</w:t>
      </w:r>
      <w:hyperlink r:id="rId16" w:tooltip="http://data.consilium.europa.eu/doc/document/ST-8483-2015-INIT/en/pdf" w:history="1">
        <w:r w:rsidR="00466A9A" w:rsidRPr="00254832">
          <w:rPr>
            <w:rFonts w:asciiTheme="majorBidi" w:eastAsia="Calibri" w:hAnsiTheme="majorBidi" w:cstheme="majorBidi"/>
            <w:i/>
            <w:iCs/>
            <w:color w:val="0000FF"/>
            <w:u w:val="single"/>
          </w:rPr>
          <w:t>8483/15</w:t>
        </w:r>
      </w:hyperlink>
      <w:r w:rsidR="00466A9A" w:rsidRPr="00254832">
        <w:rPr>
          <w:rFonts w:asciiTheme="majorBidi" w:eastAsia="Calibri" w:hAnsiTheme="majorBidi" w:cstheme="majorBidi"/>
        </w:rPr>
        <w:t>)</w:t>
      </w:r>
      <w:r w:rsidR="00466A9A" w:rsidRPr="00466A9A">
        <w:rPr>
          <w:rFonts w:asciiTheme="majorBidi" w:eastAsia="Calibri" w:hAnsiTheme="majorBidi" w:cstheme="majorBidi"/>
        </w:rPr>
        <w:t xml:space="preserve">. </w:t>
      </w:r>
    </w:p>
    <w:p w:rsidR="00254832" w:rsidRPr="00254832" w:rsidRDefault="00466A9A" w:rsidP="00C07097">
      <w:pPr>
        <w:spacing w:after="120"/>
        <w:rPr>
          <w:rFonts w:asciiTheme="majorBidi" w:eastAsia="Calibri" w:hAnsiTheme="majorBidi" w:cstheme="majorBidi"/>
        </w:rPr>
      </w:pPr>
      <w:r w:rsidRPr="00466A9A">
        <w:rPr>
          <w:rFonts w:asciiTheme="majorBidi" w:eastAsia="Calibri" w:hAnsiTheme="majorBidi" w:cstheme="majorBidi"/>
        </w:rPr>
        <w:t>The Commission is invited to present simplification initiatives next autumn</w:t>
      </w:r>
      <w:r w:rsidR="00C07097">
        <w:rPr>
          <w:rFonts w:asciiTheme="majorBidi" w:eastAsia="Calibri" w:hAnsiTheme="majorBidi" w:cstheme="majorBidi"/>
        </w:rPr>
        <w:t>,</w:t>
      </w:r>
      <w:r w:rsidRPr="00466A9A">
        <w:rPr>
          <w:rFonts w:asciiTheme="majorBidi" w:eastAsia="Calibri" w:hAnsiTheme="majorBidi" w:cstheme="majorBidi"/>
        </w:rPr>
        <w:t xml:space="preserve"> while </w:t>
      </w:r>
      <w:r w:rsidR="00C07097">
        <w:rPr>
          <w:rFonts w:asciiTheme="majorBidi" w:eastAsia="Calibri" w:hAnsiTheme="majorBidi" w:cstheme="majorBidi"/>
        </w:rPr>
        <w:t xml:space="preserve">the </w:t>
      </w:r>
      <w:r w:rsidRPr="00466A9A">
        <w:rPr>
          <w:rFonts w:asciiTheme="majorBidi" w:eastAsia="Calibri" w:hAnsiTheme="majorBidi" w:cstheme="majorBidi"/>
        </w:rPr>
        <w:t>Council will assess progress in simplification</w:t>
      </w:r>
      <w:r w:rsidR="00C07097">
        <w:rPr>
          <w:rFonts w:asciiTheme="majorBidi" w:eastAsia="Calibri" w:hAnsiTheme="majorBidi" w:cstheme="majorBidi"/>
        </w:rPr>
        <w:t xml:space="preserve"> in 2016</w:t>
      </w:r>
      <w:r w:rsidRPr="00466A9A">
        <w:rPr>
          <w:rFonts w:asciiTheme="majorBidi" w:eastAsia="Calibri" w:hAnsiTheme="majorBidi" w:cstheme="majorBidi"/>
        </w:rPr>
        <w:t>.</w:t>
      </w:r>
    </w:p>
    <w:p w:rsidR="00254832" w:rsidRPr="00254832" w:rsidRDefault="00254832" w:rsidP="00254832">
      <w:pPr>
        <w:pStyle w:val="ItemDebated"/>
        <w:rPr>
          <w:rFonts w:eastAsia="Calibri"/>
        </w:rPr>
      </w:pPr>
      <w:r w:rsidRPr="00B54FFD">
        <w:rPr>
          <w:rFonts w:ascii="Arial" w:eastAsia="Calibri" w:hAnsi="Arial" w:cs="Arial"/>
        </w:rPr>
        <w:br w:type="page"/>
      </w:r>
      <w:bookmarkStart w:id="9" w:name="_Toc419199024"/>
      <w:r w:rsidRPr="00254832">
        <w:rPr>
          <w:rFonts w:eastAsia="Calibri"/>
        </w:rPr>
        <w:t>ANY OTHER BUSINESS</w:t>
      </w:r>
      <w:bookmarkEnd w:id="9"/>
    </w:p>
    <w:p w:rsidR="00254832" w:rsidRPr="00254832" w:rsidRDefault="00254832" w:rsidP="00254832">
      <w:pPr>
        <w:pStyle w:val="Sub-itemDebated"/>
      </w:pPr>
      <w:bookmarkStart w:id="10" w:name="_Toc419199025"/>
      <w:r w:rsidRPr="00254832">
        <w:t>World Honeybee Day</w:t>
      </w:r>
      <w:bookmarkEnd w:id="10"/>
    </w:p>
    <w:p w:rsidR="00254832" w:rsidRPr="00254832" w:rsidRDefault="00254832" w:rsidP="00C07097">
      <w:pPr>
        <w:spacing w:after="120"/>
        <w:rPr>
          <w:rFonts w:asciiTheme="majorBidi" w:eastAsia="Calibri" w:hAnsiTheme="majorBidi" w:cstheme="majorBidi"/>
        </w:rPr>
      </w:pPr>
      <w:r w:rsidRPr="00254832">
        <w:rPr>
          <w:rFonts w:asciiTheme="majorBidi" w:eastAsia="Calibri" w:hAnsiTheme="majorBidi" w:cstheme="majorBidi"/>
        </w:rPr>
        <w:t>The Council was briefed by the Slovenian delegation on an initiative to declare 20 May as World Honeybee Day (</w:t>
      </w:r>
      <w:hyperlink r:id="rId17" w:tooltip="http://data.consilium.europa.eu/doc/document/ST-8378-2015-INIT/en/pdf" w:history="1">
        <w:r w:rsidRPr="00254832">
          <w:rPr>
            <w:rFonts w:asciiTheme="majorBidi" w:eastAsia="Calibri" w:hAnsiTheme="majorBidi" w:cstheme="majorBidi"/>
            <w:i/>
            <w:iCs/>
            <w:color w:val="0000FF"/>
            <w:u w:val="single"/>
          </w:rPr>
          <w:t>8378/15</w:t>
        </w:r>
      </w:hyperlink>
      <w:r w:rsidRPr="00254832">
        <w:rPr>
          <w:rFonts w:asciiTheme="majorBidi" w:eastAsia="Calibri" w:hAnsiTheme="majorBidi" w:cstheme="majorBidi"/>
        </w:rPr>
        <w:t xml:space="preserve">). </w:t>
      </w:r>
    </w:p>
    <w:p w:rsidR="00254832" w:rsidRPr="00254832" w:rsidRDefault="00254832" w:rsidP="00254832">
      <w:pPr>
        <w:spacing w:after="120"/>
        <w:rPr>
          <w:rFonts w:asciiTheme="majorBidi" w:eastAsia="Calibri" w:hAnsiTheme="majorBidi" w:cstheme="majorBidi"/>
        </w:rPr>
      </w:pPr>
      <w:r w:rsidRPr="00254832">
        <w:rPr>
          <w:rFonts w:asciiTheme="majorBidi" w:eastAsia="Calibri" w:hAnsiTheme="majorBidi" w:cstheme="majorBidi"/>
        </w:rPr>
        <w:t xml:space="preserve">Slovenia provided more information about its campaign for the United Nations to designate 20 May as World Honeybee Day. This date was proposed to commemorate the birthday of the Slovenian beekeeper Anton </w:t>
      </w:r>
      <w:proofErr w:type="spellStart"/>
      <w:r w:rsidRPr="00254832">
        <w:rPr>
          <w:rFonts w:asciiTheme="majorBidi" w:eastAsia="Calibri" w:hAnsiTheme="majorBidi" w:cstheme="majorBidi"/>
        </w:rPr>
        <w:t>Janša</w:t>
      </w:r>
      <w:proofErr w:type="spellEnd"/>
      <w:r w:rsidRPr="00254832">
        <w:rPr>
          <w:rFonts w:asciiTheme="majorBidi" w:eastAsia="Calibri" w:hAnsiTheme="majorBidi" w:cstheme="majorBidi"/>
        </w:rPr>
        <w:t xml:space="preserve"> (1734-1773), a pioneer of modern beekeeping.</w:t>
      </w:r>
    </w:p>
    <w:p w:rsidR="00254832" w:rsidRPr="00254832" w:rsidRDefault="00254832" w:rsidP="00254832">
      <w:pPr>
        <w:spacing w:after="120"/>
        <w:rPr>
          <w:rFonts w:asciiTheme="majorBidi" w:eastAsia="Calibri" w:hAnsiTheme="majorBidi" w:cstheme="majorBidi"/>
        </w:rPr>
      </w:pPr>
      <w:r w:rsidRPr="00254832">
        <w:rPr>
          <w:rFonts w:asciiTheme="majorBidi" w:eastAsia="Calibri" w:hAnsiTheme="majorBidi" w:cstheme="majorBidi"/>
        </w:rPr>
        <w:t>A vast majority of member states supported the initiative and agreed that a world day would remind that honeybees are crucial to agriculture. Though in recent years bees have had to face several threats, they still constitute the most important pollinators for many crops and are also a key indicator of the state of the environment.</w:t>
      </w:r>
    </w:p>
    <w:p w:rsidR="00254832" w:rsidRPr="00254832" w:rsidRDefault="00254832" w:rsidP="00254832">
      <w:pPr>
        <w:pStyle w:val="Sub-itemDebated"/>
      </w:pPr>
      <w:bookmarkStart w:id="11" w:name="_Toc419199026"/>
      <w:r w:rsidRPr="00254832">
        <w:t>Conference on pig welfare</w:t>
      </w:r>
      <w:bookmarkEnd w:id="11"/>
    </w:p>
    <w:p w:rsidR="00254832" w:rsidRPr="00254832" w:rsidRDefault="00254832" w:rsidP="00254832">
      <w:pPr>
        <w:spacing w:after="120"/>
        <w:rPr>
          <w:rFonts w:asciiTheme="majorBidi" w:eastAsia="Calibri" w:hAnsiTheme="majorBidi" w:cstheme="majorBidi"/>
        </w:rPr>
      </w:pPr>
      <w:r w:rsidRPr="00254832">
        <w:rPr>
          <w:rFonts w:asciiTheme="majorBidi" w:eastAsia="Calibri" w:hAnsiTheme="majorBidi" w:cstheme="majorBidi"/>
        </w:rPr>
        <w:t>The Danish delegation briefed the ministers about the outcome of the conference “Improving pig welfare – what are the ways forward?” which was held on 29-30 April 2015 in Copenhagen and about a position paper requesting a revision of directive 2008/120 laying down minimum standards for the protection of pigs (</w:t>
      </w:r>
      <w:hyperlink r:id="rId18" w:tooltip="http://data.consilium.europa.eu/doc/document/ST-8596-2015-INIT/en/pdf" w:history="1">
        <w:r w:rsidRPr="00254832">
          <w:rPr>
            <w:rFonts w:asciiTheme="majorBidi" w:eastAsia="Calibri" w:hAnsiTheme="majorBidi" w:cstheme="majorBidi"/>
            <w:i/>
            <w:iCs/>
            <w:color w:val="0000FF"/>
            <w:u w:val="single"/>
          </w:rPr>
          <w:t>8596/15</w:t>
        </w:r>
      </w:hyperlink>
      <w:r w:rsidRPr="00254832">
        <w:rPr>
          <w:rFonts w:asciiTheme="majorBidi" w:eastAsia="Calibri" w:hAnsiTheme="majorBidi" w:cstheme="majorBidi"/>
        </w:rPr>
        <w:t>).</w:t>
      </w:r>
    </w:p>
    <w:p w:rsidR="00254832" w:rsidRPr="00254832" w:rsidRDefault="00254832" w:rsidP="00807116">
      <w:pPr>
        <w:rPr>
          <w:rFonts w:eastAsia="Calibri"/>
        </w:rPr>
      </w:pPr>
      <w:r w:rsidRPr="00254832">
        <w:rPr>
          <w:rFonts w:eastAsia="Calibri"/>
        </w:rPr>
        <w:t xml:space="preserve">The position paper was signed by the agricultural ministers of Germany, </w:t>
      </w:r>
      <w:r w:rsidR="00C07097" w:rsidRPr="00254832">
        <w:rPr>
          <w:rFonts w:eastAsia="Calibri"/>
        </w:rPr>
        <w:t xml:space="preserve">the </w:t>
      </w:r>
      <w:r w:rsidRPr="00254832">
        <w:rPr>
          <w:rFonts w:eastAsia="Calibri"/>
        </w:rPr>
        <w:t>Netherlands, Sweden and Denmark attending the conference. It outlines issues regarding pig welfare on which</w:t>
      </w:r>
      <w:r w:rsidR="00807116">
        <w:rPr>
          <w:rFonts w:eastAsia="Calibri"/>
        </w:rPr>
        <w:t xml:space="preserve"> those countries consider that</w:t>
      </w:r>
      <w:r w:rsidRPr="00254832">
        <w:rPr>
          <w:rFonts w:eastAsia="Calibri"/>
        </w:rPr>
        <w:t xml:space="preserve"> progress needs to be made at a European level</w:t>
      </w:r>
    </w:p>
    <w:p w:rsidR="00254832" w:rsidRPr="00254832" w:rsidRDefault="00254832" w:rsidP="00C07097">
      <w:pPr>
        <w:rPr>
          <w:rFonts w:eastAsia="Calibri"/>
        </w:rPr>
      </w:pPr>
      <w:r w:rsidRPr="00254832">
        <w:rPr>
          <w:rFonts w:eastAsia="Calibri"/>
        </w:rPr>
        <w:t>Some delegations supported the initiative but others noted that considering the high level of EU standards for pig welfare, equal treatment among EU and non</w:t>
      </w:r>
      <w:r w:rsidR="00C07097">
        <w:rPr>
          <w:rFonts w:eastAsia="Calibri"/>
        </w:rPr>
        <w:t>-</w:t>
      </w:r>
      <w:r w:rsidRPr="00254832">
        <w:rPr>
          <w:rFonts w:eastAsia="Calibri"/>
        </w:rPr>
        <w:t xml:space="preserve">EU producers should be ensured and priority </w:t>
      </w:r>
      <w:r w:rsidR="00C07097" w:rsidRPr="00254832">
        <w:rPr>
          <w:rFonts w:eastAsia="Calibri"/>
        </w:rPr>
        <w:t xml:space="preserve">should be given </w:t>
      </w:r>
      <w:r w:rsidRPr="00254832">
        <w:rPr>
          <w:rFonts w:eastAsia="Calibri"/>
        </w:rPr>
        <w:t>to better enforcement of existing legislation.</w:t>
      </w:r>
    </w:p>
    <w:p w:rsidR="00254832" w:rsidRPr="005777E7" w:rsidRDefault="00254832" w:rsidP="005777E7">
      <w:pPr>
        <w:pStyle w:val="Sub-itemDebated"/>
      </w:pPr>
      <w:bookmarkStart w:id="12" w:name="_Toc419199027"/>
      <w:r w:rsidRPr="005777E7">
        <w:t>Extension of the eligibility of rural development programme</w:t>
      </w:r>
      <w:r w:rsidR="005777E7" w:rsidRPr="005777E7">
        <w:t>s</w:t>
      </w:r>
      <w:bookmarkEnd w:id="12"/>
    </w:p>
    <w:p w:rsidR="00254832" w:rsidRPr="00254832" w:rsidRDefault="00254832" w:rsidP="00C07097">
      <w:pPr>
        <w:spacing w:after="120"/>
        <w:rPr>
          <w:rFonts w:asciiTheme="majorBidi" w:eastAsia="Calibri" w:hAnsiTheme="majorBidi" w:cstheme="majorBidi"/>
        </w:rPr>
      </w:pPr>
      <w:r w:rsidRPr="00254832">
        <w:rPr>
          <w:rFonts w:asciiTheme="majorBidi" w:eastAsia="Calibri" w:hAnsiTheme="majorBidi" w:cstheme="majorBidi"/>
        </w:rPr>
        <w:t xml:space="preserve">The Council </w:t>
      </w:r>
      <w:r w:rsidR="00C07097">
        <w:rPr>
          <w:rFonts w:asciiTheme="majorBidi" w:eastAsia="Calibri" w:hAnsiTheme="majorBidi" w:cstheme="majorBidi"/>
        </w:rPr>
        <w:t>noted</w:t>
      </w:r>
      <w:r w:rsidRPr="00254832">
        <w:rPr>
          <w:rFonts w:asciiTheme="majorBidi" w:eastAsia="Calibri" w:hAnsiTheme="majorBidi" w:cstheme="majorBidi"/>
        </w:rPr>
        <w:t xml:space="preserve"> a request from the Bulgarian delegation to extend the eligibility of expenditure for the rural development programmes 2007-2013.</w:t>
      </w:r>
    </w:p>
    <w:p w:rsidR="00254832" w:rsidRPr="00254832" w:rsidRDefault="00254832" w:rsidP="00C07097">
      <w:pPr>
        <w:spacing w:after="120"/>
        <w:rPr>
          <w:rFonts w:asciiTheme="majorBidi" w:eastAsia="Calibri" w:hAnsiTheme="majorBidi" w:cstheme="majorBidi"/>
        </w:rPr>
      </w:pPr>
      <w:r w:rsidRPr="00254832">
        <w:rPr>
          <w:rFonts w:asciiTheme="majorBidi" w:eastAsia="Calibri" w:hAnsiTheme="majorBidi" w:cstheme="majorBidi"/>
        </w:rPr>
        <w:t xml:space="preserve">Several other member states supported this initiative which should allow better use of the rural development funds. The Commission could explore the possibility of extending eligibility if </w:t>
      </w:r>
      <w:r w:rsidR="00C07097">
        <w:rPr>
          <w:rFonts w:asciiTheme="majorBidi" w:eastAsia="Calibri" w:hAnsiTheme="majorBidi" w:cstheme="majorBidi"/>
        </w:rPr>
        <w:t>necessary</w:t>
      </w:r>
      <w:r w:rsidRPr="00254832">
        <w:rPr>
          <w:rFonts w:asciiTheme="majorBidi" w:eastAsia="Calibri" w:hAnsiTheme="majorBidi" w:cstheme="majorBidi"/>
        </w:rPr>
        <w:t xml:space="preserve"> but will take into account the legal and financial feasibility.</w:t>
      </w:r>
    </w:p>
    <w:p w:rsidR="00876110" w:rsidRDefault="00876110" w:rsidP="00876110">
      <w:pPr>
        <w:sectPr w:rsidR="00876110" w:rsidSect="00ED7EC1">
          <w:footnotePr>
            <w:numRestart w:val="eachPage"/>
          </w:footnotePr>
          <w:pgSz w:w="11907" w:h="16840" w:code="9"/>
          <w:pgMar w:top="1134" w:right="1134" w:bottom="1134" w:left="1134" w:header="567" w:footer="567" w:gutter="0"/>
          <w:cols w:space="708"/>
          <w:docGrid w:linePitch="360"/>
        </w:sectPr>
      </w:pPr>
    </w:p>
    <w:p w:rsidR="00876110" w:rsidRDefault="00876110" w:rsidP="00876110">
      <w:pPr>
        <w:pStyle w:val="ItemsApprovedHeading"/>
      </w:pPr>
      <w:r w:rsidRPr="00876110">
        <w:t>OTHER ITEMS APPROVED</w:t>
      </w:r>
    </w:p>
    <w:p w:rsidR="006B2F03" w:rsidRPr="000270AA" w:rsidRDefault="006B2F03" w:rsidP="006B2F03">
      <w:pPr>
        <w:pStyle w:val="ItemApproved"/>
        <w:rPr>
          <w:b w:val="0"/>
          <w:bCs/>
          <w:i w:val="0"/>
          <w:iCs/>
        </w:rPr>
      </w:pPr>
      <w:r w:rsidRPr="006B2F03">
        <w:t>AGRICULTURE</w:t>
      </w:r>
    </w:p>
    <w:p w:rsidR="006B2F03" w:rsidRPr="006B2F03" w:rsidRDefault="006B2F03" w:rsidP="006B2F03">
      <w:pPr>
        <w:pStyle w:val="Sub-itemApproved"/>
      </w:pPr>
      <w:bookmarkStart w:id="13" w:name="_Toc419199029"/>
      <w:r w:rsidRPr="006B2F03">
        <w:t>Rural development - Amendment of rural development envelopes</w:t>
      </w:r>
      <w:bookmarkEnd w:id="13"/>
    </w:p>
    <w:p w:rsidR="006B2F03" w:rsidRPr="00580290" w:rsidRDefault="006B2F03" w:rsidP="005658AE">
      <w:pPr>
        <w:rPr>
          <w:szCs w:val="20"/>
        </w:rPr>
      </w:pPr>
      <w:r w:rsidRPr="003F24FA">
        <w:t xml:space="preserve">The Council decided not to oppose the adoption of </w:t>
      </w:r>
      <w:r>
        <w:t xml:space="preserve">a Commission delegated regulation </w:t>
      </w:r>
      <w:r w:rsidRPr="00544062">
        <w:rPr>
          <w:lang w:eastAsia="fr-BE"/>
        </w:rPr>
        <w:t xml:space="preserve">amending </w:t>
      </w:r>
      <w:r>
        <w:rPr>
          <w:lang w:eastAsia="fr-BE"/>
        </w:rPr>
        <w:t>a</w:t>
      </w:r>
      <w:r w:rsidRPr="00544062">
        <w:rPr>
          <w:lang w:eastAsia="fr-BE"/>
        </w:rPr>
        <w:t xml:space="preserve">nnex I to </w:t>
      </w:r>
      <w:r>
        <w:rPr>
          <w:lang w:eastAsia="fr-BE"/>
        </w:rPr>
        <w:t xml:space="preserve">regulation </w:t>
      </w:r>
      <w:r w:rsidRPr="00544062">
        <w:rPr>
          <w:lang w:eastAsia="fr-BE"/>
        </w:rPr>
        <w:t xml:space="preserve">1305/2013 on support for rural development by the European Agricultural Fund for Rural </w:t>
      </w:r>
      <w:r w:rsidRPr="00C44E4C">
        <w:rPr>
          <w:lang w:eastAsia="fr-BE"/>
        </w:rPr>
        <w:t xml:space="preserve">Development </w:t>
      </w:r>
      <w:r w:rsidRPr="00C44E4C">
        <w:rPr>
          <w:noProof/>
        </w:rPr>
        <w:t>(</w:t>
      </w:r>
      <w:hyperlink r:id="rId19" w:tooltip="http://data.consilium.europa.eu/doc/document/ST-8388-2015-INIT/en/pdf" w:history="1">
        <w:r w:rsidR="001D739F" w:rsidRPr="001D739F">
          <w:rPr>
            <w:rStyle w:val="Hyperlink"/>
            <w:i/>
            <w:iCs/>
          </w:rPr>
          <w:t>8388/15</w:t>
        </w:r>
      </w:hyperlink>
      <w:r w:rsidRPr="00C44E4C">
        <w:rPr>
          <w:noProof/>
        </w:rPr>
        <w:t>)</w:t>
      </w:r>
      <w:r w:rsidRPr="00C44E4C">
        <w:rPr>
          <w:rFonts w:eastAsia="Calibri"/>
          <w:noProof/>
          <w:szCs w:val="20"/>
        </w:rPr>
        <w:t>.</w:t>
      </w:r>
    </w:p>
    <w:p w:rsidR="006B2F03" w:rsidRDefault="006B2F03" w:rsidP="005658AE">
      <w:pPr>
        <w:rPr>
          <w:rFonts w:eastAsia="Calibri"/>
          <w:noProof/>
          <w:szCs w:val="20"/>
        </w:rPr>
      </w:pPr>
      <w:r w:rsidRPr="007A6C83">
        <w:rPr>
          <w:rFonts w:eastAsia="Calibri"/>
          <w:noProof/>
          <w:szCs w:val="20"/>
        </w:rPr>
        <w:t xml:space="preserve">The delegated act in question amends the annual breakdown of </w:t>
      </w:r>
      <w:r>
        <w:rPr>
          <w:rFonts w:eastAsia="Calibri"/>
          <w:noProof/>
          <w:szCs w:val="20"/>
        </w:rPr>
        <w:t>EU</w:t>
      </w:r>
      <w:r w:rsidRPr="007A6C83">
        <w:rPr>
          <w:rFonts w:eastAsia="Calibri"/>
          <w:noProof/>
          <w:szCs w:val="20"/>
        </w:rPr>
        <w:t xml:space="preserve"> support to rural development set</w:t>
      </w:r>
      <w:r>
        <w:rPr>
          <w:rFonts w:eastAsia="Calibri"/>
          <w:noProof/>
          <w:szCs w:val="20"/>
        </w:rPr>
        <w:t xml:space="preserve"> out in a</w:t>
      </w:r>
      <w:r w:rsidRPr="007A6C83">
        <w:rPr>
          <w:rFonts w:eastAsia="Calibri"/>
          <w:noProof/>
          <w:szCs w:val="20"/>
        </w:rPr>
        <w:t xml:space="preserve">nnex I to </w:t>
      </w:r>
      <w:r>
        <w:rPr>
          <w:rFonts w:eastAsia="Calibri"/>
          <w:noProof/>
          <w:szCs w:val="20"/>
        </w:rPr>
        <w:t>r</w:t>
      </w:r>
      <w:r w:rsidRPr="007A6C83">
        <w:rPr>
          <w:rFonts w:eastAsia="Calibri"/>
          <w:noProof/>
          <w:szCs w:val="20"/>
        </w:rPr>
        <w:t>egulation 1305/2013 following an amendment of the 2014-2020</w:t>
      </w:r>
      <w:r>
        <w:rPr>
          <w:rFonts w:eastAsia="Calibri"/>
          <w:noProof/>
          <w:szCs w:val="20"/>
        </w:rPr>
        <w:t xml:space="preserve"> multiannual financial framework</w:t>
      </w:r>
      <w:r w:rsidRPr="007A6C83">
        <w:rPr>
          <w:rFonts w:eastAsia="Calibri"/>
          <w:noProof/>
          <w:szCs w:val="20"/>
        </w:rPr>
        <w:t xml:space="preserve"> </w:t>
      </w:r>
      <w:r>
        <w:rPr>
          <w:rFonts w:eastAsia="Calibri"/>
          <w:noProof/>
          <w:szCs w:val="20"/>
        </w:rPr>
        <w:t>(</w:t>
      </w:r>
      <w:r w:rsidRPr="007A6C83">
        <w:rPr>
          <w:rFonts w:eastAsia="Calibri"/>
          <w:noProof/>
          <w:szCs w:val="20"/>
        </w:rPr>
        <w:t>MFF</w:t>
      </w:r>
      <w:r>
        <w:rPr>
          <w:rFonts w:eastAsia="Calibri"/>
          <w:noProof/>
          <w:szCs w:val="20"/>
        </w:rPr>
        <w:t>)</w:t>
      </w:r>
      <w:r w:rsidRPr="007A6C83">
        <w:rPr>
          <w:rFonts w:eastAsia="Calibri"/>
          <w:noProof/>
          <w:szCs w:val="20"/>
        </w:rPr>
        <w:t xml:space="preserve"> </w:t>
      </w:r>
      <w:r>
        <w:rPr>
          <w:rFonts w:eastAsia="Calibri"/>
          <w:noProof/>
          <w:szCs w:val="20"/>
        </w:rPr>
        <w:t>r</w:t>
      </w:r>
      <w:r w:rsidRPr="007A6C83">
        <w:rPr>
          <w:rFonts w:eastAsia="Calibri"/>
          <w:noProof/>
          <w:szCs w:val="20"/>
        </w:rPr>
        <w:t xml:space="preserve">egulation which transfers the unused 2014 allocations into 2015 and 2016. This MFF amendment was approved by the European Parliament on 15 April and adopted by the </w:t>
      </w:r>
      <w:r>
        <w:rPr>
          <w:rFonts w:eastAsia="Calibri"/>
          <w:noProof/>
          <w:szCs w:val="20"/>
        </w:rPr>
        <w:t>General Affairs</w:t>
      </w:r>
      <w:r w:rsidRPr="007A6C83">
        <w:rPr>
          <w:rFonts w:eastAsia="Calibri"/>
          <w:noProof/>
          <w:szCs w:val="20"/>
        </w:rPr>
        <w:t xml:space="preserve"> Council on 21 April.</w:t>
      </w:r>
    </w:p>
    <w:p w:rsidR="006B2F03" w:rsidRDefault="006B2F03" w:rsidP="005658AE">
      <w:pPr>
        <w:rPr>
          <w:rFonts w:eastAsia="Calibri"/>
          <w:noProof/>
          <w:szCs w:val="20"/>
        </w:rPr>
      </w:pPr>
      <w:r>
        <w:rPr>
          <w:lang w:val="en-US"/>
        </w:rPr>
        <w:t>The review of the annual breakdown concerns 17 Member States with reductions in the 2014 allocations and consequent reinforcements of 2015 and 2016 allocations.</w:t>
      </w:r>
      <w:r w:rsidRPr="007A6C83">
        <w:rPr>
          <w:lang w:val="en-US"/>
        </w:rPr>
        <w:t xml:space="preserve"> </w:t>
      </w:r>
      <w:r>
        <w:rPr>
          <w:lang w:val="en-US"/>
        </w:rPr>
        <w:t xml:space="preserve">This is because certain national rural development </w:t>
      </w:r>
      <w:proofErr w:type="spellStart"/>
      <w:r>
        <w:rPr>
          <w:lang w:val="en-US"/>
        </w:rPr>
        <w:t>programmes</w:t>
      </w:r>
      <w:proofErr w:type="spellEnd"/>
      <w:r>
        <w:rPr>
          <w:lang w:val="en-US"/>
        </w:rPr>
        <w:t xml:space="preserve"> and regional </w:t>
      </w:r>
      <w:proofErr w:type="spellStart"/>
      <w:r>
        <w:rPr>
          <w:lang w:val="en-US"/>
        </w:rPr>
        <w:t>programmes</w:t>
      </w:r>
      <w:proofErr w:type="spellEnd"/>
      <w:r>
        <w:rPr>
          <w:lang w:val="en-US"/>
        </w:rPr>
        <w:t xml:space="preserve"> were not ready for adoption by the end of 2014.</w:t>
      </w:r>
    </w:p>
    <w:p w:rsidR="006B2F03" w:rsidRDefault="006B2F03" w:rsidP="00C07097">
      <w:pPr>
        <w:rPr>
          <w:rFonts w:eastAsia="Calibri"/>
          <w:noProof/>
        </w:rPr>
      </w:pPr>
      <w:r>
        <w:rPr>
          <w:rFonts w:eastAsia="Calibri"/>
          <w:noProof/>
        </w:rPr>
        <w:t>This regulation</w:t>
      </w:r>
      <w:r w:rsidRPr="00236150">
        <w:rPr>
          <w:rFonts w:eastAsia="Calibri"/>
          <w:noProof/>
        </w:rPr>
        <w:t xml:space="preserve"> </w:t>
      </w:r>
      <w:r>
        <w:rPr>
          <w:rFonts w:eastAsia="Calibri"/>
          <w:noProof/>
        </w:rPr>
        <w:t>was</w:t>
      </w:r>
      <w:r w:rsidRPr="00236150">
        <w:rPr>
          <w:rFonts w:eastAsia="Calibri"/>
          <w:noProof/>
        </w:rPr>
        <w:t xml:space="preserve"> </w:t>
      </w:r>
      <w:r>
        <w:rPr>
          <w:rFonts w:eastAsia="Calibri"/>
          <w:noProof/>
        </w:rPr>
        <w:t>adopted</w:t>
      </w:r>
      <w:r w:rsidRPr="00236150">
        <w:rPr>
          <w:rFonts w:eastAsia="Calibri"/>
          <w:noProof/>
        </w:rPr>
        <w:t xml:space="preserve"> </w:t>
      </w:r>
      <w:r>
        <w:rPr>
          <w:rFonts w:eastAsia="Calibri"/>
          <w:noProof/>
        </w:rPr>
        <w:t xml:space="preserve">by the Commission on 27 April 2015. The normal </w:t>
      </w:r>
      <w:r w:rsidRPr="007A6C83">
        <w:rPr>
          <w:rFonts w:eastAsia="Calibri"/>
          <w:noProof/>
        </w:rPr>
        <w:t xml:space="preserve">two-month objection period </w:t>
      </w:r>
      <w:r>
        <w:rPr>
          <w:rFonts w:eastAsia="Calibri"/>
          <w:noProof/>
        </w:rPr>
        <w:t>was shorten</w:t>
      </w:r>
      <w:r w:rsidR="00C07097">
        <w:rPr>
          <w:rFonts w:eastAsia="Calibri"/>
          <w:noProof/>
        </w:rPr>
        <w:t>ed</w:t>
      </w:r>
      <w:r w:rsidRPr="007A6C83">
        <w:rPr>
          <w:rFonts w:eastAsia="Calibri"/>
          <w:noProof/>
        </w:rPr>
        <w:t xml:space="preserve">, </w:t>
      </w:r>
      <w:r w:rsidR="00C07097">
        <w:rPr>
          <w:rFonts w:eastAsia="Calibri"/>
          <w:noProof/>
        </w:rPr>
        <w:t>to allow</w:t>
      </w:r>
      <w:r w:rsidRPr="007A6C83">
        <w:rPr>
          <w:rFonts w:eastAsia="Calibri"/>
          <w:noProof/>
        </w:rPr>
        <w:t xml:space="preserve"> the adoption of the remaining rural development programmes as </w:t>
      </w:r>
      <w:r w:rsidR="00C07097">
        <w:rPr>
          <w:rFonts w:eastAsia="Calibri"/>
          <w:noProof/>
        </w:rPr>
        <w:t>soon</w:t>
      </w:r>
      <w:r w:rsidRPr="007A6C83">
        <w:rPr>
          <w:rFonts w:eastAsia="Calibri"/>
          <w:noProof/>
        </w:rPr>
        <w:t xml:space="preserve"> as possible.</w:t>
      </w:r>
    </w:p>
    <w:p w:rsidR="00A52790" w:rsidRPr="003F24FA" w:rsidRDefault="00A52790" w:rsidP="00A52790">
      <w:pPr>
        <w:pStyle w:val="Sub-itemApproved"/>
      </w:pPr>
      <w:bookmarkStart w:id="14" w:name="_Toc419199030"/>
      <w:r>
        <w:t>Pesticides</w:t>
      </w:r>
      <w:r w:rsidRPr="003F24FA">
        <w:t xml:space="preserve"> - </w:t>
      </w:r>
      <w:r>
        <w:t>Maximum residue levels</w:t>
      </w:r>
      <w:bookmarkEnd w:id="14"/>
    </w:p>
    <w:p w:rsidR="00A52790" w:rsidRPr="00483712" w:rsidRDefault="00A52790" w:rsidP="00A52790">
      <w:pPr>
        <w:rPr>
          <w:rFonts w:eastAsia="Calibri"/>
          <w:noProof/>
        </w:rPr>
      </w:pPr>
      <w:r w:rsidRPr="00483712">
        <w:rPr>
          <w:rFonts w:eastAsia="Calibri"/>
          <w:noProof/>
        </w:rPr>
        <w:t>The Council decided not to oppose the adoption of a Commission regulation amending annexes II and III to regulation 396/2005</w:t>
      </w:r>
      <w:r w:rsidRPr="00483712">
        <w:rPr>
          <w:rFonts w:eastAsia="Calibri"/>
          <w:noProof/>
        </w:rPr>
        <w:footnoteReference w:id="1"/>
      </w:r>
      <w:r w:rsidRPr="00483712">
        <w:rPr>
          <w:rFonts w:eastAsia="Calibri"/>
          <w:noProof/>
        </w:rPr>
        <w:t xml:space="preserve"> as regards maximum residue levels (MRLs) for Trichoderma polysporum strain IMI 206039, Trichoderma asperellum (formerly T. harzianum) strains ICC012, T25 and TV1, Trichoderma atroviride (formerly T. harzianum) strains IMI 206040 and T11, Trichoderma harzianum strains T-22 and ITEM 908, Trichoderma gamsii (formerly T. viride) strain ICC080, Trichoderma asperellum (strain T34), Trichoderma atroviride strain I-1237, geraniol, thymol, sucrose, ferric sulphate (Iron (III) sulphate), ferrous sulphate (Iron (II) sulphate) and folic acid in or on certain products (</w:t>
      </w:r>
      <w:hyperlink r:id="rId20" w:tooltip="http://data.consilium.europa.eu/doc/document/ST-7699-2015-INIT/en/pdf" w:history="1">
        <w:r w:rsidR="00483712" w:rsidRPr="00483712">
          <w:rPr>
            <w:rStyle w:val="Hyperlink"/>
            <w:rFonts w:eastAsia="Calibri"/>
            <w:i/>
            <w:iCs/>
            <w:noProof/>
          </w:rPr>
          <w:t>7699/15</w:t>
        </w:r>
      </w:hyperlink>
      <w:r w:rsidRPr="00483712">
        <w:rPr>
          <w:rFonts w:eastAsia="Calibri"/>
          <w:noProof/>
        </w:rPr>
        <w:t>);</w:t>
      </w:r>
    </w:p>
    <w:p w:rsidR="00A52790" w:rsidRDefault="005777E7" w:rsidP="00A52790">
      <w:r>
        <w:br w:type="page"/>
      </w:r>
      <w:r w:rsidR="00A52790" w:rsidRPr="00EC0845">
        <w:t xml:space="preserve">Regulation 396/2005 </w:t>
      </w:r>
      <w:r w:rsidR="00A52790">
        <w:t xml:space="preserve">establishes the maximum quantities of pesticide residues or </w:t>
      </w:r>
      <w:r w:rsidR="00A52790" w:rsidRPr="008130B4">
        <w:t xml:space="preserve">MRLs </w:t>
      </w:r>
      <w:r w:rsidR="00A52790">
        <w:t>permitted in products of animal or vegetable origin intended for human or animal consumption. These MRLs include, on the one hand, levels which are specific to particular foodstuffs intended for human or animal consumption and, on the other, a general limit which applies where no specific level has been set. MRL applications are communicated to the European Food Safety Authority (EFSA) which issue</w:t>
      </w:r>
      <w:r w:rsidR="00C07097">
        <w:t>s</w:t>
      </w:r>
      <w:r w:rsidR="00A52790">
        <w:t xml:space="preserve"> a scientific opinion on each intended new MRL. Based on EFSA's opinion, the Commission proposes a regulation to establish a new MRL or to amend or remove an existing MRL and modifying the annexes of regulation 396/2005 accordingly.</w:t>
      </w:r>
    </w:p>
    <w:p w:rsidR="00A52790" w:rsidRPr="00A11134" w:rsidRDefault="00A52790" w:rsidP="00A52790">
      <w:r>
        <w:t>This</w:t>
      </w:r>
      <w:r w:rsidRPr="003F24FA">
        <w:t xml:space="preserve"> Commission regulation </w:t>
      </w:r>
      <w:r>
        <w:t>is</w:t>
      </w:r>
      <w:r w:rsidRPr="003F24FA">
        <w:t xml:space="preserve"> subject to the regulatory procedure with scrutiny. This means that now that the Council has given its consent, the Commission may adopt the regulation, unless the European Parliament objects.</w:t>
      </w:r>
    </w:p>
    <w:p w:rsidR="00A52790" w:rsidRPr="003F24FA" w:rsidRDefault="00A52790" w:rsidP="00A52790">
      <w:pPr>
        <w:pStyle w:val="Sub-itemApproved"/>
      </w:pPr>
      <w:bookmarkStart w:id="15" w:name="_Toc419199031"/>
      <w:r>
        <w:t>Animal health</w:t>
      </w:r>
      <w:r w:rsidRPr="003F24FA">
        <w:t xml:space="preserve"> - </w:t>
      </w:r>
      <w:r>
        <w:t xml:space="preserve">Specified risk material for </w:t>
      </w:r>
      <w:r w:rsidRPr="00BE2A9D">
        <w:t>spongiform encephalopathies</w:t>
      </w:r>
      <w:bookmarkEnd w:id="15"/>
    </w:p>
    <w:p w:rsidR="00A52790" w:rsidRDefault="00A52790" w:rsidP="00A52790">
      <w:r w:rsidRPr="003F24FA">
        <w:t xml:space="preserve">The Council decided not to oppose the adoption of a </w:t>
      </w:r>
      <w:r>
        <w:t xml:space="preserve">Commission regulation </w:t>
      </w:r>
      <w:r w:rsidRPr="003C7820">
        <w:t xml:space="preserve">amending </w:t>
      </w:r>
      <w:r>
        <w:t>a</w:t>
      </w:r>
      <w:r w:rsidRPr="003C7820">
        <w:t xml:space="preserve">nnex V to </w:t>
      </w:r>
      <w:r>
        <w:t>r</w:t>
      </w:r>
      <w:r w:rsidRPr="00085FAA">
        <w:t>egulation 999/2001 laying down rules for the prevention, control and eradication of certain transmissible spongiform encephalopathies</w:t>
      </w:r>
      <w:r>
        <w:t xml:space="preserve"> </w:t>
      </w:r>
      <w:r w:rsidRPr="00085FAA">
        <w:t>(TSEs)</w:t>
      </w:r>
      <w:r>
        <w:t xml:space="preserve"> (</w:t>
      </w:r>
      <w:hyperlink r:id="rId21" w:tooltip="http://data.consilium.europa.eu/doc/document/ST-7667-2015-INIT/en/pdf" w:history="1">
        <w:r>
          <w:rPr>
            <w:rStyle w:val="Hyperlink"/>
            <w:i/>
            <w:iCs/>
          </w:rPr>
          <w:t>7667/15</w:t>
        </w:r>
      </w:hyperlink>
      <w:r>
        <w:t>).</w:t>
      </w:r>
    </w:p>
    <w:p w:rsidR="00A52790" w:rsidRDefault="00A52790" w:rsidP="00A52790">
      <w:r>
        <w:t xml:space="preserve">This amendment streamlines the obligations attached to a list of specified risk material (SRM) if they come from animals whose origin is in a member state or a third country </w:t>
      </w:r>
      <w:r w:rsidRPr="00737F0C">
        <w:t xml:space="preserve">with a </w:t>
      </w:r>
      <w:r>
        <w:t>negligible</w:t>
      </w:r>
      <w:r w:rsidRPr="00737F0C">
        <w:t xml:space="preserve"> </w:t>
      </w:r>
      <w:r>
        <w:t>Bovine Spongiform Encephalopathy</w:t>
      </w:r>
      <w:r w:rsidRPr="00737F0C">
        <w:t xml:space="preserve"> </w:t>
      </w:r>
      <w:r>
        <w:t>('</w:t>
      </w:r>
      <w:r w:rsidRPr="00737F0C">
        <w:t>BSE</w:t>
      </w:r>
      <w:r>
        <w:t xml:space="preserve">') </w:t>
      </w:r>
      <w:r w:rsidRPr="00737F0C">
        <w:t>risk status.</w:t>
      </w:r>
    </w:p>
    <w:p w:rsidR="00A52790" w:rsidRDefault="00A52790" w:rsidP="00C07097">
      <w:r w:rsidRPr="003F24FA">
        <w:t xml:space="preserve">Regulation </w:t>
      </w:r>
      <w:r w:rsidRPr="00085FAA">
        <w:t xml:space="preserve">999/2001 lays down rules for the prevention, control and eradication of </w:t>
      </w:r>
      <w:r>
        <w:t>TSEs</w:t>
      </w:r>
      <w:r w:rsidRPr="00085FAA">
        <w:t xml:space="preserve"> in bovine, ovine and caprine animals. It applies to the production and placing on the market of live animals and products of animal origin and in certain specific cases to exports.</w:t>
      </w:r>
      <w:r w:rsidRPr="003F24FA">
        <w:t xml:space="preserve"> </w:t>
      </w:r>
      <w:r>
        <w:t xml:space="preserve">It </w:t>
      </w:r>
      <w:r w:rsidR="00C07097">
        <w:t xml:space="preserve">also </w:t>
      </w:r>
      <w:r>
        <w:t>provides that SRM from those animals is to be removed and disposed of in accordance with annex V to that regulation.</w:t>
      </w:r>
    </w:p>
    <w:p w:rsidR="005777E7" w:rsidRDefault="00A52790" w:rsidP="00A52790">
      <w:r>
        <w:t>This</w:t>
      </w:r>
      <w:r w:rsidRPr="003F24FA">
        <w:t xml:space="preserve"> Commission regulation </w:t>
      </w:r>
      <w:r>
        <w:t>is</w:t>
      </w:r>
      <w:r w:rsidRPr="003F24FA">
        <w:t xml:space="preserve"> subject to the regulatory procedure with scrutiny. This means that now that the Council has given its consent, the Commission may adopt the regulation, unless the European Parliament objects.</w:t>
      </w:r>
    </w:p>
    <w:p w:rsidR="00A52790" w:rsidRPr="0008240F" w:rsidRDefault="005777E7" w:rsidP="005777E7">
      <w:pPr>
        <w:pStyle w:val="ItemApproved"/>
      </w:pPr>
      <w:r>
        <w:br w:type="page"/>
      </w:r>
      <w:r w:rsidR="00A52790" w:rsidRPr="0008240F">
        <w:t>FISHERIES</w:t>
      </w:r>
    </w:p>
    <w:p w:rsidR="00A52790" w:rsidRPr="0008240F" w:rsidRDefault="00A52790" w:rsidP="00A52790">
      <w:pPr>
        <w:pStyle w:val="Sub-itemApproved"/>
      </w:pPr>
      <w:bookmarkStart w:id="16" w:name="_Toc419199033"/>
      <w:r w:rsidRPr="0008240F">
        <w:t>Fish landing obligation - Adoption of the "omnibus" regulation</w:t>
      </w:r>
      <w:bookmarkEnd w:id="16"/>
    </w:p>
    <w:p w:rsidR="00A52790" w:rsidRDefault="00A52790" w:rsidP="00A52790">
      <w:r>
        <w:t xml:space="preserve">The Council adopted the regulation on the landing obligation for fisheries (or "omnibus" regulation) </w:t>
      </w:r>
      <w:r w:rsidRPr="0008240F">
        <w:t>following a first reading agreeme</w:t>
      </w:r>
      <w:r>
        <w:t>nt with the European Parliament (PE</w:t>
      </w:r>
      <w:r>
        <w:noBreakHyphen/>
        <w:t>CONS 11/15)</w:t>
      </w:r>
    </w:p>
    <w:p w:rsidR="00A52790" w:rsidRDefault="00A52790" w:rsidP="00A52790">
      <w:r>
        <w:t>A central objective of the reformed Common Fisheries Policy (CFP) is the progressive elimination of discards in all EU fisheries through the introduction of an obligation to land all catches. The "omnibus" regulation contains a package of amendments to existing control and technical measures regulations to implement the landing obligation agreed under the reformed CFP.</w:t>
      </w:r>
    </w:p>
    <w:p w:rsidR="00A52790" w:rsidRDefault="00A52790" w:rsidP="00A52790">
      <w:r>
        <w:t>The Council and the European Parliament agreed on a number of points aimed at simplifying the provisions and reducing</w:t>
      </w:r>
      <w:r w:rsidR="00C07097">
        <w:t xml:space="preserve"> the</w:t>
      </w:r>
      <w:r>
        <w:t xml:space="preserve"> administrative burden for fishermen and control administrations. In addition:</w:t>
      </w:r>
    </w:p>
    <w:p w:rsidR="00A52790" w:rsidRDefault="00A52790" w:rsidP="00A52790">
      <w:pPr>
        <w:numPr>
          <w:ilvl w:val="0"/>
          <w:numId w:val="16"/>
        </w:numPr>
        <w:spacing w:before="0" w:after="0"/>
      </w:pPr>
      <w:r>
        <w:t>An annual report on the implementation of the landing obligation will be prepared by the Commission on the basis of available information transmitted by the member states, Advisory Councils and other relevant sources;</w:t>
      </w:r>
    </w:p>
    <w:p w:rsidR="00A52790" w:rsidRDefault="00A52790" w:rsidP="00A52790">
      <w:pPr>
        <w:numPr>
          <w:ilvl w:val="0"/>
          <w:numId w:val="16"/>
        </w:numPr>
        <w:spacing w:before="0" w:after="0"/>
      </w:pPr>
      <w:r>
        <w:t>The principle that the development of parallel markets for undersized fish should be prevented is confirmed;</w:t>
      </w:r>
    </w:p>
    <w:p w:rsidR="00A52790" w:rsidRDefault="00A52790" w:rsidP="00A52790">
      <w:pPr>
        <w:numPr>
          <w:ilvl w:val="0"/>
          <w:numId w:val="16"/>
        </w:numPr>
        <w:spacing w:before="0" w:after="0"/>
      </w:pPr>
      <w:r>
        <w:t xml:space="preserve">A pragmatic solution for the storage of fish on board of fishing vessels was agreed. </w:t>
      </w:r>
    </w:p>
    <w:p w:rsidR="00A52790" w:rsidRDefault="00A52790" w:rsidP="00C07097">
      <w:r>
        <w:t>The Council and the European Parliament reached on 29 January 2015 a provisional political agreement on this regulation. The compromise text was approved on 20 February 2015 by the Permanent Representatives Committee.</w:t>
      </w:r>
    </w:p>
    <w:p w:rsidR="005777E7" w:rsidRDefault="00A52790" w:rsidP="00A52790">
      <w:r w:rsidRPr="0008240F">
        <w:t xml:space="preserve">The European Parliament adopted its first-reading position on this regulation on </w:t>
      </w:r>
      <w:r>
        <w:t>28 April 2015.</w:t>
      </w:r>
    </w:p>
    <w:p w:rsidR="00A52790" w:rsidRPr="005658AE" w:rsidRDefault="005777E7" w:rsidP="005777E7">
      <w:pPr>
        <w:pStyle w:val="ItemApproved"/>
      </w:pPr>
      <w:r>
        <w:br w:type="page"/>
      </w:r>
      <w:r w:rsidR="00A52790" w:rsidRPr="00AF5B45">
        <w:t>GENERAL AFFAIRS</w:t>
      </w:r>
    </w:p>
    <w:p w:rsidR="00A52790" w:rsidRPr="005658AE" w:rsidRDefault="00A52790" w:rsidP="00A52790">
      <w:pPr>
        <w:pStyle w:val="Sub-itemApproved"/>
      </w:pPr>
      <w:bookmarkStart w:id="17" w:name="_Toc419199035"/>
      <w:r>
        <w:t>Pericles 2020 programme extended to member states outside the euro zone</w:t>
      </w:r>
      <w:bookmarkEnd w:id="17"/>
    </w:p>
    <w:p w:rsidR="00A52790" w:rsidRDefault="00A52790" w:rsidP="00C07097">
      <w:r>
        <w:t xml:space="preserve">The Council adopted a regulation extending the Pericles 2020 programme to member states outside the euro </w:t>
      </w:r>
      <w:r w:rsidR="00C07097">
        <w:t>area</w:t>
      </w:r>
      <w:r>
        <w:t xml:space="preserve"> (</w:t>
      </w:r>
      <w:hyperlink r:id="rId22" w:tooltip="http://data.consilium.europa.eu/doc/document/ST-16616-2013-INIT/en/pdf" w:history="1">
        <w:r>
          <w:rPr>
            <w:rStyle w:val="Hyperlink"/>
            <w:i/>
            <w:iCs/>
          </w:rPr>
          <w:t>16616/13</w:t>
        </w:r>
      </w:hyperlink>
      <w:r>
        <w:rPr>
          <w:i/>
          <w:iCs/>
        </w:rPr>
        <w:t>)</w:t>
      </w:r>
      <w:r w:rsidRPr="00A1442D">
        <w:t>.</w:t>
      </w:r>
    </w:p>
    <w:p w:rsidR="00A52790" w:rsidRDefault="00A52790" w:rsidP="00A52790">
      <w:r w:rsidRPr="00A1442D">
        <w:t xml:space="preserve">The objective of the Pericles 2020 programme </w:t>
      </w:r>
      <w:r>
        <w:t>is to protect and safeguard the euro against counterfeiting and related fraud in the years 2014 to 2020. The programme supports the exchange of best practices; the dissemination of information; technical, scientific and operational assistance; and grants to finance the purchase of equipment to be used by specialised anti-counterfeiting authorities.</w:t>
      </w:r>
    </w:p>
    <w:p w:rsidR="00A52790" w:rsidRDefault="00A52790" w:rsidP="00A52790">
      <w:pPr>
        <w:pStyle w:val="Sub-itemApproved"/>
      </w:pPr>
      <w:bookmarkStart w:id="18" w:name="_Toc419199036"/>
      <w:r>
        <w:t>Greenhouse gas emissions of the EU institutions - Report of the European Court of Auditors</w:t>
      </w:r>
      <w:bookmarkEnd w:id="18"/>
    </w:p>
    <w:p w:rsidR="00A52790" w:rsidRDefault="00A52790" w:rsidP="00A52790">
      <w:r>
        <w:t xml:space="preserve">The Council adopted conclusions on the European Court of Auditors' special report entitled "How do the EU institutions and bodies calculate, reduce and offset their greenhouse gas emissions?", as set out in </w:t>
      </w:r>
      <w:hyperlink r:id="rId23" w:tooltip="http://data.consilium.europa.eu/doc/document/ST-8319-2015-INIT/en/pdf" w:history="1">
        <w:r w:rsidRPr="00600D04">
          <w:rPr>
            <w:rStyle w:val="Hyperlink"/>
            <w:i/>
            <w:iCs/>
          </w:rPr>
          <w:t>8319/15</w:t>
        </w:r>
      </w:hyperlink>
      <w:r>
        <w:t>.</w:t>
      </w:r>
    </w:p>
    <w:p w:rsidR="005658AE" w:rsidRPr="00104A6F" w:rsidRDefault="005658AE" w:rsidP="005658AE">
      <w:pPr>
        <w:pStyle w:val="ItemApproved"/>
      </w:pPr>
      <w:r>
        <w:t>CUSTOMS UNION</w:t>
      </w:r>
    </w:p>
    <w:p w:rsidR="005658AE" w:rsidRPr="00104A6F" w:rsidRDefault="005658AE" w:rsidP="005658AE">
      <w:pPr>
        <w:pStyle w:val="Sub-itemApproved"/>
      </w:pPr>
      <w:bookmarkStart w:id="19" w:name="_Toc419199038"/>
      <w:r>
        <w:t>Improved antifraud measures</w:t>
      </w:r>
      <w:bookmarkEnd w:id="19"/>
    </w:p>
    <w:p w:rsidR="005658AE" w:rsidRDefault="005658AE" w:rsidP="005658AE">
      <w:r w:rsidRPr="00104A6F">
        <w:t>The Council reached a political agreement on</w:t>
      </w:r>
      <w:r>
        <w:t xml:space="preserve"> a </w:t>
      </w:r>
      <w:hyperlink r:id="rId24" w:history="1">
        <w:r w:rsidRPr="00D34972">
          <w:rPr>
            <w:rStyle w:val="Hyperlink"/>
          </w:rPr>
          <w:t>regulation</w:t>
        </w:r>
      </w:hyperlink>
      <w:r>
        <w:t xml:space="preserve"> aimed at improving the functioning of the antifraud system in the customs field.</w:t>
      </w:r>
    </w:p>
    <w:p w:rsidR="005658AE" w:rsidRDefault="005658AE" w:rsidP="005658AE">
      <w:pPr>
        <w:rPr>
          <w:bCs/>
          <w:iCs/>
        </w:rPr>
      </w:pPr>
      <w:r w:rsidRPr="00104A6F">
        <w:t xml:space="preserve">The agreement, which </w:t>
      </w:r>
      <w:r>
        <w:t>formally endorses</w:t>
      </w:r>
      <w:r w:rsidRPr="00104A6F">
        <w:t xml:space="preserve"> </w:t>
      </w:r>
      <w:r>
        <w:t>the</w:t>
      </w:r>
      <w:r w:rsidRPr="00104A6F">
        <w:t xml:space="preserve"> provisional deal reached between the Council and European Parliament representatives on </w:t>
      </w:r>
      <w:hyperlink r:id="rId25" w:history="1">
        <w:r w:rsidRPr="00D34972">
          <w:rPr>
            <w:rStyle w:val="Hyperlink"/>
          </w:rPr>
          <w:t>19 December 2014</w:t>
        </w:r>
      </w:hyperlink>
      <w:r w:rsidRPr="00104A6F">
        <w:t xml:space="preserve">, seeks to </w:t>
      </w:r>
      <w:r w:rsidRPr="005446FA">
        <w:rPr>
          <w:bCs/>
          <w:iCs/>
        </w:rPr>
        <w:t>further promote mutual assistance between member states and the Commission to ensure the correct application of law</w:t>
      </w:r>
      <w:r>
        <w:rPr>
          <w:bCs/>
          <w:iCs/>
        </w:rPr>
        <w:t>s</w:t>
      </w:r>
      <w:r w:rsidRPr="005446FA">
        <w:rPr>
          <w:bCs/>
          <w:iCs/>
        </w:rPr>
        <w:t xml:space="preserve"> on customs and agricultural matters</w:t>
      </w:r>
      <w:r>
        <w:rPr>
          <w:bCs/>
          <w:iCs/>
        </w:rPr>
        <w:t>.</w:t>
      </w:r>
    </w:p>
    <w:p w:rsidR="005658AE" w:rsidRDefault="005658AE" w:rsidP="005658AE">
      <w:r>
        <w:t xml:space="preserve">It will also </w:t>
      </w:r>
      <w:r w:rsidRPr="005446FA">
        <w:t xml:space="preserve">simplify and speed up procedures </w:t>
      </w:r>
      <w:r>
        <w:t>to better protect the financial interests of the EU against customs fraud and other breaches of customs and agriculture legislation.</w:t>
      </w:r>
    </w:p>
    <w:p w:rsidR="005777E7" w:rsidRDefault="00C07097" w:rsidP="005658AE">
      <w:r>
        <w:t>For its part</w:t>
      </w:r>
      <w:r w:rsidR="005658AE">
        <w:t xml:space="preserve"> the European Parliament is expected to confirm the agreement in a second-reading vote at an upcoming plenary session.</w:t>
      </w:r>
    </w:p>
    <w:p w:rsidR="00AA5441" w:rsidRPr="00F4023D" w:rsidRDefault="005777E7" w:rsidP="005777E7">
      <w:pPr>
        <w:pStyle w:val="Sub-itemApproved"/>
      </w:pPr>
      <w:r>
        <w:br w:type="page"/>
      </w:r>
      <w:bookmarkStart w:id="20" w:name="_Toc419199039"/>
      <w:r w:rsidR="00AA5441" w:rsidRPr="00F4023D">
        <w:t xml:space="preserve">Former Yugoslav Republic of Macedonia - </w:t>
      </w:r>
      <w:r w:rsidR="00AA5441">
        <w:t>Conventions on transit and trade</w:t>
      </w:r>
      <w:bookmarkEnd w:id="20"/>
    </w:p>
    <w:p w:rsidR="00AA5441" w:rsidRPr="00F4023D" w:rsidRDefault="00AA5441" w:rsidP="00AA5441">
      <w:r w:rsidRPr="00F4023D">
        <w:t>The Council a</w:t>
      </w:r>
      <w:r>
        <w:t xml:space="preserve">pproved </w:t>
      </w:r>
      <w:r w:rsidRPr="00F4023D">
        <w:t xml:space="preserve">its position </w:t>
      </w:r>
      <w:r>
        <w:t xml:space="preserve">on </w:t>
      </w:r>
      <w:hyperlink r:id="rId26" w:history="1">
        <w:r w:rsidRPr="001C2E5D">
          <w:rPr>
            <w:rStyle w:val="Hyperlink"/>
          </w:rPr>
          <w:t>decisions</w:t>
        </w:r>
      </w:hyperlink>
      <w:r>
        <w:t xml:space="preserve"> to be taken by </w:t>
      </w:r>
      <w:r w:rsidRPr="00F4023D">
        <w:t>EU</w:t>
      </w:r>
      <w:r w:rsidRPr="00F4023D">
        <w:noBreakHyphen/>
      </w:r>
      <w:r w:rsidRPr="007F31E7">
        <w:t>EFTA</w:t>
      </w:r>
      <w:r>
        <w:t xml:space="preserve"> j</w:t>
      </w:r>
      <w:r w:rsidRPr="00F4023D">
        <w:t xml:space="preserve">oint </w:t>
      </w:r>
      <w:r>
        <w:t>c</w:t>
      </w:r>
      <w:r w:rsidRPr="00F4023D">
        <w:t>ommittee</w:t>
      </w:r>
      <w:r>
        <w:t>s</w:t>
      </w:r>
      <w:r w:rsidRPr="00F4023D">
        <w:t xml:space="preserve"> </w:t>
      </w:r>
      <w:r>
        <w:t xml:space="preserve">with a view to the accession of the </w:t>
      </w:r>
      <w:r w:rsidRPr="00F4023D">
        <w:t xml:space="preserve">Former Yugoslav Republic of Macedonia to the Convention on a common transit procedure and </w:t>
      </w:r>
      <w:r>
        <w:t xml:space="preserve">to </w:t>
      </w:r>
      <w:r w:rsidRPr="00F4023D">
        <w:t>the Convention on simplification of formalities in trade in goods</w:t>
      </w:r>
      <w:r>
        <w:t>.</w:t>
      </w:r>
    </w:p>
    <w:p w:rsidR="00AA5441" w:rsidRDefault="00AA5441" w:rsidP="00AA5441">
      <w:r w:rsidRPr="007F31E7">
        <w:t>The customs transit procedure enables goods to move more freely and simplifies customs formalities. It takes the form of a temporary suspension of the duties and taxes normally due on goods imported into the customs territory. This procedure is based on a convention between the E</w:t>
      </w:r>
      <w:r>
        <w:t>U</w:t>
      </w:r>
      <w:r w:rsidRPr="007F31E7">
        <w:t xml:space="preserve"> and the countries of the European Free Trade Area (</w:t>
      </w:r>
      <w:hyperlink r:id="rId27" w:history="1">
        <w:r>
          <w:rPr>
            <w:rStyle w:val="Hyperlink"/>
          </w:rPr>
          <w:t>EFTA</w:t>
        </w:r>
      </w:hyperlink>
      <w:r>
        <w:t>).</w:t>
      </w:r>
    </w:p>
    <w:p w:rsidR="00AA5441" w:rsidRDefault="00AA5441" w:rsidP="00AA5441">
      <w:r>
        <w:t>T</w:t>
      </w:r>
      <w:r w:rsidRPr="00F4023D">
        <w:t>he Convention on simplification of formalities in trade in goods</w:t>
      </w:r>
      <w:r w:rsidRPr="007F31E7">
        <w:t xml:space="preserve"> </w:t>
      </w:r>
      <w:r>
        <w:t>sets out</w:t>
      </w:r>
      <w:r w:rsidRPr="007F31E7">
        <w:t xml:space="preserve"> measures to simplify formalities in trade in goods between the </w:t>
      </w:r>
      <w:r>
        <w:t>EU</w:t>
      </w:r>
      <w:r w:rsidRPr="007F31E7">
        <w:t xml:space="preserve"> and the EFTA countries, in</w:t>
      </w:r>
      <w:r>
        <w:t xml:space="preserve"> </w:t>
      </w:r>
      <w:r w:rsidRPr="007F31E7">
        <w:t>particular by introducing a single administrative document to be used for any</w:t>
      </w:r>
      <w:r>
        <w:t xml:space="preserve"> procedure at export and import.</w:t>
      </w:r>
    </w:p>
    <w:p w:rsidR="00AA5441" w:rsidRPr="00775249" w:rsidRDefault="00AA5441" w:rsidP="00AA5441">
      <w:pPr>
        <w:pStyle w:val="ItemApproved"/>
      </w:pPr>
      <w:r w:rsidRPr="00775249">
        <w:t>BUDGETS</w:t>
      </w:r>
    </w:p>
    <w:p w:rsidR="00AA5441" w:rsidRPr="00775249" w:rsidRDefault="00AA5441" w:rsidP="00AA5441">
      <w:pPr>
        <w:pStyle w:val="Sub-itemApproved"/>
      </w:pPr>
      <w:bookmarkStart w:id="21" w:name="_Toc419199041"/>
      <w:r w:rsidRPr="00775249">
        <w:t xml:space="preserve">Timetable for adoption of </w:t>
      </w:r>
      <w:r>
        <w:t xml:space="preserve">the </w:t>
      </w:r>
      <w:r w:rsidRPr="00775249">
        <w:t>EU budget for 201</w:t>
      </w:r>
      <w:r>
        <w:t>6</w:t>
      </w:r>
      <w:bookmarkEnd w:id="21"/>
    </w:p>
    <w:p w:rsidR="00AA5441" w:rsidRDefault="00AA5441" w:rsidP="00AA5441">
      <w:pPr>
        <w:rPr>
          <w:color w:val="000000"/>
        </w:rPr>
      </w:pPr>
      <w:r w:rsidRPr="00631A98">
        <w:rPr>
          <w:color w:val="000000"/>
        </w:rPr>
        <w:t xml:space="preserve">The Council approved the timetable for this year's budgetary procedure and modalities for the functioning of the Conciliation Committee, as agreed during a </w:t>
      </w:r>
      <w:proofErr w:type="spellStart"/>
      <w:r w:rsidRPr="00631A98">
        <w:rPr>
          <w:color w:val="000000"/>
        </w:rPr>
        <w:t>trilogue</w:t>
      </w:r>
      <w:proofErr w:type="spellEnd"/>
      <w:r w:rsidRPr="00631A98">
        <w:rPr>
          <w:color w:val="000000"/>
        </w:rPr>
        <w:t xml:space="preserve"> between the presidency, the European Parliament and the Commission held on </w:t>
      </w:r>
      <w:r>
        <w:rPr>
          <w:color w:val="000000"/>
        </w:rPr>
        <w:t>30 March</w:t>
      </w:r>
      <w:r w:rsidRPr="00631A98">
        <w:rPr>
          <w:color w:val="000000"/>
        </w:rPr>
        <w:t xml:space="preserve"> (</w:t>
      </w:r>
      <w:hyperlink r:id="rId28" w:tooltip="http://data.consilium.europa.eu/doc/document/ST-7916-2015-INIT/en/pdf" w:history="1">
        <w:r>
          <w:rPr>
            <w:rStyle w:val="Hyperlink"/>
            <w:i/>
            <w:iCs/>
          </w:rPr>
          <w:t>7916/15</w:t>
        </w:r>
      </w:hyperlink>
      <w:r w:rsidRPr="00631A98">
        <w:rPr>
          <w:color w:val="000000"/>
        </w:rPr>
        <w:t>).</w:t>
      </w:r>
    </w:p>
    <w:p w:rsidR="00AA5441" w:rsidRPr="005658AE" w:rsidRDefault="00AA5441" w:rsidP="00AA5441">
      <w:pPr>
        <w:pStyle w:val="ItemApproved"/>
      </w:pPr>
      <w:r w:rsidRPr="005658AE">
        <w:t>ENVIRONMENT</w:t>
      </w:r>
    </w:p>
    <w:p w:rsidR="00AA5441" w:rsidRPr="005658AE" w:rsidRDefault="00AA5441" w:rsidP="00AA5441">
      <w:pPr>
        <w:pStyle w:val="Sub-itemApproved"/>
      </w:pPr>
      <w:bookmarkStart w:id="22" w:name="_Toc419199043"/>
      <w:r w:rsidRPr="005658AE">
        <w:t>Exemption for applications containing cadmium</w:t>
      </w:r>
      <w:bookmarkEnd w:id="22"/>
    </w:p>
    <w:p w:rsidR="00AA5441" w:rsidRPr="008D4F02" w:rsidRDefault="00AA5441" w:rsidP="00C07097">
      <w:r w:rsidRPr="008D4F02">
        <w:t>The Council confirmed that it has no intention to object to the Commission Delegated Directive</w:t>
      </w:r>
      <w:r>
        <w:t xml:space="preserve"> (</w:t>
      </w:r>
      <w:hyperlink r:id="rId29" w:tooltip="http://data.consilium.europa.eu/doc/document/ST-5851-2015-INIT/en/pdf" w:history="1">
        <w:r>
          <w:rPr>
            <w:rStyle w:val="Hyperlink"/>
            <w:i/>
            <w:iCs/>
            <w:lang w:eastAsia="en-GB"/>
          </w:rPr>
          <w:t>5851/15</w:t>
        </w:r>
      </w:hyperlink>
      <w:r>
        <w:rPr>
          <w:color w:val="000000"/>
          <w:lang w:eastAsia="en-GB"/>
        </w:rPr>
        <w:t>)</w:t>
      </w:r>
      <w:r w:rsidRPr="008D4F02">
        <w:t xml:space="preserve"> that amends Annex III of Directive 2011/65/EU</w:t>
      </w:r>
      <w:r>
        <w:t>,</w:t>
      </w:r>
      <w:r w:rsidRPr="008D4F02">
        <w:t xml:space="preserve"> as regards an exemption for cadmium in illumination and display lighting applications. The amendment is meant for the purposes of adapting to technical progress.</w:t>
      </w:r>
    </w:p>
    <w:p w:rsidR="00AA5441" w:rsidRPr="008D4F02" w:rsidRDefault="00AA5441" w:rsidP="00AA5441">
      <w:r w:rsidRPr="008D4F02">
        <w:t>Directive 2011/65/EU (RoHS 2) restricts the use of certain hazardous substances in electrical and electronic equipment.</w:t>
      </w:r>
    </w:p>
    <w:p w:rsidR="00AA5441" w:rsidRPr="008D4F02" w:rsidRDefault="00AA5441" w:rsidP="00AA5441">
      <w:r w:rsidRPr="008D4F02">
        <w:t>Unless the European Parliament objects to it, the delegated act shall be published and enter into force on the twentieth day following its publication in the Official Journal of the EU.</w:t>
      </w:r>
    </w:p>
    <w:p w:rsidR="00AA5441" w:rsidRPr="005658AE" w:rsidRDefault="005777E7" w:rsidP="00AA5441">
      <w:pPr>
        <w:pStyle w:val="Sub-itemApproved"/>
      </w:pPr>
      <w:r>
        <w:br w:type="page"/>
      </w:r>
      <w:bookmarkStart w:id="23" w:name="_Toc419199044"/>
      <w:r w:rsidR="00AA5441" w:rsidRPr="005658AE">
        <w:t>Protection of the ozone layer</w:t>
      </w:r>
      <w:bookmarkEnd w:id="23"/>
    </w:p>
    <w:p w:rsidR="00AA5441" w:rsidRDefault="00AA5441" w:rsidP="00C07097">
      <w:r w:rsidRPr="004424D2">
        <w:t xml:space="preserve">The Council adopted a Decision </w:t>
      </w:r>
      <w:r>
        <w:t>(</w:t>
      </w:r>
      <w:hyperlink r:id="rId30" w:history="1">
        <w:r w:rsidRPr="005658AE">
          <w:rPr>
            <w:rStyle w:val="Hyperlink"/>
            <w:i/>
            <w:iCs/>
          </w:rPr>
          <w:t>7819/15</w:t>
        </w:r>
      </w:hyperlink>
      <w:r w:rsidRPr="00EC55A9">
        <w:t xml:space="preserve">) </w:t>
      </w:r>
      <w:r>
        <w:t>authorising</w:t>
      </w:r>
      <w:r w:rsidRPr="004424D2">
        <w:t xml:space="preserve"> the Commission to negotiate, on behalf of the EU, amendments to the Vienna Convention for the Protection of the Ozone Layer and the Montreal Protocol on Substances that Deplete the Ozone Layer.</w:t>
      </w:r>
    </w:p>
    <w:p w:rsidR="00B44261" w:rsidRPr="00B44261" w:rsidRDefault="00B44261" w:rsidP="00B44261">
      <w:pPr>
        <w:pStyle w:val="ItemApproved"/>
      </w:pPr>
      <w:r w:rsidRPr="00B44261">
        <w:t>ENERGY</w:t>
      </w:r>
    </w:p>
    <w:p w:rsidR="00B44261" w:rsidRPr="000F1CE8" w:rsidRDefault="00B44261" w:rsidP="00B44261">
      <w:pPr>
        <w:pStyle w:val="Sub-itemApproved"/>
      </w:pPr>
      <w:bookmarkStart w:id="24" w:name="_Toc419199046"/>
      <w:r w:rsidRPr="00B44261">
        <w:t>International Energy Charter</w:t>
      </w:r>
      <w:bookmarkEnd w:id="24"/>
    </w:p>
    <w:p w:rsidR="00B44261" w:rsidRPr="00AF3DBF" w:rsidRDefault="00B44261" w:rsidP="00B44261">
      <w:r>
        <w:t xml:space="preserve">The Council approved </w:t>
      </w:r>
      <w:r w:rsidRPr="000F1CE8">
        <w:t>the adoption and the signature</w:t>
      </w:r>
      <w:r>
        <w:t xml:space="preserve"> by </w:t>
      </w:r>
      <w:r w:rsidRPr="000F1CE8">
        <w:t>t</w:t>
      </w:r>
      <w:r>
        <w:t>he European Union and EURATOM of the</w:t>
      </w:r>
      <w:r w:rsidRPr="003A15D9">
        <w:t xml:space="preserve"> International Energy Charter</w:t>
      </w:r>
      <w:r>
        <w:t xml:space="preserve">, which will take place </w:t>
      </w:r>
      <w:r w:rsidRPr="000F1CE8">
        <w:t>at the Ministerial Energy Charter Conference</w:t>
      </w:r>
      <w:r>
        <w:t xml:space="preserve"> in </w:t>
      </w:r>
      <w:r w:rsidRPr="000F1CE8">
        <w:t>the Hague</w:t>
      </w:r>
      <w:r>
        <w:t xml:space="preserve"> on </w:t>
      </w:r>
      <w:r w:rsidRPr="000F1CE8">
        <w:t>20-21 May 2015</w:t>
      </w:r>
      <w:r>
        <w:t xml:space="preserve"> </w:t>
      </w:r>
      <w:r w:rsidRPr="00B44261">
        <w:rPr>
          <w:i/>
          <w:iCs/>
        </w:rPr>
        <w:t>(</w:t>
      </w:r>
      <w:hyperlink r:id="rId31" w:tooltip="http://data.consilium.europa.eu/doc/document/ST-8416-2015-INIT/en/pdf" w:history="1">
        <w:r>
          <w:rPr>
            <w:rStyle w:val="Hyperlink"/>
            <w:i/>
            <w:iCs/>
          </w:rPr>
          <w:t>8416/15</w:t>
        </w:r>
      </w:hyperlink>
      <w:r w:rsidRPr="00B44261">
        <w:rPr>
          <w:i/>
          <w:iCs/>
        </w:rPr>
        <w:t>)</w:t>
      </w:r>
      <w:r>
        <w:t>. It updates the current Energy Charter.</w:t>
      </w:r>
    </w:p>
    <w:p w:rsidR="00B44261" w:rsidRDefault="00B44261" w:rsidP="00B44261">
      <w:r w:rsidRPr="003A15D9">
        <w:t xml:space="preserve">The Energy Charter Treaty and the Energy Charter Protocol on Energy Efficiency and Related Environmental Aspects were signed in December 1994 and entered into legal force in April 1998. To date, the Treaty has been signed or acceded to by fifty-two states, the European Community and </w:t>
      </w:r>
      <w:proofErr w:type="spellStart"/>
      <w:r w:rsidRPr="003A15D9">
        <w:t>Euratom</w:t>
      </w:r>
      <w:proofErr w:type="spellEnd"/>
      <w:r>
        <w:t>.</w:t>
      </w:r>
    </w:p>
    <w:p w:rsidR="00B44261" w:rsidRDefault="00B44261" w:rsidP="00B44261">
      <w:r w:rsidRPr="003A15D9">
        <w:t xml:space="preserve">The fundamental aim of the Energy Charter Treaty is to strengthen the rule of law on energy issues, by creating rules to be observed by all participating governments, thereby </w:t>
      </w:r>
      <w:r>
        <w:t>limi</w:t>
      </w:r>
      <w:r w:rsidRPr="003A15D9">
        <w:t>ting risks associated with energy-related investment and trade</w:t>
      </w:r>
      <w:r>
        <w:t>.</w:t>
      </w:r>
    </w:p>
    <w:p w:rsidR="00AA5441" w:rsidRDefault="00AA5441" w:rsidP="00B44261">
      <w:pPr>
        <w:pStyle w:val="ItemApproved"/>
      </w:pPr>
      <w:r>
        <w:t xml:space="preserve">EMPLOYMENT AND SOCIAL </w:t>
      </w:r>
      <w:r w:rsidR="00B44261">
        <w:t>POLICY</w:t>
      </w:r>
    </w:p>
    <w:p w:rsidR="00B44261" w:rsidRDefault="00B44261" w:rsidP="00B44261">
      <w:pPr>
        <w:pStyle w:val="Sub-itemApproved"/>
      </w:pPr>
      <w:bookmarkStart w:id="25" w:name="_Toc419199048"/>
      <w:r>
        <w:t>Functioning of committees</w:t>
      </w:r>
      <w:bookmarkEnd w:id="25"/>
    </w:p>
    <w:p w:rsidR="00AA5441" w:rsidRDefault="00AA5441" w:rsidP="00AA5441">
      <w:pPr>
        <w:tabs>
          <w:tab w:val="left" w:pos="1080"/>
        </w:tabs>
        <w:rPr>
          <w:iCs/>
        </w:rPr>
      </w:pPr>
      <w:r w:rsidRPr="00141088">
        <w:rPr>
          <w:iCs/>
        </w:rPr>
        <w:t xml:space="preserve">The Council adopted decisions </w:t>
      </w:r>
      <w:r>
        <w:rPr>
          <w:iCs/>
        </w:rPr>
        <w:t xml:space="preserve">updating the </w:t>
      </w:r>
      <w:r w:rsidRPr="00141088">
        <w:rPr>
          <w:iCs/>
        </w:rPr>
        <w:t xml:space="preserve">functioning </w:t>
      </w:r>
      <w:r>
        <w:rPr>
          <w:iCs/>
        </w:rPr>
        <w:t>of the</w:t>
      </w:r>
      <w:r w:rsidRPr="00141088">
        <w:rPr>
          <w:iCs/>
        </w:rPr>
        <w:t xml:space="preserve"> Employment Committee (EMCO) </w:t>
      </w:r>
      <w:r>
        <w:rPr>
          <w:iCs/>
        </w:rPr>
        <w:t xml:space="preserve">and the </w:t>
      </w:r>
      <w:r w:rsidRPr="00141088">
        <w:rPr>
          <w:iCs/>
        </w:rPr>
        <w:t xml:space="preserve">Social Protection Committee (SPC) </w:t>
      </w:r>
      <w:r>
        <w:rPr>
          <w:iCs/>
        </w:rPr>
        <w:t>(</w:t>
      </w:r>
      <w:hyperlink r:id="rId32" w:tooltip="http://data.consilium.europa.eu/doc/document/ST-7262-2015-INIT/en/pdf" w:history="1">
        <w:r w:rsidR="00AC048A" w:rsidRPr="00AC048A">
          <w:rPr>
            <w:rStyle w:val="Hyperlink"/>
            <w:i/>
          </w:rPr>
          <w:t>7262/15</w:t>
        </w:r>
      </w:hyperlink>
      <w:r w:rsidRPr="00AC048A">
        <w:rPr>
          <w:i/>
        </w:rPr>
        <w:t xml:space="preserve">, </w:t>
      </w:r>
      <w:hyperlink r:id="rId33" w:tooltip="http://data.consilium.europa.eu/doc/document/ST-7263-2015-INIT/en/pdf" w:history="1">
        <w:r w:rsidR="00AC048A">
          <w:rPr>
            <w:rStyle w:val="Hyperlink"/>
            <w:i/>
          </w:rPr>
          <w:t>7263/15</w:t>
        </w:r>
      </w:hyperlink>
      <w:r>
        <w:rPr>
          <w:iCs/>
        </w:rPr>
        <w:t>)</w:t>
      </w:r>
      <w:r w:rsidRPr="00141088">
        <w:rPr>
          <w:iCs/>
        </w:rPr>
        <w:t xml:space="preserve">. The decisions aim to enhance </w:t>
      </w:r>
      <w:r w:rsidR="00C07097">
        <w:rPr>
          <w:iCs/>
        </w:rPr>
        <w:t xml:space="preserve">the </w:t>
      </w:r>
      <w:r w:rsidRPr="00141088">
        <w:rPr>
          <w:iCs/>
        </w:rPr>
        <w:t>commit</w:t>
      </w:r>
      <w:r>
        <w:rPr>
          <w:iCs/>
        </w:rPr>
        <w:t>tees' efficiency and continuity.</w:t>
      </w:r>
    </w:p>
    <w:p w:rsidR="00AA5441" w:rsidRDefault="00AA5441" w:rsidP="00AA5441">
      <w:pPr>
        <w:tabs>
          <w:tab w:val="left" w:pos="1080"/>
        </w:tabs>
        <w:rPr>
          <w:iCs/>
        </w:rPr>
      </w:pPr>
      <w:r w:rsidRPr="00141088">
        <w:rPr>
          <w:iCs/>
        </w:rPr>
        <w:t>The functioning of EMCO and SPC is based on Council decisions dating back to 2000 and 2004 respectively. Since then many developments have taken place, including Treaty change in 2009.</w:t>
      </w:r>
    </w:p>
    <w:p w:rsidR="005777E7" w:rsidRDefault="00AA5441" w:rsidP="00AA5441">
      <w:pPr>
        <w:tabs>
          <w:tab w:val="left" w:pos="1080"/>
        </w:tabs>
        <w:rPr>
          <w:iCs/>
        </w:rPr>
      </w:pPr>
      <w:r w:rsidRPr="00141088">
        <w:rPr>
          <w:iCs/>
        </w:rPr>
        <w:t>The output of the committees needs to keep up with these changes and their functioning need</w:t>
      </w:r>
      <w:r>
        <w:rPr>
          <w:iCs/>
        </w:rPr>
        <w:t>ed</w:t>
      </w:r>
      <w:r w:rsidRPr="00141088">
        <w:rPr>
          <w:iCs/>
        </w:rPr>
        <w:t xml:space="preserve"> to be adjusted in order to ensure an effective input to the Council's work.</w:t>
      </w:r>
    </w:p>
    <w:p w:rsidR="005658AE" w:rsidRPr="005658AE" w:rsidRDefault="005777E7" w:rsidP="005777E7">
      <w:pPr>
        <w:pStyle w:val="ItemApproved"/>
      </w:pPr>
      <w:r>
        <w:br w:type="page"/>
      </w:r>
      <w:r w:rsidR="005658AE" w:rsidRPr="005658AE">
        <w:t>FOOD LAW</w:t>
      </w:r>
    </w:p>
    <w:p w:rsidR="005658AE" w:rsidRPr="005658AE" w:rsidRDefault="005658AE" w:rsidP="005658AE">
      <w:pPr>
        <w:pStyle w:val="Sub-itemApproved"/>
      </w:pPr>
      <w:bookmarkStart w:id="26" w:name="_Toc419199050"/>
      <w:r w:rsidRPr="005658AE">
        <w:t>Maximum levels for contaminants in foodstuffs</w:t>
      </w:r>
      <w:bookmarkEnd w:id="26"/>
    </w:p>
    <w:p w:rsidR="005658AE" w:rsidRPr="0039470C" w:rsidRDefault="005658AE" w:rsidP="005658AE">
      <w:pPr>
        <w:rPr>
          <w:b/>
          <w:bCs/>
        </w:rPr>
      </w:pPr>
      <w:r w:rsidRPr="00FB7164">
        <w:t xml:space="preserve">The Council decided not to oppose the adoption of </w:t>
      </w:r>
      <w:r>
        <w:t>the three following</w:t>
      </w:r>
      <w:r w:rsidRPr="00FB7164">
        <w:t xml:space="preserve"> Commission regulation</w:t>
      </w:r>
      <w:r>
        <w:t xml:space="preserve">s concerning </w:t>
      </w:r>
      <w:r w:rsidRPr="0039470C">
        <w:t>maximum levels for contaminants in foodstuffs</w:t>
      </w:r>
      <w:r>
        <w:t>:</w:t>
      </w:r>
    </w:p>
    <w:p w:rsidR="005658AE" w:rsidRPr="00C20E6F" w:rsidRDefault="005658AE" w:rsidP="005658AE">
      <w:pPr>
        <w:pStyle w:val="ListParagraph"/>
        <w:numPr>
          <w:ilvl w:val="0"/>
          <w:numId w:val="17"/>
        </w:numPr>
        <w:rPr>
          <w:lang w:val="en-GB"/>
        </w:rPr>
      </w:pPr>
      <w:r w:rsidRPr="00C20E6F">
        <w:rPr>
          <w:lang w:val="en-GB"/>
        </w:rPr>
        <w:t xml:space="preserve">a regulation </w:t>
      </w:r>
      <w:r>
        <w:t>reducing the dietary exposure to lead in food by lowering existing maximum levels and setting additional maximum levels for lead in relevant commodities (</w:t>
      </w:r>
      <w:hyperlink r:id="rId34" w:tooltip="http://data.consilium.europa.eu/doc/document/ST-7159-2015-INIT/en/pdf" w:history="1">
        <w:r>
          <w:rPr>
            <w:rStyle w:val="Hyperlink"/>
            <w:i/>
            <w:iCs/>
          </w:rPr>
          <w:t>7159/15</w:t>
        </w:r>
      </w:hyperlink>
      <w:r>
        <w:t>)</w:t>
      </w:r>
    </w:p>
    <w:p w:rsidR="005658AE" w:rsidRDefault="005658AE" w:rsidP="005658AE">
      <w:pPr>
        <w:pStyle w:val="ListParagraph"/>
        <w:numPr>
          <w:ilvl w:val="0"/>
          <w:numId w:val="17"/>
        </w:numPr>
        <w:rPr>
          <w:lang w:val="en-GB"/>
        </w:rPr>
      </w:pPr>
      <w:r>
        <w:rPr>
          <w:lang w:val="en-GB"/>
        </w:rPr>
        <w:t>a regulation amending or establishing new maximum levels of inorganic arsenic in foodstuffs (</w:t>
      </w:r>
      <w:hyperlink r:id="rId35" w:tooltip="http://data.consilium.europa.eu/doc/document/ST-7208-2015-INIT/en/pdf" w:history="1">
        <w:r>
          <w:rPr>
            <w:rStyle w:val="Hyperlink"/>
            <w:i/>
            <w:iCs/>
            <w:lang w:val="en-GB"/>
          </w:rPr>
          <w:t>7208/15</w:t>
        </w:r>
      </w:hyperlink>
      <w:r>
        <w:rPr>
          <w:lang w:val="en-GB"/>
        </w:rPr>
        <w:t>)</w:t>
      </w:r>
    </w:p>
    <w:p w:rsidR="005658AE" w:rsidRDefault="005658AE" w:rsidP="005658AE">
      <w:pPr>
        <w:pStyle w:val="ListParagraph"/>
        <w:numPr>
          <w:ilvl w:val="0"/>
          <w:numId w:val="17"/>
        </w:numPr>
        <w:rPr>
          <w:lang w:val="en-GB"/>
        </w:rPr>
      </w:pPr>
      <w:r>
        <w:rPr>
          <w:lang w:val="en-GB"/>
        </w:rPr>
        <w:t xml:space="preserve">a regulation </w:t>
      </w:r>
      <w:r w:rsidR="00C07097">
        <w:rPr>
          <w:lang w:val="en-GB"/>
        </w:rPr>
        <w:t xml:space="preserve">amending the maximum levels of </w:t>
      </w:r>
      <w:r>
        <w:rPr>
          <w:lang w:val="en-GB"/>
        </w:rPr>
        <w:t xml:space="preserve">polycyclic aromatic hydrocarbons in </w:t>
      </w:r>
      <w:proofErr w:type="spellStart"/>
      <w:r>
        <w:rPr>
          <w:lang w:val="en-GB"/>
        </w:rPr>
        <w:t>Katsuobushi</w:t>
      </w:r>
      <w:proofErr w:type="spellEnd"/>
      <w:r>
        <w:rPr>
          <w:lang w:val="en-GB"/>
        </w:rPr>
        <w:t>, a traditional Japanese food, and certain smoked Baltic herring (</w:t>
      </w:r>
      <w:hyperlink r:id="rId36" w:tooltip="http://data.consilium.europa.eu/doc/document/ST-7620-2015-INIT/en/pdf" w:history="1">
        <w:r>
          <w:rPr>
            <w:rStyle w:val="Hyperlink"/>
            <w:i/>
            <w:iCs/>
            <w:lang w:val="en-GB"/>
          </w:rPr>
          <w:t>7620/15</w:t>
        </w:r>
      </w:hyperlink>
      <w:r>
        <w:rPr>
          <w:lang w:val="en-GB"/>
        </w:rPr>
        <w:t>)</w:t>
      </w:r>
    </w:p>
    <w:p w:rsidR="005658AE" w:rsidRDefault="005658AE" w:rsidP="005658AE">
      <w:r>
        <w:t>The Commission re</w:t>
      </w:r>
      <w:r w:rsidR="00C07097">
        <w:t>gulations are subject to the so-</w:t>
      </w:r>
      <w:r>
        <w:t xml:space="preserve">called </w:t>
      </w:r>
      <w:r w:rsidR="00C07097">
        <w:t>"</w:t>
      </w:r>
      <w:r w:rsidRPr="00FB7164">
        <w:t>regulatory procedure with scrutiny</w:t>
      </w:r>
      <w:r w:rsidR="00C07097">
        <w:t>"</w:t>
      </w:r>
      <w:r>
        <w:t>. This means that now that the Council has given its consent, the Commission may adopt them, unless the European Parliament objects.</w:t>
      </w:r>
    </w:p>
    <w:p w:rsidR="005658AE" w:rsidRPr="005658AE" w:rsidRDefault="005658AE" w:rsidP="005658AE">
      <w:pPr>
        <w:pStyle w:val="Sub-itemApproved"/>
      </w:pPr>
      <w:bookmarkStart w:id="27" w:name="_Toc419199051"/>
      <w:r w:rsidRPr="005658AE">
        <w:t>Health claims on foods</w:t>
      </w:r>
      <w:bookmarkEnd w:id="27"/>
    </w:p>
    <w:p w:rsidR="005658AE" w:rsidRPr="0039470C" w:rsidRDefault="005658AE" w:rsidP="005658AE">
      <w:pPr>
        <w:rPr>
          <w:b/>
          <w:bCs/>
        </w:rPr>
      </w:pPr>
      <w:r w:rsidRPr="00FB7164">
        <w:t xml:space="preserve">The Council decided not to oppose the adoption of </w:t>
      </w:r>
      <w:r>
        <w:t>the two following</w:t>
      </w:r>
      <w:r w:rsidRPr="00FB7164">
        <w:t xml:space="preserve"> Commission regulation</w:t>
      </w:r>
      <w:r>
        <w:t>s related to health claims made on foods:</w:t>
      </w:r>
    </w:p>
    <w:p w:rsidR="005658AE" w:rsidRPr="00C20E6F" w:rsidRDefault="005658AE" w:rsidP="005658AE">
      <w:pPr>
        <w:pStyle w:val="ListParagraph"/>
        <w:numPr>
          <w:ilvl w:val="0"/>
          <w:numId w:val="17"/>
        </w:numPr>
        <w:rPr>
          <w:lang w:val="en-GB"/>
        </w:rPr>
      </w:pPr>
      <w:r w:rsidRPr="00C20E6F">
        <w:rPr>
          <w:lang w:val="en-GB"/>
        </w:rPr>
        <w:t xml:space="preserve">a regulation </w:t>
      </w:r>
      <w:r>
        <w:rPr>
          <w:lang w:val="en-GB"/>
        </w:rPr>
        <w:t>refusing to authorise certain health claims made on foods, other than those referring to the reduction of disease risk and to children's development and health (</w:t>
      </w:r>
      <w:hyperlink r:id="rId37" w:tooltip="http://data.consilium.europa.eu/doc/document/ST-7326-2015-INIT/en/pdf" w:history="1">
        <w:r>
          <w:rPr>
            <w:rStyle w:val="Hyperlink"/>
            <w:i/>
            <w:iCs/>
            <w:lang w:val="en-GB"/>
          </w:rPr>
          <w:t>7326/15</w:t>
        </w:r>
      </w:hyperlink>
      <w:r>
        <w:rPr>
          <w:lang w:val="en-GB"/>
        </w:rPr>
        <w:t>)</w:t>
      </w:r>
    </w:p>
    <w:p w:rsidR="005658AE" w:rsidRDefault="005658AE" w:rsidP="005658AE">
      <w:pPr>
        <w:pStyle w:val="ListParagraph"/>
        <w:numPr>
          <w:ilvl w:val="0"/>
          <w:numId w:val="17"/>
        </w:numPr>
        <w:rPr>
          <w:lang w:val="en-GB"/>
        </w:rPr>
      </w:pPr>
      <w:r>
        <w:rPr>
          <w:lang w:val="en-GB"/>
        </w:rPr>
        <w:t>a regulation refusing to authorise certain health claims made on foods and referring to the reduction of disease risk (</w:t>
      </w:r>
      <w:hyperlink r:id="rId38" w:tooltip="http://data.consilium.europa.eu/doc/document/ST-7390-2015-INIT/en/pdf" w:history="1">
        <w:r>
          <w:rPr>
            <w:rStyle w:val="Hyperlink"/>
            <w:i/>
            <w:iCs/>
            <w:lang w:val="en-GB"/>
          </w:rPr>
          <w:t>7390/15</w:t>
        </w:r>
      </w:hyperlink>
      <w:r>
        <w:rPr>
          <w:lang w:val="en-GB"/>
        </w:rPr>
        <w:t>)</w:t>
      </w:r>
    </w:p>
    <w:p w:rsidR="005658AE" w:rsidRDefault="005658AE" w:rsidP="005658AE">
      <w:r>
        <w:t>The Commission re</w:t>
      </w:r>
      <w:r w:rsidR="00C07097">
        <w:t>gulations are subject to the so-</w:t>
      </w:r>
      <w:r>
        <w:t xml:space="preserve">called </w:t>
      </w:r>
      <w:r w:rsidR="00C07097">
        <w:t>"</w:t>
      </w:r>
      <w:r w:rsidRPr="00FB7164">
        <w:t>regulatory procedure with scrutiny</w:t>
      </w:r>
      <w:r w:rsidR="00C07097">
        <w:t>"</w:t>
      </w:r>
      <w:r>
        <w:t>. This means that now that the Council has given its consent, the Commission may adopt them, unless the European Parliament objects.</w:t>
      </w:r>
    </w:p>
    <w:p w:rsidR="005658AE" w:rsidRPr="005658AE" w:rsidRDefault="005777E7" w:rsidP="005658AE">
      <w:pPr>
        <w:pStyle w:val="Sub-itemApproved"/>
      </w:pPr>
      <w:r>
        <w:br w:type="page"/>
      </w:r>
      <w:bookmarkStart w:id="28" w:name="_Toc419199052"/>
      <w:r w:rsidR="005658AE" w:rsidRPr="005658AE">
        <w:t>Removal of flavourings from EU list</w:t>
      </w:r>
      <w:bookmarkEnd w:id="28"/>
    </w:p>
    <w:p w:rsidR="005658AE" w:rsidRDefault="005658AE" w:rsidP="005658AE">
      <w:r w:rsidRPr="00FB7164">
        <w:t xml:space="preserve">The Council decided not to oppose the adoption of </w:t>
      </w:r>
      <w:r>
        <w:t>a</w:t>
      </w:r>
      <w:r w:rsidRPr="00FB7164">
        <w:t xml:space="preserve"> Commission regulation</w:t>
      </w:r>
      <w:r>
        <w:t xml:space="preserve"> removing certain flavouring substances from the EU list of flavourings approved for use in and on foods listed in annex I to regulation 1334/2008 (</w:t>
      </w:r>
      <w:hyperlink r:id="rId39" w:tooltip="http://data.consilium.europa.eu/doc/document/ST-7498-2015-INIT/en/pdf" w:history="1">
        <w:r>
          <w:rPr>
            <w:rStyle w:val="Hyperlink"/>
            <w:i/>
            <w:iCs/>
          </w:rPr>
          <w:t>7498/15</w:t>
        </w:r>
      </w:hyperlink>
      <w:r>
        <w:t>).</w:t>
      </w:r>
    </w:p>
    <w:p w:rsidR="005658AE" w:rsidRPr="00877662" w:rsidRDefault="005658AE" w:rsidP="00C07097">
      <w:r>
        <w:t>The Commission regulation is subject to the so</w:t>
      </w:r>
      <w:r w:rsidR="00C07097">
        <w:t>-</w:t>
      </w:r>
      <w:r>
        <w:t xml:space="preserve">called </w:t>
      </w:r>
      <w:r w:rsidR="00C07097">
        <w:t>"</w:t>
      </w:r>
      <w:r w:rsidRPr="00FB7164">
        <w:t>regulatory procedure with scrutiny</w:t>
      </w:r>
      <w:r w:rsidR="00C07097">
        <w:t>"</w:t>
      </w:r>
      <w:r>
        <w:t>. This means that now that the Council has given its consent, the Commission may adopt it, unless the European Parliament objects.</w:t>
      </w:r>
    </w:p>
    <w:p w:rsidR="005658AE" w:rsidRPr="007808BB" w:rsidRDefault="005658AE" w:rsidP="005658AE">
      <w:pPr>
        <w:pStyle w:val="Sub-itemApproved"/>
        <w:rPr>
          <w:b w:val="0"/>
          <w:bCs/>
        </w:rPr>
      </w:pPr>
      <w:bookmarkStart w:id="29" w:name="_Toc419199053"/>
      <w:r w:rsidRPr="007808BB">
        <w:rPr>
          <w:bCs/>
        </w:rPr>
        <w:t xml:space="preserve">Maximum level for </w:t>
      </w:r>
      <w:proofErr w:type="spellStart"/>
      <w:r w:rsidRPr="007808BB">
        <w:rPr>
          <w:bCs/>
        </w:rPr>
        <w:t>ochratoxin</w:t>
      </w:r>
      <w:proofErr w:type="spellEnd"/>
      <w:r w:rsidRPr="007808BB">
        <w:rPr>
          <w:bCs/>
        </w:rPr>
        <w:t xml:space="preserve"> A</w:t>
      </w:r>
      <w:bookmarkEnd w:id="29"/>
    </w:p>
    <w:p w:rsidR="005658AE" w:rsidRPr="00FB7164" w:rsidRDefault="005658AE" w:rsidP="005658AE">
      <w:r w:rsidRPr="00FB7164">
        <w:t xml:space="preserve">The Council decided not to oppose the adoption of a Commission </w:t>
      </w:r>
      <w:r>
        <w:t xml:space="preserve">regulation setting a new maximum level for </w:t>
      </w:r>
      <w:proofErr w:type="spellStart"/>
      <w:r>
        <w:t>ochratoxin</w:t>
      </w:r>
      <w:proofErr w:type="spellEnd"/>
      <w:r>
        <w:t xml:space="preserve"> A in </w:t>
      </w:r>
      <w:r w:rsidRPr="007C79F0">
        <w:rPr>
          <w:i/>
        </w:rPr>
        <w:t xml:space="preserve">Capsicum </w:t>
      </w:r>
      <w:r w:rsidRPr="007504F1">
        <w:t>s</w:t>
      </w:r>
      <w:r w:rsidRPr="008E34C2">
        <w:t>pp</w:t>
      </w:r>
      <w:r w:rsidRPr="007504F1">
        <w:t>.</w:t>
      </w:r>
      <w:r>
        <w:t xml:space="preserve"> spices (</w:t>
      </w:r>
      <w:hyperlink r:id="rId40" w:tooltip="http://data.consilium.europa.eu/doc/document/ST-7655-2015-INIT/en/pdf" w:history="1">
        <w:r>
          <w:rPr>
            <w:rStyle w:val="Hyperlink"/>
            <w:i/>
            <w:iCs/>
          </w:rPr>
          <w:t>7655/15</w:t>
        </w:r>
      </w:hyperlink>
      <w:r>
        <w:t>).</w:t>
      </w:r>
    </w:p>
    <w:p w:rsidR="005658AE" w:rsidRPr="00FB7164" w:rsidRDefault="005658AE" w:rsidP="005658AE">
      <w:r>
        <w:t xml:space="preserve">The Commission </w:t>
      </w:r>
      <w:r w:rsidR="00C07097">
        <w:t>regulation is subject to the so-</w:t>
      </w:r>
      <w:r>
        <w:t xml:space="preserve">called </w:t>
      </w:r>
      <w:r w:rsidR="00C07097">
        <w:t>"</w:t>
      </w:r>
      <w:r w:rsidRPr="00FB7164">
        <w:t>regulatory procedure with scrutiny</w:t>
      </w:r>
      <w:r w:rsidR="00C07097">
        <w:t>"</w:t>
      </w:r>
      <w:r>
        <w:t>. This means that now that the Council has given its consent, the Commission may adopt it, unless the European Parliament objects.</w:t>
      </w:r>
    </w:p>
    <w:p w:rsidR="005658AE" w:rsidRPr="00C001F8" w:rsidRDefault="005658AE" w:rsidP="005658AE">
      <w:pPr>
        <w:pStyle w:val="ItemApproved"/>
      </w:pPr>
      <w:r w:rsidRPr="00C001F8">
        <w:t>HEALTH</w:t>
      </w:r>
    </w:p>
    <w:p w:rsidR="005658AE" w:rsidRPr="00C001F8" w:rsidRDefault="005658AE" w:rsidP="005658AE">
      <w:pPr>
        <w:pStyle w:val="Sub-itemApproved"/>
      </w:pPr>
      <w:bookmarkStart w:id="30" w:name="_Toc419199055"/>
      <w:r w:rsidRPr="00C001F8">
        <w:t>Alignment of transposition deadlines of tobacco directives</w:t>
      </w:r>
      <w:bookmarkEnd w:id="30"/>
    </w:p>
    <w:p w:rsidR="005658AE" w:rsidRDefault="005658AE" w:rsidP="005658AE">
      <w:r w:rsidRPr="00FB7164">
        <w:t xml:space="preserve">The Council decided not to oppose the adoption of a Commission </w:t>
      </w:r>
      <w:r>
        <w:t xml:space="preserve">directive aimed at aligning the transposition deadlines and periods of two directives on tobacco products. The two directives concerned are Commission directive 2012/9 amending annex I to directive 2001/37 on the approximation of member states' laws on the manufacture, presentation and sale of tobacco products and the new </w:t>
      </w:r>
      <w:r w:rsidR="00C07097">
        <w:t xml:space="preserve">Tobacco Product </w:t>
      </w:r>
      <w:r>
        <w:t>directive 2014/40 (</w:t>
      </w:r>
      <w:hyperlink r:id="rId41" w:tooltip="http://data.consilium.europa.eu/doc/document/ST-7663-2015-INIT/en/pdf" w:history="1">
        <w:r>
          <w:rPr>
            <w:rStyle w:val="Hyperlink"/>
            <w:i/>
            <w:iCs/>
          </w:rPr>
          <w:t>7663/15</w:t>
        </w:r>
      </w:hyperlink>
      <w:r>
        <w:t>).</w:t>
      </w:r>
    </w:p>
    <w:p w:rsidR="005658AE" w:rsidRDefault="005658AE" w:rsidP="005658AE">
      <w:r>
        <w:t>The Commission</w:t>
      </w:r>
      <w:r w:rsidR="00C07097">
        <w:t xml:space="preserve"> directive is subject to the so-</w:t>
      </w:r>
      <w:r>
        <w:t xml:space="preserve">called </w:t>
      </w:r>
      <w:r w:rsidR="00C07097">
        <w:t>"</w:t>
      </w:r>
      <w:r w:rsidRPr="00FB7164">
        <w:t>regulatory procedure with scrutiny</w:t>
      </w:r>
      <w:r w:rsidR="00C07097">
        <w:t>"</w:t>
      </w:r>
      <w:r>
        <w:t>. This means that now that the Council has given its consent, the Commission may adopt it, unless the European Parliament objects.</w:t>
      </w:r>
    </w:p>
    <w:p w:rsidR="00895676" w:rsidRPr="00876110" w:rsidRDefault="00895676" w:rsidP="00876110">
      <w:pPr>
        <w:pStyle w:val="FinalLine"/>
      </w:pPr>
    </w:p>
    <w:sectPr w:rsidR="00895676" w:rsidRPr="00876110" w:rsidSect="00ED7EC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10" w:rsidRDefault="00876110">
      <w:pPr>
        <w:spacing w:before="0" w:after="0"/>
      </w:pPr>
      <w:r>
        <w:separator/>
      </w:r>
    </w:p>
  </w:endnote>
  <w:endnote w:type="continuationSeparator" w:id="0">
    <w:p w:rsidR="00876110" w:rsidRDefault="008761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D7EC1" w:rsidRPr="007410E8" w:rsidTr="00ED7EC1">
      <w:trPr>
        <w:jc w:val="center"/>
      </w:trPr>
      <w:tc>
        <w:tcPr>
          <w:tcW w:w="2604" w:type="pct"/>
          <w:shd w:val="clear" w:color="auto" w:fill="auto"/>
        </w:tcPr>
        <w:p w:rsidR="00ED7EC1" w:rsidRPr="007410E8" w:rsidRDefault="00ED7EC1" w:rsidP="0035025C">
          <w:pPr>
            <w:pStyle w:val="FooterText"/>
            <w:rPr>
              <w:sz w:val="16"/>
              <w:szCs w:val="16"/>
            </w:rPr>
          </w:pPr>
          <w:bookmarkStart w:id="2" w:name="FOOTER_PR_STANDARD"/>
        </w:p>
      </w:tc>
      <w:tc>
        <w:tcPr>
          <w:tcW w:w="1319" w:type="pct"/>
          <w:shd w:val="clear" w:color="auto" w:fill="auto"/>
        </w:tcPr>
        <w:p w:rsidR="00ED7EC1" w:rsidRPr="007410E8" w:rsidRDefault="00ED7EC1" w:rsidP="0035025C">
          <w:pPr>
            <w:pStyle w:val="FooterText"/>
            <w:rPr>
              <w:sz w:val="16"/>
              <w:szCs w:val="16"/>
            </w:rPr>
          </w:pPr>
        </w:p>
      </w:tc>
      <w:tc>
        <w:tcPr>
          <w:tcW w:w="1077" w:type="pct"/>
          <w:shd w:val="clear" w:color="auto" w:fill="auto"/>
        </w:tcPr>
        <w:p w:rsidR="00ED7EC1" w:rsidRPr="007410E8" w:rsidRDefault="00ED7EC1" w:rsidP="0035025C">
          <w:pPr>
            <w:pStyle w:val="FooterText"/>
            <w:jc w:val="right"/>
            <w:rPr>
              <w:sz w:val="16"/>
              <w:szCs w:val="16"/>
            </w:rPr>
          </w:pPr>
        </w:p>
      </w:tc>
    </w:tr>
    <w:tr w:rsidR="00ED7EC1" w:rsidRPr="007410E8" w:rsidTr="00ED7EC1">
      <w:trPr>
        <w:jc w:val="center"/>
      </w:trPr>
      <w:tc>
        <w:tcPr>
          <w:tcW w:w="2604" w:type="pct"/>
          <w:shd w:val="clear" w:color="auto" w:fill="auto"/>
        </w:tcPr>
        <w:p w:rsidR="00ED7EC1" w:rsidRPr="007410E8" w:rsidRDefault="00ED7EC1" w:rsidP="0035025C">
          <w:pPr>
            <w:pStyle w:val="FooterText"/>
            <w:rPr>
              <w:sz w:val="16"/>
            </w:rPr>
          </w:pPr>
          <w:r>
            <w:t>8671/15</w:t>
          </w:r>
          <w:r w:rsidRPr="002511D8">
            <w:t xml:space="preserve"> </w:t>
          </w:r>
        </w:p>
      </w:tc>
      <w:tc>
        <w:tcPr>
          <w:tcW w:w="1319" w:type="pct"/>
          <w:shd w:val="clear" w:color="auto" w:fill="auto"/>
        </w:tcPr>
        <w:p w:rsidR="00ED7EC1" w:rsidRPr="007410E8" w:rsidRDefault="00ED7EC1" w:rsidP="0035025C">
          <w:pPr>
            <w:pStyle w:val="FooterText"/>
            <w:rPr>
              <w:sz w:val="16"/>
            </w:rPr>
          </w:pPr>
        </w:p>
      </w:tc>
      <w:tc>
        <w:tcPr>
          <w:tcW w:w="1077" w:type="pct"/>
          <w:shd w:val="clear" w:color="auto" w:fill="auto"/>
        </w:tcPr>
        <w:p w:rsidR="00ED7EC1" w:rsidRPr="007410E8" w:rsidRDefault="00ED7EC1" w:rsidP="0035025C">
          <w:pPr>
            <w:pStyle w:val="FooterText"/>
            <w:jc w:val="right"/>
            <w:rPr>
              <w:sz w:val="16"/>
            </w:rPr>
          </w:pPr>
          <w:r>
            <w:fldChar w:fldCharType="begin"/>
          </w:r>
          <w:r>
            <w:instrText xml:space="preserve"> PAGE  \* MERGEFORMAT </w:instrText>
          </w:r>
          <w:r>
            <w:fldChar w:fldCharType="separate"/>
          </w:r>
          <w:r w:rsidR="00420D4A">
            <w:rPr>
              <w:noProof/>
            </w:rPr>
            <w:t>12</w:t>
          </w:r>
          <w:r>
            <w:fldChar w:fldCharType="end"/>
          </w:r>
        </w:p>
      </w:tc>
    </w:tr>
    <w:tr w:rsidR="00ED7EC1" w:rsidRPr="007410E8" w:rsidTr="00ED7EC1">
      <w:trPr>
        <w:jc w:val="center"/>
      </w:trPr>
      <w:tc>
        <w:tcPr>
          <w:tcW w:w="2604" w:type="pct"/>
          <w:shd w:val="clear" w:color="auto" w:fill="auto"/>
        </w:tcPr>
        <w:p w:rsidR="00ED7EC1" w:rsidRPr="007410E8" w:rsidRDefault="00ED7EC1" w:rsidP="0035025C">
          <w:pPr>
            <w:pStyle w:val="FooterText"/>
            <w:rPr>
              <w:sz w:val="16"/>
            </w:rPr>
          </w:pPr>
        </w:p>
      </w:tc>
      <w:tc>
        <w:tcPr>
          <w:tcW w:w="1319" w:type="pct"/>
          <w:shd w:val="clear" w:color="auto" w:fill="auto"/>
        </w:tcPr>
        <w:p w:rsidR="00ED7EC1" w:rsidRPr="007410E8" w:rsidRDefault="00ED7EC1" w:rsidP="0035025C">
          <w:pPr>
            <w:pStyle w:val="FooterText"/>
            <w:rPr>
              <w:sz w:val="16"/>
            </w:rPr>
          </w:pPr>
        </w:p>
      </w:tc>
      <w:tc>
        <w:tcPr>
          <w:tcW w:w="1077" w:type="pct"/>
          <w:shd w:val="clear" w:color="auto" w:fill="auto"/>
        </w:tcPr>
        <w:p w:rsidR="00ED7EC1" w:rsidRPr="007410E8" w:rsidRDefault="00ED7EC1" w:rsidP="0035025C">
          <w:pPr>
            <w:pStyle w:val="FooterText"/>
            <w:jc w:val="right"/>
            <w:rPr>
              <w:sz w:val="16"/>
            </w:rPr>
          </w:pPr>
          <w:r>
            <w:rPr>
              <w:b/>
              <w:position w:val="-4"/>
              <w:sz w:val="36"/>
            </w:rPr>
            <w:t>EN</w:t>
          </w:r>
        </w:p>
      </w:tc>
    </w:tr>
    <w:bookmarkEnd w:id="2"/>
  </w:tbl>
  <w:p w:rsidR="00926EAF" w:rsidRPr="00ED7EC1" w:rsidRDefault="00926EAF" w:rsidP="00ED7EC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D7EC1" w:rsidRPr="009C2FB3" w:rsidTr="00ED7EC1">
      <w:trPr>
        <w:jc w:val="center"/>
      </w:trPr>
      <w:tc>
        <w:tcPr>
          <w:tcW w:w="569" w:type="pct"/>
          <w:shd w:val="clear" w:color="auto" w:fill="auto"/>
        </w:tcPr>
        <w:p w:rsidR="00ED7EC1" w:rsidRPr="009C2FB3" w:rsidRDefault="00ED7EC1" w:rsidP="0035025C">
          <w:pPr>
            <w:pStyle w:val="FooterText"/>
          </w:pPr>
          <w:bookmarkStart w:id="3" w:name="FOOTER_PR_COVERPAGE"/>
        </w:p>
      </w:tc>
      <w:tc>
        <w:tcPr>
          <w:tcW w:w="3760" w:type="pct"/>
          <w:gridSpan w:val="3"/>
          <w:shd w:val="clear" w:color="auto" w:fill="auto"/>
          <w:noWrap/>
        </w:tcPr>
        <w:p w:rsidR="00ED7EC1" w:rsidRPr="00F37CD6" w:rsidRDefault="00ED7EC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ED7EC1" w:rsidRPr="009C2FB3" w:rsidRDefault="00ED7EC1" w:rsidP="0035025C">
          <w:pPr>
            <w:pStyle w:val="FooterText"/>
          </w:pPr>
        </w:p>
      </w:tc>
    </w:tr>
    <w:tr w:rsidR="00ED7EC1" w:rsidRPr="00ED7EC1" w:rsidTr="00ED7EC1">
      <w:trPr>
        <w:jc w:val="center"/>
      </w:trPr>
      <w:tc>
        <w:tcPr>
          <w:tcW w:w="5000" w:type="pct"/>
          <w:gridSpan w:val="5"/>
          <w:shd w:val="clear" w:color="auto" w:fill="auto"/>
        </w:tcPr>
        <w:p w:rsidR="00ED7EC1" w:rsidRPr="00ED7EC1" w:rsidRDefault="00ED7EC1" w:rsidP="0035025C">
          <w:pPr>
            <w:pStyle w:val="FooterAddressText"/>
            <w:rPr>
              <w:lang w:val="fr-BE"/>
            </w:rPr>
          </w:pPr>
        </w:p>
        <w:p w:rsidR="00ED7EC1" w:rsidRPr="00ED7EC1" w:rsidRDefault="00ED7EC1" w:rsidP="0035025C">
          <w:pPr>
            <w:pStyle w:val="FooterAddressText"/>
            <w:rPr>
              <w:lang w:val="fr-BE"/>
            </w:rPr>
          </w:pPr>
          <w:r w:rsidRPr="00ED7EC1">
            <w:rPr>
              <w:lang w:val="fr-BE"/>
            </w:rPr>
            <w:t>Rue de la Loi 175  B – 1048 BRUSSELS  Tel.: +32 (0)2 281 6319  Fax: +32 (0)2 281 8026</w:t>
          </w:r>
        </w:p>
      </w:tc>
    </w:tr>
    <w:tr w:rsidR="00ED7EC1" w:rsidRPr="00ED7EC1" w:rsidTr="00ED7EC1">
      <w:trPr>
        <w:jc w:val="center"/>
      </w:trPr>
      <w:tc>
        <w:tcPr>
          <w:tcW w:w="5000" w:type="pct"/>
          <w:gridSpan w:val="5"/>
          <w:shd w:val="clear" w:color="auto" w:fill="auto"/>
        </w:tcPr>
        <w:p w:rsidR="00ED7EC1" w:rsidRPr="00ED7EC1" w:rsidRDefault="00ED7EC1" w:rsidP="0035025C">
          <w:pPr>
            <w:pStyle w:val="FooterText"/>
            <w:jc w:val="center"/>
            <w:rPr>
              <w:sz w:val="20"/>
              <w:szCs w:val="20"/>
              <w:lang w:val="fr-BE"/>
            </w:rPr>
          </w:pPr>
          <w:hyperlink r:id="rId1" w:history="1">
            <w:r w:rsidRPr="00ED7EC1">
              <w:rPr>
                <w:rStyle w:val="Hyperlink"/>
                <w:sz w:val="20"/>
                <w:lang w:val="fr-BE"/>
              </w:rPr>
              <w:t>press.office@consilium.europa.eu</w:t>
            </w:r>
          </w:hyperlink>
          <w:r w:rsidRPr="00ED7EC1">
            <w:rPr>
              <w:sz w:val="20"/>
              <w:szCs w:val="20"/>
              <w:lang w:val="fr-BE"/>
            </w:rPr>
            <w:t xml:space="preserve">  </w:t>
          </w:r>
          <w:hyperlink r:id="rId2" w:history="1">
            <w:r w:rsidRPr="00ED7EC1">
              <w:rPr>
                <w:rStyle w:val="Hyperlink"/>
                <w:sz w:val="20"/>
                <w:lang w:val="fr-BE"/>
              </w:rPr>
              <w:t>http://www.consilium.europa.eu/press</w:t>
            </w:r>
          </w:hyperlink>
        </w:p>
      </w:tc>
    </w:tr>
    <w:tr w:rsidR="00ED7EC1" w:rsidRPr="007410E8" w:rsidTr="00ED7EC1">
      <w:trPr>
        <w:jc w:val="center"/>
      </w:trPr>
      <w:tc>
        <w:tcPr>
          <w:tcW w:w="2604" w:type="pct"/>
          <w:gridSpan w:val="2"/>
          <w:shd w:val="clear" w:color="auto" w:fill="auto"/>
        </w:tcPr>
        <w:p w:rsidR="00ED7EC1" w:rsidRPr="007410E8" w:rsidRDefault="00ED7EC1" w:rsidP="0035025C">
          <w:pPr>
            <w:pStyle w:val="FooterText"/>
            <w:spacing w:before="60"/>
            <w:rPr>
              <w:sz w:val="16"/>
            </w:rPr>
          </w:pPr>
          <w:r>
            <w:t>8671/15</w:t>
          </w:r>
          <w:r w:rsidRPr="002511D8">
            <w:t xml:space="preserve"> </w:t>
          </w:r>
        </w:p>
      </w:tc>
      <w:tc>
        <w:tcPr>
          <w:tcW w:w="1319" w:type="pct"/>
          <w:shd w:val="clear" w:color="auto" w:fill="auto"/>
        </w:tcPr>
        <w:p w:rsidR="00ED7EC1" w:rsidRPr="007410E8" w:rsidRDefault="00ED7EC1" w:rsidP="0035025C">
          <w:pPr>
            <w:pStyle w:val="FooterText"/>
            <w:spacing w:before="120"/>
            <w:rPr>
              <w:sz w:val="16"/>
            </w:rPr>
          </w:pPr>
        </w:p>
      </w:tc>
      <w:tc>
        <w:tcPr>
          <w:tcW w:w="1077" w:type="pct"/>
          <w:gridSpan w:val="2"/>
          <w:shd w:val="clear" w:color="auto" w:fill="auto"/>
        </w:tcPr>
        <w:p w:rsidR="00ED7EC1" w:rsidRPr="007410E8" w:rsidRDefault="00ED7EC1" w:rsidP="0035025C">
          <w:pPr>
            <w:pStyle w:val="FooterText"/>
            <w:spacing w:before="60"/>
            <w:jc w:val="right"/>
            <w:rPr>
              <w:sz w:val="16"/>
            </w:rPr>
          </w:pPr>
          <w:r>
            <w:fldChar w:fldCharType="begin"/>
          </w:r>
          <w:r>
            <w:instrText xml:space="preserve"> PAGE  \* MERGEFORMAT </w:instrText>
          </w:r>
          <w:r>
            <w:fldChar w:fldCharType="separate"/>
          </w:r>
          <w:r w:rsidR="00420D4A">
            <w:rPr>
              <w:noProof/>
            </w:rPr>
            <w:t>1</w:t>
          </w:r>
          <w:r>
            <w:fldChar w:fldCharType="end"/>
          </w:r>
        </w:p>
      </w:tc>
    </w:tr>
    <w:tr w:rsidR="00ED7EC1" w:rsidRPr="007410E8" w:rsidTr="00ED7EC1">
      <w:trPr>
        <w:jc w:val="center"/>
      </w:trPr>
      <w:tc>
        <w:tcPr>
          <w:tcW w:w="2604" w:type="pct"/>
          <w:gridSpan w:val="2"/>
          <w:shd w:val="clear" w:color="auto" w:fill="auto"/>
        </w:tcPr>
        <w:p w:rsidR="00ED7EC1" w:rsidRPr="007410E8" w:rsidRDefault="00ED7EC1" w:rsidP="0035025C">
          <w:pPr>
            <w:pStyle w:val="FooterText"/>
            <w:rPr>
              <w:sz w:val="16"/>
            </w:rPr>
          </w:pPr>
        </w:p>
      </w:tc>
      <w:tc>
        <w:tcPr>
          <w:tcW w:w="1319" w:type="pct"/>
          <w:shd w:val="clear" w:color="auto" w:fill="auto"/>
        </w:tcPr>
        <w:p w:rsidR="00ED7EC1" w:rsidRPr="007410E8" w:rsidRDefault="00ED7EC1" w:rsidP="0035025C">
          <w:pPr>
            <w:pStyle w:val="FooterText"/>
            <w:rPr>
              <w:sz w:val="16"/>
            </w:rPr>
          </w:pPr>
        </w:p>
      </w:tc>
      <w:tc>
        <w:tcPr>
          <w:tcW w:w="1077" w:type="pct"/>
          <w:gridSpan w:val="2"/>
          <w:shd w:val="clear" w:color="auto" w:fill="auto"/>
        </w:tcPr>
        <w:p w:rsidR="00ED7EC1" w:rsidRPr="007410E8" w:rsidRDefault="00ED7EC1" w:rsidP="0035025C">
          <w:pPr>
            <w:pStyle w:val="FooterText"/>
            <w:jc w:val="right"/>
            <w:rPr>
              <w:sz w:val="16"/>
            </w:rPr>
          </w:pPr>
          <w:r>
            <w:rPr>
              <w:b/>
              <w:position w:val="-4"/>
              <w:sz w:val="36"/>
            </w:rPr>
            <w:t>EN</w:t>
          </w:r>
        </w:p>
      </w:tc>
    </w:tr>
    <w:bookmarkEnd w:id="3"/>
  </w:tbl>
  <w:p w:rsidR="00926EAF" w:rsidRPr="00ED7EC1" w:rsidRDefault="00926EAF" w:rsidP="00ED7EC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D7EC1" w:rsidRPr="007410E8" w:rsidTr="00ED7EC1">
      <w:trPr>
        <w:jc w:val="center"/>
      </w:trPr>
      <w:tc>
        <w:tcPr>
          <w:tcW w:w="5000" w:type="pct"/>
          <w:gridSpan w:val="3"/>
          <w:shd w:val="clear" w:color="auto" w:fill="auto"/>
        </w:tcPr>
        <w:p w:rsidR="00ED7EC1" w:rsidRPr="007410E8" w:rsidRDefault="00ED7EC1"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ED7EC1" w:rsidRPr="007410E8" w:rsidRDefault="00ED7EC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ED7EC1" w:rsidRPr="007410E8" w:rsidRDefault="00ED7EC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ED7EC1" w:rsidRPr="007410E8" w:rsidRDefault="00ED7EC1" w:rsidP="0035025C">
          <w:pPr>
            <w:pStyle w:val="FooterText"/>
            <w:tabs>
              <w:tab w:val="left" w:pos="285"/>
              <w:tab w:val="left" w:pos="585"/>
            </w:tabs>
            <w:rPr>
              <w:sz w:val="21"/>
              <w:szCs w:val="21"/>
            </w:rPr>
          </w:pPr>
        </w:p>
      </w:tc>
    </w:tr>
    <w:tr w:rsidR="00ED7EC1" w:rsidRPr="007410E8" w:rsidTr="00ED7EC1">
      <w:trPr>
        <w:jc w:val="center"/>
      </w:trPr>
      <w:tc>
        <w:tcPr>
          <w:tcW w:w="2604" w:type="pct"/>
          <w:shd w:val="clear" w:color="auto" w:fill="auto"/>
        </w:tcPr>
        <w:p w:rsidR="00ED7EC1" w:rsidRPr="007410E8" w:rsidRDefault="00ED7EC1" w:rsidP="0035025C">
          <w:pPr>
            <w:pStyle w:val="FooterText"/>
            <w:rPr>
              <w:sz w:val="16"/>
            </w:rPr>
          </w:pPr>
          <w:r>
            <w:t>8671/15</w:t>
          </w:r>
          <w:r w:rsidRPr="002511D8">
            <w:t xml:space="preserve"> </w:t>
          </w:r>
        </w:p>
      </w:tc>
      <w:tc>
        <w:tcPr>
          <w:tcW w:w="1319" w:type="pct"/>
          <w:shd w:val="clear" w:color="auto" w:fill="auto"/>
        </w:tcPr>
        <w:p w:rsidR="00ED7EC1" w:rsidRPr="007410E8" w:rsidRDefault="00ED7EC1" w:rsidP="0035025C">
          <w:pPr>
            <w:pStyle w:val="FooterText"/>
            <w:rPr>
              <w:sz w:val="16"/>
            </w:rPr>
          </w:pPr>
        </w:p>
      </w:tc>
      <w:tc>
        <w:tcPr>
          <w:tcW w:w="1077" w:type="pct"/>
          <w:shd w:val="clear" w:color="auto" w:fill="auto"/>
        </w:tcPr>
        <w:p w:rsidR="00ED7EC1" w:rsidRPr="007410E8" w:rsidRDefault="00ED7EC1" w:rsidP="0035025C">
          <w:pPr>
            <w:pStyle w:val="FooterText"/>
            <w:jc w:val="right"/>
            <w:rPr>
              <w:sz w:val="16"/>
            </w:rPr>
          </w:pPr>
          <w:r>
            <w:fldChar w:fldCharType="begin"/>
          </w:r>
          <w:r>
            <w:instrText xml:space="preserve"> PAGE  \* MERGEFORMAT </w:instrText>
          </w:r>
          <w:r>
            <w:fldChar w:fldCharType="separate"/>
          </w:r>
          <w:r w:rsidR="00420D4A">
            <w:rPr>
              <w:noProof/>
            </w:rPr>
            <w:t>2</w:t>
          </w:r>
          <w:r>
            <w:fldChar w:fldCharType="end"/>
          </w:r>
        </w:p>
      </w:tc>
    </w:tr>
    <w:tr w:rsidR="00ED7EC1" w:rsidRPr="007410E8" w:rsidTr="00ED7EC1">
      <w:trPr>
        <w:jc w:val="center"/>
      </w:trPr>
      <w:tc>
        <w:tcPr>
          <w:tcW w:w="2604" w:type="pct"/>
          <w:shd w:val="clear" w:color="auto" w:fill="auto"/>
        </w:tcPr>
        <w:p w:rsidR="00ED7EC1" w:rsidRPr="007410E8" w:rsidRDefault="00ED7EC1" w:rsidP="0035025C">
          <w:pPr>
            <w:pStyle w:val="FooterText"/>
            <w:rPr>
              <w:sz w:val="16"/>
            </w:rPr>
          </w:pPr>
        </w:p>
      </w:tc>
      <w:tc>
        <w:tcPr>
          <w:tcW w:w="1319" w:type="pct"/>
          <w:shd w:val="clear" w:color="auto" w:fill="auto"/>
        </w:tcPr>
        <w:p w:rsidR="00ED7EC1" w:rsidRPr="007410E8" w:rsidRDefault="00ED7EC1" w:rsidP="0035025C">
          <w:pPr>
            <w:pStyle w:val="FooterText"/>
            <w:rPr>
              <w:sz w:val="16"/>
            </w:rPr>
          </w:pPr>
        </w:p>
      </w:tc>
      <w:tc>
        <w:tcPr>
          <w:tcW w:w="1077" w:type="pct"/>
          <w:shd w:val="clear" w:color="auto" w:fill="auto"/>
        </w:tcPr>
        <w:p w:rsidR="00ED7EC1" w:rsidRPr="007410E8" w:rsidRDefault="00ED7EC1" w:rsidP="0035025C">
          <w:pPr>
            <w:pStyle w:val="FooterText"/>
            <w:jc w:val="right"/>
            <w:rPr>
              <w:sz w:val="16"/>
            </w:rPr>
          </w:pPr>
          <w:r>
            <w:rPr>
              <w:b/>
              <w:position w:val="-4"/>
              <w:sz w:val="36"/>
            </w:rPr>
            <w:t>EN</w:t>
          </w:r>
        </w:p>
      </w:tc>
    </w:tr>
    <w:bookmarkEnd w:id="5"/>
  </w:tbl>
  <w:p w:rsidR="00876110" w:rsidRPr="00ED7EC1" w:rsidRDefault="00876110" w:rsidP="00ED7EC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10" w:rsidRDefault="00876110">
      <w:pPr>
        <w:spacing w:before="0" w:after="0"/>
      </w:pPr>
      <w:r>
        <w:separator/>
      </w:r>
    </w:p>
  </w:footnote>
  <w:footnote w:type="continuationSeparator" w:id="0">
    <w:p w:rsidR="00876110" w:rsidRDefault="00876110">
      <w:pPr>
        <w:spacing w:before="0" w:after="0"/>
      </w:pPr>
      <w:r>
        <w:continuationSeparator/>
      </w:r>
    </w:p>
  </w:footnote>
  <w:footnote w:id="1">
    <w:p w:rsidR="00A52790" w:rsidRPr="00D7596A" w:rsidRDefault="00A52790" w:rsidP="00A52790">
      <w:pPr>
        <w:pStyle w:val="FootnoteText"/>
      </w:pPr>
      <w:r w:rsidRPr="00E91F8C">
        <w:rPr>
          <w:rStyle w:val="FootnoteReference"/>
        </w:rPr>
        <w:footnoteRef/>
      </w:r>
      <w:r>
        <w:t xml:space="preserve"> OJ L 070</w:t>
      </w:r>
      <w:r w:rsidRPr="0071147A">
        <w:t>, 16.3.2005</w:t>
      </w:r>
      <w:r>
        <w:t>,</w:t>
      </w:r>
      <w:r w:rsidRPr="0071147A">
        <w:t xml:space="preserve"> p. 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D7EC1" w:rsidRPr="007410E8" w:rsidTr="00ED7EC1">
      <w:trPr>
        <w:jc w:val="center"/>
      </w:trPr>
      <w:tc>
        <w:tcPr>
          <w:tcW w:w="2500" w:type="pct"/>
          <w:shd w:val="clear" w:color="auto" w:fill="auto"/>
        </w:tcPr>
        <w:p w:rsidR="00ED7EC1" w:rsidRPr="007410E8" w:rsidRDefault="00ED7EC1" w:rsidP="0035025C">
          <w:pPr>
            <w:pStyle w:val="HeaderText"/>
            <w:rPr>
              <w:b/>
              <w:i/>
              <w:sz w:val="16"/>
              <w:u w:val="single"/>
            </w:rPr>
          </w:pPr>
          <w:bookmarkStart w:id="4" w:name="HEADER_PRMEET"/>
        </w:p>
      </w:tc>
      <w:tc>
        <w:tcPr>
          <w:tcW w:w="2500" w:type="pct"/>
          <w:shd w:val="clear" w:color="auto" w:fill="auto"/>
        </w:tcPr>
        <w:p w:rsidR="00ED7EC1" w:rsidRPr="007410E8" w:rsidRDefault="00ED7EC1" w:rsidP="00ED7EC1">
          <w:pPr>
            <w:pStyle w:val="HeaderText"/>
            <w:jc w:val="right"/>
            <w:rPr>
              <w:sz w:val="16"/>
            </w:rPr>
          </w:pPr>
          <w:r w:rsidRPr="00ED7EC1">
            <w:t>11 May 2015</w:t>
          </w:r>
        </w:p>
      </w:tc>
    </w:tr>
    <w:bookmarkEnd w:id="4"/>
  </w:tbl>
  <w:p w:rsidR="00876110" w:rsidRPr="00ED7EC1" w:rsidRDefault="00876110" w:rsidP="00ED7EC1">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D7EC1" w:rsidRPr="007410E8" w:rsidTr="00ED7EC1">
      <w:trPr>
        <w:jc w:val="center"/>
      </w:trPr>
      <w:tc>
        <w:tcPr>
          <w:tcW w:w="2500" w:type="pct"/>
          <w:shd w:val="clear" w:color="auto" w:fill="auto"/>
        </w:tcPr>
        <w:p w:rsidR="00ED7EC1" w:rsidRPr="007410E8" w:rsidRDefault="00ED7EC1" w:rsidP="0035025C">
          <w:pPr>
            <w:pStyle w:val="HeaderText"/>
            <w:rPr>
              <w:b/>
              <w:i/>
              <w:sz w:val="16"/>
              <w:u w:val="single"/>
            </w:rPr>
          </w:pPr>
        </w:p>
      </w:tc>
      <w:tc>
        <w:tcPr>
          <w:tcW w:w="2500" w:type="pct"/>
          <w:shd w:val="clear" w:color="auto" w:fill="auto"/>
        </w:tcPr>
        <w:p w:rsidR="00ED7EC1" w:rsidRPr="007410E8" w:rsidRDefault="00ED7EC1" w:rsidP="00ED7EC1">
          <w:pPr>
            <w:pStyle w:val="HeaderText"/>
            <w:jc w:val="right"/>
            <w:rPr>
              <w:sz w:val="16"/>
            </w:rPr>
          </w:pPr>
          <w:r w:rsidRPr="00ED7EC1">
            <w:t>11 May 2015</w:t>
          </w:r>
        </w:p>
      </w:tc>
    </w:tr>
  </w:tbl>
  <w:p w:rsidR="00876110" w:rsidRPr="00ED7EC1" w:rsidRDefault="00876110" w:rsidP="00ED7EC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20696E"/>
    <w:multiLevelType w:val="hybridMultilevel"/>
    <w:tmpl w:val="C2A2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4FBD53F6"/>
    <w:multiLevelType w:val="hybridMultilevel"/>
    <w:tmpl w:val="823A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6"/>
  </w:num>
  <w:num w:numId="3">
    <w:abstractNumId w:val="9"/>
  </w:num>
  <w:num w:numId="4">
    <w:abstractNumId w:val="8"/>
  </w:num>
  <w:num w:numId="5">
    <w:abstractNumId w:val="3"/>
  </w:num>
  <w:num w:numId="6">
    <w:abstractNumId w:val="17"/>
  </w:num>
  <w:num w:numId="7">
    <w:abstractNumId w:val="5"/>
  </w:num>
  <w:num w:numId="8">
    <w:abstractNumId w:val="6"/>
  </w:num>
  <w:num w:numId="9">
    <w:abstractNumId w:val="15"/>
  </w:num>
  <w:num w:numId="10">
    <w:abstractNumId w:val="11"/>
  </w:num>
  <w:num w:numId="11">
    <w:abstractNumId w:val="0"/>
  </w:num>
  <w:num w:numId="12">
    <w:abstractNumId w:val="18"/>
  </w:num>
  <w:num w:numId="13">
    <w:abstractNumId w:val="13"/>
  </w:num>
  <w:num w:numId="14">
    <w:abstractNumId w:val="12"/>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3f7c5c6a-902e-483e-9e63-61ea22f4934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8671&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1&lt;/text&gt;_x000d__x000a_      &lt;text&gt;PR CO 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 of Latvia&quot; name=&quot;J&amp;#257;nis D&amp;#363;klavs&quot; text=&quot;J&amp;#257;nis D&amp;#363;klavs, Minister for Agriculture of Latvia&quot; genderKeyBds=&quot;gend_01&quot; /&gt;_x000d__x000a_    &lt;/presidents&gt;_x000d__x000a_  &lt;/metadata&gt;_x000d__x000a_  &lt;metadata key=&quot;md_MeetingNumber&quot;&gt;_x000d__x000a_    &lt;text&gt;3386&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5-11&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876110"/>
    <w:rsid w:val="00035E1C"/>
    <w:rsid w:val="000A3375"/>
    <w:rsid w:val="000A63B0"/>
    <w:rsid w:val="00115269"/>
    <w:rsid w:val="001A546F"/>
    <w:rsid w:val="001D5DF6"/>
    <w:rsid w:val="001D739F"/>
    <w:rsid w:val="00254832"/>
    <w:rsid w:val="00254C07"/>
    <w:rsid w:val="00346316"/>
    <w:rsid w:val="003946C8"/>
    <w:rsid w:val="003A4E1E"/>
    <w:rsid w:val="00420D4A"/>
    <w:rsid w:val="00466A9A"/>
    <w:rsid w:val="00480B6E"/>
    <w:rsid w:val="00483712"/>
    <w:rsid w:val="00546259"/>
    <w:rsid w:val="005658AE"/>
    <w:rsid w:val="005777E7"/>
    <w:rsid w:val="00600D04"/>
    <w:rsid w:val="006A56D8"/>
    <w:rsid w:val="006B2F03"/>
    <w:rsid w:val="006E2F9D"/>
    <w:rsid w:val="006F4E9F"/>
    <w:rsid w:val="007356BB"/>
    <w:rsid w:val="00783ACD"/>
    <w:rsid w:val="007A0E20"/>
    <w:rsid w:val="00807116"/>
    <w:rsid w:val="00876110"/>
    <w:rsid w:val="008774FD"/>
    <w:rsid w:val="00895676"/>
    <w:rsid w:val="00926EAF"/>
    <w:rsid w:val="00997907"/>
    <w:rsid w:val="00A33747"/>
    <w:rsid w:val="00A52790"/>
    <w:rsid w:val="00A67613"/>
    <w:rsid w:val="00A70275"/>
    <w:rsid w:val="00A76CDC"/>
    <w:rsid w:val="00AA5441"/>
    <w:rsid w:val="00AC048A"/>
    <w:rsid w:val="00B03546"/>
    <w:rsid w:val="00B34272"/>
    <w:rsid w:val="00B44261"/>
    <w:rsid w:val="00BD54A3"/>
    <w:rsid w:val="00BE2CA6"/>
    <w:rsid w:val="00C07097"/>
    <w:rsid w:val="00C1011A"/>
    <w:rsid w:val="00C573D4"/>
    <w:rsid w:val="00C57AAC"/>
    <w:rsid w:val="00D30549"/>
    <w:rsid w:val="00D45C7C"/>
    <w:rsid w:val="00E737DC"/>
    <w:rsid w:val="00ED7EC1"/>
    <w:rsid w:val="00EF1EE7"/>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5777E7"/>
    <w:pPr>
      <w:keepNext/>
      <w:spacing w:before="240"/>
    </w:pPr>
    <w:rPr>
      <w:rFonts w:eastAsia="Calibri"/>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ED7EC1"/>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876110"/>
    <w:pPr>
      <w:spacing w:before="0" w:after="440"/>
      <w:ind w:left="-1134" w:right="-1134"/>
    </w:pPr>
    <w:rPr>
      <w:sz w:val="2"/>
    </w:rPr>
  </w:style>
  <w:style w:type="character" w:customStyle="1" w:styleId="TechnicalBlockChar">
    <w:name w:val="Technical Block Char"/>
    <w:basedOn w:val="DefaultParagraphFont"/>
    <w:link w:val="TechnicalBlock"/>
    <w:rsid w:val="00876110"/>
    <w:rPr>
      <w:sz w:val="24"/>
      <w:szCs w:val="24"/>
      <w:lang w:val="en-GB" w:eastAsia="en-US"/>
    </w:rPr>
  </w:style>
  <w:style w:type="character" w:customStyle="1" w:styleId="HeaderCouncilLargeChar">
    <w:name w:val="Header Council Large Char"/>
    <w:basedOn w:val="TechnicalBlockChar"/>
    <w:link w:val="HeaderCouncilLarge"/>
    <w:rsid w:val="00876110"/>
    <w:rPr>
      <w:sz w:val="2"/>
      <w:szCs w:val="24"/>
      <w:lang w:val="en-GB" w:eastAsia="en-US"/>
    </w:rPr>
  </w:style>
  <w:style w:type="paragraph" w:customStyle="1" w:styleId="FooterText">
    <w:name w:val="Footer Text"/>
    <w:basedOn w:val="Normal"/>
    <w:rsid w:val="00876110"/>
    <w:pPr>
      <w:spacing w:before="0" w:after="0"/>
    </w:pPr>
  </w:style>
  <w:style w:type="paragraph" w:customStyle="1" w:styleId="FooterAddressText">
    <w:name w:val="Footer Address Text"/>
    <w:basedOn w:val="FooterText"/>
    <w:qFormat/>
    <w:rsid w:val="00876110"/>
    <w:pPr>
      <w:jc w:val="center"/>
    </w:pPr>
    <w:rPr>
      <w:spacing w:val="10"/>
      <w:sz w:val="16"/>
      <w:szCs w:val="16"/>
    </w:rPr>
  </w:style>
  <w:style w:type="character" w:styleId="Hyperlink">
    <w:name w:val="Hyperlink"/>
    <w:basedOn w:val="DefaultParagraphFont"/>
    <w:uiPriority w:val="99"/>
    <w:unhideWhenUsed/>
    <w:qFormat/>
    <w:rsid w:val="00876110"/>
    <w:rPr>
      <w:color w:val="0000FF" w:themeColor="hyperlink"/>
      <w:u w:val="single"/>
    </w:rPr>
  </w:style>
  <w:style w:type="paragraph" w:customStyle="1" w:styleId="HeaderText">
    <w:name w:val="Header Text"/>
    <w:basedOn w:val="Normal"/>
    <w:rsid w:val="00876110"/>
    <w:pPr>
      <w:spacing w:before="0" w:after="0"/>
    </w:pPr>
  </w:style>
  <w:style w:type="paragraph" w:styleId="ListParagraph">
    <w:name w:val="List Paragraph"/>
    <w:basedOn w:val="Normal"/>
    <w:uiPriority w:val="34"/>
    <w:qFormat/>
    <w:rsid w:val="005658AE"/>
    <w:pPr>
      <w:spacing w:before="0" w:after="0" w:line="360" w:lineRule="auto"/>
      <w:ind w:left="720"/>
      <w:contextualSpacing/>
    </w:pPr>
    <w:rPr>
      <w:rFonts w:eastAsiaTheme="minorHAnsi" w:cstheme="minorBidi"/>
      <w:szCs w:val="22"/>
      <w:lang w:val="en-US"/>
    </w:rPr>
  </w:style>
  <w:style w:type="character" w:customStyle="1" w:styleId="FootnoteTextChar">
    <w:name w:val="Footnote Text Char"/>
    <w:basedOn w:val="DefaultParagraphFont"/>
    <w:link w:val="FootnoteText"/>
    <w:uiPriority w:val="99"/>
    <w:rsid w:val="005658AE"/>
    <w:rPr>
      <w:sz w:val="24"/>
      <w:lang w:val="en-GB" w:eastAsia="en-US"/>
    </w:rPr>
  </w:style>
  <w:style w:type="character" w:customStyle="1" w:styleId="PointManualChar">
    <w:name w:val="Point Manual Char"/>
    <w:basedOn w:val="DefaultParagraphFont"/>
    <w:link w:val="PointManual"/>
    <w:locked/>
    <w:rsid w:val="005658AE"/>
  </w:style>
  <w:style w:type="paragraph" w:customStyle="1" w:styleId="PointManual">
    <w:name w:val="Point Manual"/>
    <w:basedOn w:val="Normal"/>
    <w:link w:val="PointManualChar"/>
    <w:rsid w:val="005658AE"/>
    <w:pPr>
      <w:spacing w:before="200" w:after="0"/>
      <w:ind w:left="567" w:hanging="567"/>
    </w:pPr>
    <w:rPr>
      <w:sz w:val="20"/>
      <w:szCs w:val="20"/>
      <w:lang w:val="de-DE" w:eastAsia="de-DE"/>
    </w:rPr>
  </w:style>
  <w:style w:type="paragraph" w:styleId="BalloonText">
    <w:name w:val="Balloon Text"/>
    <w:basedOn w:val="Normal"/>
    <w:link w:val="BalloonTextChar"/>
    <w:uiPriority w:val="99"/>
    <w:semiHidden/>
    <w:unhideWhenUsed/>
    <w:rsid w:val="001A54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46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7A0E20"/>
    <w:rPr>
      <w:sz w:val="16"/>
      <w:szCs w:val="16"/>
    </w:rPr>
  </w:style>
  <w:style w:type="paragraph" w:styleId="CommentText">
    <w:name w:val="annotation text"/>
    <w:basedOn w:val="Normal"/>
    <w:link w:val="CommentTextChar"/>
    <w:uiPriority w:val="99"/>
    <w:semiHidden/>
    <w:unhideWhenUsed/>
    <w:rsid w:val="007A0E20"/>
    <w:rPr>
      <w:sz w:val="20"/>
      <w:szCs w:val="20"/>
    </w:rPr>
  </w:style>
  <w:style w:type="character" w:customStyle="1" w:styleId="CommentTextChar">
    <w:name w:val="Comment Text Char"/>
    <w:basedOn w:val="DefaultParagraphFont"/>
    <w:link w:val="CommentText"/>
    <w:uiPriority w:val="99"/>
    <w:semiHidden/>
    <w:rsid w:val="007A0E20"/>
    <w:rPr>
      <w:lang w:val="en-GB" w:eastAsia="en-US"/>
    </w:rPr>
  </w:style>
  <w:style w:type="paragraph" w:styleId="CommentSubject">
    <w:name w:val="annotation subject"/>
    <w:basedOn w:val="CommentText"/>
    <w:next w:val="CommentText"/>
    <w:link w:val="CommentSubjectChar"/>
    <w:uiPriority w:val="99"/>
    <w:semiHidden/>
    <w:unhideWhenUsed/>
    <w:rsid w:val="007A0E20"/>
    <w:rPr>
      <w:b/>
      <w:bCs/>
    </w:rPr>
  </w:style>
  <w:style w:type="character" w:customStyle="1" w:styleId="CommentSubjectChar">
    <w:name w:val="Comment Subject Char"/>
    <w:basedOn w:val="CommentTextChar"/>
    <w:link w:val="CommentSubject"/>
    <w:uiPriority w:val="99"/>
    <w:semiHidden/>
    <w:rsid w:val="007A0E20"/>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5777E7"/>
    <w:pPr>
      <w:keepNext/>
      <w:spacing w:before="240"/>
    </w:pPr>
    <w:rPr>
      <w:rFonts w:eastAsia="Calibri"/>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ED7EC1"/>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876110"/>
    <w:pPr>
      <w:spacing w:before="0" w:after="440"/>
      <w:ind w:left="-1134" w:right="-1134"/>
    </w:pPr>
    <w:rPr>
      <w:sz w:val="2"/>
    </w:rPr>
  </w:style>
  <w:style w:type="character" w:customStyle="1" w:styleId="TechnicalBlockChar">
    <w:name w:val="Technical Block Char"/>
    <w:basedOn w:val="DefaultParagraphFont"/>
    <w:link w:val="TechnicalBlock"/>
    <w:rsid w:val="00876110"/>
    <w:rPr>
      <w:sz w:val="24"/>
      <w:szCs w:val="24"/>
      <w:lang w:val="en-GB" w:eastAsia="en-US"/>
    </w:rPr>
  </w:style>
  <w:style w:type="character" w:customStyle="1" w:styleId="HeaderCouncilLargeChar">
    <w:name w:val="Header Council Large Char"/>
    <w:basedOn w:val="TechnicalBlockChar"/>
    <w:link w:val="HeaderCouncilLarge"/>
    <w:rsid w:val="00876110"/>
    <w:rPr>
      <w:sz w:val="2"/>
      <w:szCs w:val="24"/>
      <w:lang w:val="en-GB" w:eastAsia="en-US"/>
    </w:rPr>
  </w:style>
  <w:style w:type="paragraph" w:customStyle="1" w:styleId="FooterText">
    <w:name w:val="Footer Text"/>
    <w:basedOn w:val="Normal"/>
    <w:rsid w:val="00876110"/>
    <w:pPr>
      <w:spacing w:before="0" w:after="0"/>
    </w:pPr>
  </w:style>
  <w:style w:type="paragraph" w:customStyle="1" w:styleId="FooterAddressText">
    <w:name w:val="Footer Address Text"/>
    <w:basedOn w:val="FooterText"/>
    <w:qFormat/>
    <w:rsid w:val="00876110"/>
    <w:pPr>
      <w:jc w:val="center"/>
    </w:pPr>
    <w:rPr>
      <w:spacing w:val="10"/>
      <w:sz w:val="16"/>
      <w:szCs w:val="16"/>
    </w:rPr>
  </w:style>
  <w:style w:type="character" w:styleId="Hyperlink">
    <w:name w:val="Hyperlink"/>
    <w:basedOn w:val="DefaultParagraphFont"/>
    <w:uiPriority w:val="99"/>
    <w:unhideWhenUsed/>
    <w:qFormat/>
    <w:rsid w:val="00876110"/>
    <w:rPr>
      <w:color w:val="0000FF" w:themeColor="hyperlink"/>
      <w:u w:val="single"/>
    </w:rPr>
  </w:style>
  <w:style w:type="paragraph" w:customStyle="1" w:styleId="HeaderText">
    <w:name w:val="Header Text"/>
    <w:basedOn w:val="Normal"/>
    <w:rsid w:val="00876110"/>
    <w:pPr>
      <w:spacing w:before="0" w:after="0"/>
    </w:pPr>
  </w:style>
  <w:style w:type="paragraph" w:styleId="ListParagraph">
    <w:name w:val="List Paragraph"/>
    <w:basedOn w:val="Normal"/>
    <w:uiPriority w:val="34"/>
    <w:qFormat/>
    <w:rsid w:val="005658AE"/>
    <w:pPr>
      <w:spacing w:before="0" w:after="0" w:line="360" w:lineRule="auto"/>
      <w:ind w:left="720"/>
      <w:contextualSpacing/>
    </w:pPr>
    <w:rPr>
      <w:rFonts w:eastAsiaTheme="minorHAnsi" w:cstheme="minorBidi"/>
      <w:szCs w:val="22"/>
      <w:lang w:val="en-US"/>
    </w:rPr>
  </w:style>
  <w:style w:type="character" w:customStyle="1" w:styleId="FootnoteTextChar">
    <w:name w:val="Footnote Text Char"/>
    <w:basedOn w:val="DefaultParagraphFont"/>
    <w:link w:val="FootnoteText"/>
    <w:uiPriority w:val="99"/>
    <w:rsid w:val="005658AE"/>
    <w:rPr>
      <w:sz w:val="24"/>
      <w:lang w:val="en-GB" w:eastAsia="en-US"/>
    </w:rPr>
  </w:style>
  <w:style w:type="character" w:customStyle="1" w:styleId="PointManualChar">
    <w:name w:val="Point Manual Char"/>
    <w:basedOn w:val="DefaultParagraphFont"/>
    <w:link w:val="PointManual"/>
    <w:locked/>
    <w:rsid w:val="005658AE"/>
  </w:style>
  <w:style w:type="paragraph" w:customStyle="1" w:styleId="PointManual">
    <w:name w:val="Point Manual"/>
    <w:basedOn w:val="Normal"/>
    <w:link w:val="PointManualChar"/>
    <w:rsid w:val="005658AE"/>
    <w:pPr>
      <w:spacing w:before="200" w:after="0"/>
      <w:ind w:left="567" w:hanging="567"/>
    </w:pPr>
    <w:rPr>
      <w:sz w:val="20"/>
      <w:szCs w:val="20"/>
      <w:lang w:val="de-DE" w:eastAsia="de-DE"/>
    </w:rPr>
  </w:style>
  <w:style w:type="paragraph" w:styleId="BalloonText">
    <w:name w:val="Balloon Text"/>
    <w:basedOn w:val="Normal"/>
    <w:link w:val="BalloonTextChar"/>
    <w:uiPriority w:val="99"/>
    <w:semiHidden/>
    <w:unhideWhenUsed/>
    <w:rsid w:val="001A54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46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7A0E20"/>
    <w:rPr>
      <w:sz w:val="16"/>
      <w:szCs w:val="16"/>
    </w:rPr>
  </w:style>
  <w:style w:type="paragraph" w:styleId="CommentText">
    <w:name w:val="annotation text"/>
    <w:basedOn w:val="Normal"/>
    <w:link w:val="CommentTextChar"/>
    <w:uiPriority w:val="99"/>
    <w:semiHidden/>
    <w:unhideWhenUsed/>
    <w:rsid w:val="007A0E20"/>
    <w:rPr>
      <w:sz w:val="20"/>
      <w:szCs w:val="20"/>
    </w:rPr>
  </w:style>
  <w:style w:type="character" w:customStyle="1" w:styleId="CommentTextChar">
    <w:name w:val="Comment Text Char"/>
    <w:basedOn w:val="DefaultParagraphFont"/>
    <w:link w:val="CommentText"/>
    <w:uiPriority w:val="99"/>
    <w:semiHidden/>
    <w:rsid w:val="007A0E20"/>
    <w:rPr>
      <w:lang w:val="en-GB" w:eastAsia="en-US"/>
    </w:rPr>
  </w:style>
  <w:style w:type="paragraph" w:styleId="CommentSubject">
    <w:name w:val="annotation subject"/>
    <w:basedOn w:val="CommentText"/>
    <w:next w:val="CommentText"/>
    <w:link w:val="CommentSubjectChar"/>
    <w:uiPriority w:val="99"/>
    <w:semiHidden/>
    <w:unhideWhenUsed/>
    <w:rsid w:val="007A0E20"/>
    <w:rPr>
      <w:b/>
      <w:bCs/>
    </w:rPr>
  </w:style>
  <w:style w:type="character" w:customStyle="1" w:styleId="CommentSubjectChar">
    <w:name w:val="Comment Subject Char"/>
    <w:basedOn w:val="CommentTextChar"/>
    <w:link w:val="CommentSubject"/>
    <w:uiPriority w:val="99"/>
    <w:semiHidden/>
    <w:rsid w:val="007A0E2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8596-2015-INIT/en/pdf" TargetMode="External"/><Relationship Id="rId26" Type="http://schemas.openxmlformats.org/officeDocument/2006/relationships/hyperlink" Target="http://register.consilium.europa.eu/pdf/en/15/st08/st08194.en15.pdf" TargetMode="External"/><Relationship Id="rId39" Type="http://schemas.openxmlformats.org/officeDocument/2006/relationships/hyperlink" Target="http://data.consilium.europa.eu/doc/document/ST-7498-2015-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7667-2015-INIT/en/pdf" TargetMode="External"/><Relationship Id="rId34" Type="http://schemas.openxmlformats.org/officeDocument/2006/relationships/hyperlink" Target="http://data.consilium.europa.eu/doc/document/ST-7159-2015-INIT/en/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8378-2015-INIT/en/pdf" TargetMode="External"/><Relationship Id="rId25" Type="http://schemas.openxmlformats.org/officeDocument/2006/relationships/hyperlink" Target="http://register.consilium.europa.eu/pdf/en/14/st17/st17084.en14.pdf" TargetMode="External"/><Relationship Id="rId33" Type="http://schemas.openxmlformats.org/officeDocument/2006/relationships/hyperlink" Target="http://data.consilium.europa.eu/doc/document/ST-7263-2015-INIT/en/pdf" TargetMode="External"/><Relationship Id="rId38" Type="http://schemas.openxmlformats.org/officeDocument/2006/relationships/hyperlink" Target="http://data.consilium.europa.eu/doc/document/ST-7390-2015-INIT/en/pdf" TargetMode="External"/><Relationship Id="rId2" Type="http://schemas.openxmlformats.org/officeDocument/2006/relationships/styles" Target="styles.xml"/><Relationship Id="rId16" Type="http://schemas.openxmlformats.org/officeDocument/2006/relationships/hyperlink" Target="http://data.consilium.europa.eu/doc/document/ST-8483-2015-INIT/en/pdf" TargetMode="External"/><Relationship Id="rId20" Type="http://schemas.openxmlformats.org/officeDocument/2006/relationships/hyperlink" Target="http://data.consilium.europa.eu/doc/document/ST-7699-2015-INIT/en/pdf" TargetMode="External"/><Relationship Id="rId29" Type="http://schemas.openxmlformats.org/officeDocument/2006/relationships/hyperlink" Target="http://data.consilium.europa.eu/doc/document/ST-5851-2015-INIT/en/pdf" TargetMode="External"/><Relationship Id="rId41" Type="http://schemas.openxmlformats.org/officeDocument/2006/relationships/hyperlink" Target="http://data.consilium.europa.eu/doc/document/ST-7663-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register.consilium.europa.eu/pdf/en/15/st07/st07565-re01.en15.pdf" TargetMode="External"/><Relationship Id="rId32" Type="http://schemas.openxmlformats.org/officeDocument/2006/relationships/hyperlink" Target="http://data.consilium.europa.eu/doc/document/ST-7262-2015-INIT/en/pdf" TargetMode="External"/><Relationship Id="rId37" Type="http://schemas.openxmlformats.org/officeDocument/2006/relationships/hyperlink" Target="http://data.consilium.europa.eu/doc/document/ST-7326-2015-INIT/en/pdf" TargetMode="External"/><Relationship Id="rId40" Type="http://schemas.openxmlformats.org/officeDocument/2006/relationships/hyperlink" Target="http://data.consilium.europa.eu/doc/document/ST-7655-2015-INIT/en/pdf" TargetMode="External"/><Relationship Id="rId5" Type="http://schemas.openxmlformats.org/officeDocument/2006/relationships/webSettings" Target="webSettings.xml"/><Relationship Id="rId15" Type="http://schemas.openxmlformats.org/officeDocument/2006/relationships/hyperlink" Target="http://www.consilium.europa.eu/en/press/press-releases/2015/05/11-agri-conclusions-simplification-cap/" TargetMode="External"/><Relationship Id="rId23" Type="http://schemas.openxmlformats.org/officeDocument/2006/relationships/hyperlink" Target="http://data.consilium.europa.eu/doc/document/ST-8319-2015-INIT/en/pdf" TargetMode="External"/><Relationship Id="rId28" Type="http://schemas.openxmlformats.org/officeDocument/2006/relationships/hyperlink" Target="http://data.consilium.europa.eu/doc/document/ST-7916-2015-INIT/en/pdf" TargetMode="External"/><Relationship Id="rId36" Type="http://schemas.openxmlformats.org/officeDocument/2006/relationships/hyperlink" Target="http://data.consilium.europa.eu/doc/document/ST-7620-2015-INIT/en/pdf" TargetMode="External"/><Relationship Id="rId10" Type="http://schemas.openxmlformats.org/officeDocument/2006/relationships/footer" Target="footer2.xml"/><Relationship Id="rId19" Type="http://schemas.openxmlformats.org/officeDocument/2006/relationships/hyperlink" Target="http://data.consilium.europa.eu/doc/document/ST-8388-2015-INIT/en/pdf" TargetMode="External"/><Relationship Id="rId31" Type="http://schemas.openxmlformats.org/officeDocument/2006/relationships/hyperlink" Target="http://data.consilium.europa.eu/doc/document/ST-8416-2015-INIT/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8576-2015-INIT/en/pdf" TargetMode="External"/><Relationship Id="rId22" Type="http://schemas.openxmlformats.org/officeDocument/2006/relationships/hyperlink" Target="http://data.consilium.europa.eu/doc/document/ST-16616-2013-INIT/en/pdf" TargetMode="External"/><Relationship Id="rId27" Type="http://schemas.openxmlformats.org/officeDocument/2006/relationships/hyperlink" Target="http://www.efta.int/" TargetMode="External"/><Relationship Id="rId30" Type="http://schemas.openxmlformats.org/officeDocument/2006/relationships/hyperlink" Target="http://www.consilium.europa.eu/register/en/content/out/?&amp;typ=ENTRY&amp;i=ADV&amp;DOC_ID=ST-7819-2015-INIT" TargetMode="External"/><Relationship Id="rId35" Type="http://schemas.openxmlformats.org/officeDocument/2006/relationships/hyperlink" Target="http://data.consilium.europa.eu/doc/document/ST-7208-2015-INIT/en/pdf"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98</TotalTime>
  <Pages>13</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PRUNEAN Ioana</cp:lastModifiedBy>
  <cp:revision>25</cp:revision>
  <cp:lastPrinted>2015-07-28T09:11:00Z</cp:lastPrinted>
  <dcterms:created xsi:type="dcterms:W3CDTF">2015-05-11T08:17:00Z</dcterms:created>
  <dcterms:modified xsi:type="dcterms:W3CDTF">2015-07-28T09:11:00Z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3.6.6, Build 20150723</vt:lpwstr>
  </property>
</Properties>
</file>