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A51" w:rsidRPr="00667BBE" w:rsidRDefault="00724BB5" w:rsidP="00667BBE">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a8c9165-9277-4121-960e-03b4c5ddc139_0" style="width:573.6pt;height:437.4pt">
            <v:imagedata r:id="rId8" o:title=""/>
          </v:shape>
        </w:pict>
      </w:r>
      <w:bookmarkEnd w:id="0"/>
    </w:p>
    <w:p w:rsidR="00EA2C83" w:rsidRDefault="00EA2C83" w:rsidP="00EA2C83">
      <w:pPr>
        <w:pStyle w:val="TechnicalBlock"/>
        <w:ind w:left="-1134" w:right="-1134"/>
        <w:sectPr w:rsidR="00EA2C83" w:rsidSect="00F26751">
          <w:footerReference w:type="default" r:id="rId9"/>
          <w:footerReference w:type="first" r:id="rId10"/>
          <w:footnotePr>
            <w:numRestart w:val="eachPage"/>
          </w:footnotePr>
          <w:pgSz w:w="11907" w:h="16840" w:code="9"/>
          <w:pgMar w:top="624" w:right="1134" w:bottom="1134" w:left="1134" w:header="567" w:footer="567" w:gutter="0"/>
          <w:pgNumType w:start="1"/>
          <w:cols w:space="708"/>
          <w:titlePg/>
          <w:docGrid w:linePitch="360"/>
        </w:sectPr>
      </w:pPr>
    </w:p>
    <w:p w:rsidR="001D4B9F" w:rsidRDefault="00BE38BA" w:rsidP="00BE38BA">
      <w:pPr>
        <w:pStyle w:val="TOCHeading"/>
      </w:pPr>
      <w:r>
        <w:lastRenderedPageBreak/>
        <w:t>CONTENTS</w:t>
      </w:r>
      <w:r w:rsidRPr="00BE38BA">
        <w:rPr>
          <w:vertAlign w:val="superscript"/>
        </w:rPr>
        <w:t>1</w:t>
      </w:r>
    </w:p>
    <w:p w:rsidR="00BE38BA" w:rsidRDefault="00BE38BA" w:rsidP="00BE38BA">
      <w:pPr>
        <w:pStyle w:val="TOC5"/>
      </w:pPr>
      <w:r>
        <w:t>ITEMS DEBATED</w:t>
      </w:r>
    </w:p>
    <w:p w:rsidR="00BE38BA" w:rsidRDefault="00BE38BA" w:rsidP="00BE38BA">
      <w:pPr>
        <w:pStyle w:val="TOC6"/>
        <w:keepNext/>
        <w:rPr>
          <w:rFonts w:asciiTheme="minorHAnsi" w:eastAsiaTheme="minorEastAsia" w:hAnsiTheme="minorHAnsi" w:cstheme="minorBidi"/>
          <w:noProof/>
          <w:sz w:val="22"/>
          <w:szCs w:val="22"/>
          <w:lang w:eastAsia="en-GB"/>
        </w:rPr>
      </w:pPr>
      <w:r>
        <w:rPr>
          <w:noProof/>
        </w:rPr>
        <w:t>EMPLOYMENT AND SOCIAL POLICY</w:t>
      </w:r>
      <w:r>
        <w:rPr>
          <w:noProof/>
        </w:rPr>
        <w:tab/>
      </w:r>
      <w:r>
        <w:rPr>
          <w:noProof/>
        </w:rPr>
        <w:fldChar w:fldCharType="begin"/>
      </w:r>
      <w:r>
        <w:rPr>
          <w:noProof/>
        </w:rPr>
        <w:instrText xml:space="preserve"> PAGEREF \h _Toc422489455 \* MERGEFORMAT </w:instrText>
      </w:r>
      <w:r>
        <w:rPr>
          <w:noProof/>
        </w:rPr>
      </w:r>
      <w:r>
        <w:rPr>
          <w:noProof/>
        </w:rPr>
        <w:fldChar w:fldCharType="separate"/>
      </w:r>
      <w:r w:rsidR="005F6F0E">
        <w:rPr>
          <w:noProof/>
        </w:rPr>
        <w:t>4</w:t>
      </w:r>
      <w:r>
        <w:rPr>
          <w:noProof/>
        </w:rPr>
        <w:fldChar w:fldCharType="end"/>
      </w:r>
    </w:p>
    <w:p w:rsidR="00BE38BA" w:rsidRDefault="00BE38BA" w:rsidP="00BE38BA">
      <w:pPr>
        <w:pStyle w:val="TOC7"/>
        <w:keepNext/>
        <w:rPr>
          <w:rFonts w:asciiTheme="minorHAnsi" w:eastAsiaTheme="minorEastAsia" w:hAnsiTheme="minorHAnsi" w:cstheme="minorBidi"/>
          <w:noProof/>
          <w:sz w:val="22"/>
          <w:szCs w:val="22"/>
          <w:lang w:eastAsia="en-GB"/>
        </w:rPr>
      </w:pPr>
      <w:r>
        <w:rPr>
          <w:noProof/>
        </w:rPr>
        <w:t>European Semester 2015</w:t>
      </w:r>
      <w:r>
        <w:rPr>
          <w:noProof/>
        </w:rPr>
        <w:tab/>
      </w:r>
      <w:r>
        <w:rPr>
          <w:noProof/>
        </w:rPr>
        <w:fldChar w:fldCharType="begin"/>
      </w:r>
      <w:r>
        <w:rPr>
          <w:noProof/>
        </w:rPr>
        <w:instrText xml:space="preserve"> PAGEREF \h _Toc422489456 \* MERGEFORMAT </w:instrText>
      </w:r>
      <w:r>
        <w:rPr>
          <w:noProof/>
        </w:rPr>
      </w:r>
      <w:r>
        <w:rPr>
          <w:noProof/>
        </w:rPr>
        <w:fldChar w:fldCharType="separate"/>
      </w:r>
      <w:r w:rsidR="005F6F0E">
        <w:rPr>
          <w:noProof/>
        </w:rPr>
        <w:t>4</w:t>
      </w:r>
      <w:r>
        <w:rPr>
          <w:noProof/>
        </w:rPr>
        <w:fldChar w:fldCharType="end"/>
      </w:r>
    </w:p>
    <w:p w:rsidR="00BE38BA" w:rsidRDefault="00BE38BA" w:rsidP="00BE38BA">
      <w:pPr>
        <w:pStyle w:val="TOC7"/>
        <w:keepNext/>
        <w:rPr>
          <w:rFonts w:asciiTheme="minorHAnsi" w:eastAsiaTheme="minorEastAsia" w:hAnsiTheme="minorHAnsi" w:cstheme="minorBidi"/>
          <w:noProof/>
          <w:sz w:val="22"/>
          <w:szCs w:val="22"/>
          <w:lang w:eastAsia="en-GB"/>
        </w:rPr>
      </w:pPr>
      <w:r>
        <w:rPr>
          <w:noProof/>
        </w:rPr>
        <w:t>Employment policies of the member states</w:t>
      </w:r>
      <w:r>
        <w:rPr>
          <w:noProof/>
        </w:rPr>
        <w:tab/>
      </w:r>
      <w:r>
        <w:rPr>
          <w:noProof/>
        </w:rPr>
        <w:fldChar w:fldCharType="begin"/>
      </w:r>
      <w:r>
        <w:rPr>
          <w:noProof/>
        </w:rPr>
        <w:instrText xml:space="preserve"> PAGEREF \h _Toc422489457 \* MERGEFORMAT </w:instrText>
      </w:r>
      <w:r>
        <w:rPr>
          <w:noProof/>
        </w:rPr>
      </w:r>
      <w:r>
        <w:rPr>
          <w:noProof/>
        </w:rPr>
        <w:fldChar w:fldCharType="separate"/>
      </w:r>
      <w:r w:rsidR="005F6F0E">
        <w:rPr>
          <w:noProof/>
        </w:rPr>
        <w:t>5</w:t>
      </w:r>
      <w:r>
        <w:rPr>
          <w:noProof/>
        </w:rPr>
        <w:fldChar w:fldCharType="end"/>
      </w:r>
    </w:p>
    <w:p w:rsidR="00BE38BA" w:rsidRDefault="00BE38BA" w:rsidP="00BE38BA">
      <w:pPr>
        <w:pStyle w:val="TOC7"/>
        <w:keepNext/>
        <w:rPr>
          <w:rFonts w:asciiTheme="minorHAnsi" w:eastAsiaTheme="minorEastAsia" w:hAnsiTheme="minorHAnsi" w:cstheme="minorBidi"/>
          <w:noProof/>
          <w:sz w:val="22"/>
          <w:szCs w:val="22"/>
          <w:lang w:eastAsia="en-GB"/>
        </w:rPr>
      </w:pPr>
      <w:r>
        <w:rPr>
          <w:noProof/>
        </w:rPr>
        <w:t>Youth employment</w:t>
      </w:r>
      <w:r>
        <w:rPr>
          <w:noProof/>
        </w:rPr>
        <w:tab/>
      </w:r>
      <w:r>
        <w:rPr>
          <w:noProof/>
        </w:rPr>
        <w:fldChar w:fldCharType="begin"/>
      </w:r>
      <w:r>
        <w:rPr>
          <w:noProof/>
        </w:rPr>
        <w:instrText xml:space="preserve"> PAGEREF \h _Toc422489458 \* MERGEFORMAT </w:instrText>
      </w:r>
      <w:r>
        <w:rPr>
          <w:noProof/>
        </w:rPr>
      </w:r>
      <w:r>
        <w:rPr>
          <w:noProof/>
        </w:rPr>
        <w:fldChar w:fldCharType="separate"/>
      </w:r>
      <w:r w:rsidR="005F6F0E">
        <w:rPr>
          <w:noProof/>
        </w:rPr>
        <w:t>6</w:t>
      </w:r>
      <w:r>
        <w:rPr>
          <w:noProof/>
        </w:rPr>
        <w:fldChar w:fldCharType="end"/>
      </w:r>
    </w:p>
    <w:p w:rsidR="00BE38BA" w:rsidRDefault="00BE38BA" w:rsidP="00BE38BA">
      <w:pPr>
        <w:pStyle w:val="TOC7"/>
        <w:keepNext/>
        <w:rPr>
          <w:rFonts w:asciiTheme="minorHAnsi" w:eastAsiaTheme="minorEastAsia" w:hAnsiTheme="minorHAnsi" w:cstheme="minorBidi"/>
          <w:noProof/>
          <w:sz w:val="22"/>
          <w:szCs w:val="22"/>
          <w:lang w:eastAsia="en-GB"/>
        </w:rPr>
      </w:pPr>
      <w:r>
        <w:rPr>
          <w:noProof/>
        </w:rPr>
        <w:t>Women on company boards</w:t>
      </w:r>
      <w:r>
        <w:rPr>
          <w:noProof/>
        </w:rPr>
        <w:tab/>
      </w:r>
      <w:r>
        <w:rPr>
          <w:noProof/>
        </w:rPr>
        <w:fldChar w:fldCharType="begin"/>
      </w:r>
      <w:r>
        <w:rPr>
          <w:noProof/>
        </w:rPr>
        <w:instrText xml:space="preserve"> PAGEREF \h _Toc422489459 \* MERGEFORMAT </w:instrText>
      </w:r>
      <w:r>
        <w:rPr>
          <w:noProof/>
        </w:rPr>
      </w:r>
      <w:r>
        <w:rPr>
          <w:noProof/>
        </w:rPr>
        <w:fldChar w:fldCharType="separate"/>
      </w:r>
      <w:r w:rsidR="005F6F0E">
        <w:rPr>
          <w:noProof/>
        </w:rPr>
        <w:t>7</w:t>
      </w:r>
      <w:r>
        <w:rPr>
          <w:noProof/>
        </w:rPr>
        <w:fldChar w:fldCharType="end"/>
      </w:r>
    </w:p>
    <w:p w:rsidR="00BE38BA" w:rsidRDefault="00BE38BA" w:rsidP="00BE38BA">
      <w:pPr>
        <w:pStyle w:val="TOC7"/>
        <w:keepNext/>
        <w:rPr>
          <w:rFonts w:asciiTheme="minorHAnsi" w:eastAsiaTheme="minorEastAsia" w:hAnsiTheme="minorHAnsi" w:cstheme="minorBidi"/>
          <w:noProof/>
          <w:sz w:val="22"/>
          <w:szCs w:val="22"/>
          <w:lang w:eastAsia="en-GB"/>
        </w:rPr>
      </w:pPr>
      <w:r>
        <w:rPr>
          <w:noProof/>
        </w:rPr>
        <w:t>Equal treatment directive</w:t>
      </w:r>
      <w:r>
        <w:rPr>
          <w:noProof/>
        </w:rPr>
        <w:tab/>
      </w:r>
      <w:r>
        <w:rPr>
          <w:noProof/>
        </w:rPr>
        <w:fldChar w:fldCharType="begin"/>
      </w:r>
      <w:r>
        <w:rPr>
          <w:noProof/>
        </w:rPr>
        <w:instrText xml:space="preserve"> PAGEREF \h _Toc422489460 \* MERGEFORMAT </w:instrText>
      </w:r>
      <w:r>
        <w:rPr>
          <w:noProof/>
        </w:rPr>
      </w:r>
      <w:r>
        <w:rPr>
          <w:noProof/>
        </w:rPr>
        <w:fldChar w:fldCharType="separate"/>
      </w:r>
      <w:r w:rsidR="005F6F0E">
        <w:rPr>
          <w:noProof/>
        </w:rPr>
        <w:t>8</w:t>
      </w:r>
      <w:r>
        <w:rPr>
          <w:noProof/>
        </w:rPr>
        <w:fldChar w:fldCharType="end"/>
      </w:r>
    </w:p>
    <w:p w:rsidR="00BE38BA" w:rsidRDefault="00BE38BA" w:rsidP="00BE38BA">
      <w:pPr>
        <w:pStyle w:val="TOC7"/>
        <w:keepNext/>
        <w:rPr>
          <w:rFonts w:asciiTheme="minorHAnsi" w:eastAsiaTheme="minorEastAsia" w:hAnsiTheme="minorHAnsi" w:cstheme="minorBidi"/>
          <w:noProof/>
          <w:sz w:val="22"/>
          <w:szCs w:val="22"/>
          <w:lang w:eastAsia="en-GB"/>
        </w:rPr>
      </w:pPr>
      <w:r>
        <w:rPr>
          <w:noProof/>
        </w:rPr>
        <w:t>Gender gap in pensions</w:t>
      </w:r>
      <w:r>
        <w:rPr>
          <w:noProof/>
        </w:rPr>
        <w:tab/>
      </w:r>
      <w:r>
        <w:rPr>
          <w:noProof/>
        </w:rPr>
        <w:fldChar w:fldCharType="begin"/>
      </w:r>
      <w:r>
        <w:rPr>
          <w:noProof/>
        </w:rPr>
        <w:instrText xml:space="preserve"> PAGEREF \h _Toc422489461 \* MERGEFORMAT </w:instrText>
      </w:r>
      <w:r>
        <w:rPr>
          <w:noProof/>
        </w:rPr>
      </w:r>
      <w:r>
        <w:rPr>
          <w:noProof/>
        </w:rPr>
        <w:fldChar w:fldCharType="separate"/>
      </w:r>
      <w:r w:rsidR="005F6F0E">
        <w:rPr>
          <w:noProof/>
        </w:rPr>
        <w:t>8</w:t>
      </w:r>
      <w:r>
        <w:rPr>
          <w:noProof/>
        </w:rPr>
        <w:fldChar w:fldCharType="end"/>
      </w:r>
    </w:p>
    <w:p w:rsidR="00BE38BA" w:rsidRDefault="00BE38BA" w:rsidP="00BE38BA">
      <w:pPr>
        <w:pStyle w:val="TOC7"/>
        <w:rPr>
          <w:rFonts w:asciiTheme="minorHAnsi" w:eastAsiaTheme="minorEastAsia" w:hAnsiTheme="minorHAnsi" w:cstheme="minorBidi"/>
          <w:noProof/>
          <w:sz w:val="22"/>
          <w:szCs w:val="22"/>
          <w:lang w:eastAsia="en-GB"/>
        </w:rPr>
      </w:pPr>
      <w:r>
        <w:rPr>
          <w:noProof/>
        </w:rPr>
        <w:t>Any other business</w:t>
      </w:r>
      <w:r>
        <w:rPr>
          <w:noProof/>
        </w:rPr>
        <w:tab/>
      </w:r>
      <w:r>
        <w:rPr>
          <w:noProof/>
        </w:rPr>
        <w:fldChar w:fldCharType="begin"/>
      </w:r>
      <w:r>
        <w:rPr>
          <w:noProof/>
        </w:rPr>
        <w:instrText xml:space="preserve"> PAGEREF \h _Toc422489462 \* MERGEFORMAT </w:instrText>
      </w:r>
      <w:r>
        <w:rPr>
          <w:noProof/>
        </w:rPr>
      </w:r>
      <w:r>
        <w:rPr>
          <w:noProof/>
        </w:rPr>
        <w:fldChar w:fldCharType="separate"/>
      </w:r>
      <w:r w:rsidR="005F6F0E">
        <w:rPr>
          <w:noProof/>
        </w:rPr>
        <w:t>9</w:t>
      </w:r>
      <w:r>
        <w:rPr>
          <w:noProof/>
        </w:rPr>
        <w:fldChar w:fldCharType="end"/>
      </w:r>
    </w:p>
    <w:p w:rsidR="00BE38BA" w:rsidRDefault="00BE38BA" w:rsidP="00BE38BA">
      <w:pPr>
        <w:pStyle w:val="TOC9"/>
        <w:numPr>
          <w:ilvl w:val="0"/>
          <w:numId w:val="41"/>
        </w:numPr>
        <w:rPr>
          <w:rFonts w:asciiTheme="minorHAnsi" w:eastAsiaTheme="minorEastAsia" w:hAnsiTheme="minorHAnsi" w:cstheme="minorBidi"/>
          <w:noProof/>
          <w:sz w:val="22"/>
          <w:szCs w:val="22"/>
          <w:lang w:eastAsia="en-GB"/>
        </w:rPr>
      </w:pPr>
      <w:r>
        <w:rPr>
          <w:noProof/>
        </w:rPr>
        <w:t>Current legislative proposals</w:t>
      </w:r>
      <w:r>
        <w:rPr>
          <w:noProof/>
        </w:rPr>
        <w:tab/>
      </w:r>
      <w:r>
        <w:rPr>
          <w:noProof/>
        </w:rPr>
        <w:fldChar w:fldCharType="begin"/>
      </w:r>
      <w:r>
        <w:rPr>
          <w:noProof/>
        </w:rPr>
        <w:instrText xml:space="preserve"> PAGEREF \h _Toc422489463 \* MERGEFORMAT </w:instrText>
      </w:r>
      <w:r>
        <w:rPr>
          <w:noProof/>
        </w:rPr>
      </w:r>
      <w:r>
        <w:rPr>
          <w:noProof/>
        </w:rPr>
        <w:fldChar w:fldCharType="separate"/>
      </w:r>
      <w:r w:rsidR="005F6F0E">
        <w:rPr>
          <w:noProof/>
        </w:rPr>
        <w:t>9</w:t>
      </w:r>
      <w:r>
        <w:rPr>
          <w:noProof/>
        </w:rPr>
        <w:fldChar w:fldCharType="end"/>
      </w:r>
    </w:p>
    <w:p w:rsidR="00BE38BA" w:rsidRDefault="00BE38BA" w:rsidP="00BE38BA">
      <w:pPr>
        <w:pStyle w:val="TOC9"/>
        <w:rPr>
          <w:rFonts w:asciiTheme="minorHAnsi" w:eastAsiaTheme="minorEastAsia" w:hAnsiTheme="minorHAnsi" w:cstheme="minorBidi"/>
          <w:noProof/>
          <w:sz w:val="22"/>
          <w:szCs w:val="22"/>
          <w:lang w:eastAsia="en-GB"/>
        </w:rPr>
      </w:pPr>
      <w:r>
        <w:rPr>
          <w:noProof/>
        </w:rPr>
        <w:t>Transitional arrangements on free movement of workers from Croatia</w:t>
      </w:r>
      <w:r>
        <w:rPr>
          <w:noProof/>
        </w:rPr>
        <w:tab/>
      </w:r>
      <w:r>
        <w:rPr>
          <w:noProof/>
        </w:rPr>
        <w:fldChar w:fldCharType="begin"/>
      </w:r>
      <w:r>
        <w:rPr>
          <w:noProof/>
        </w:rPr>
        <w:instrText xml:space="preserve"> PAGEREF \h _Toc422489464 \* MERGEFORMAT </w:instrText>
      </w:r>
      <w:r>
        <w:rPr>
          <w:noProof/>
        </w:rPr>
      </w:r>
      <w:r>
        <w:rPr>
          <w:noProof/>
        </w:rPr>
        <w:fldChar w:fldCharType="separate"/>
      </w:r>
      <w:r w:rsidR="005F6F0E">
        <w:rPr>
          <w:noProof/>
        </w:rPr>
        <w:t>9</w:t>
      </w:r>
      <w:r>
        <w:rPr>
          <w:noProof/>
        </w:rPr>
        <w:fldChar w:fldCharType="end"/>
      </w:r>
    </w:p>
    <w:p w:rsidR="00BE38BA" w:rsidRDefault="00BE38BA" w:rsidP="00BE38BA">
      <w:pPr>
        <w:pStyle w:val="TOC9"/>
        <w:rPr>
          <w:rFonts w:asciiTheme="minorHAnsi" w:eastAsiaTheme="minorEastAsia" w:hAnsiTheme="minorHAnsi" w:cstheme="minorBidi"/>
          <w:noProof/>
          <w:sz w:val="22"/>
          <w:szCs w:val="22"/>
          <w:lang w:eastAsia="en-GB"/>
        </w:rPr>
      </w:pPr>
      <w:r w:rsidRPr="00FE2958">
        <w:rPr>
          <w:rFonts w:asciiTheme="majorBidi" w:hAnsiTheme="majorBidi" w:cstheme="majorBidi"/>
          <w:bCs/>
          <w:noProof/>
        </w:rPr>
        <w:t xml:space="preserve">Conferences organised by the </w:t>
      </w:r>
      <w:r>
        <w:rPr>
          <w:noProof/>
        </w:rPr>
        <w:t>Latvian</w:t>
      </w:r>
      <w:r w:rsidRPr="00FE2958">
        <w:rPr>
          <w:rFonts w:asciiTheme="majorBidi" w:hAnsiTheme="majorBidi" w:cstheme="majorBidi"/>
          <w:bCs/>
          <w:noProof/>
        </w:rPr>
        <w:t xml:space="preserve"> Presidency</w:t>
      </w:r>
      <w:r>
        <w:rPr>
          <w:noProof/>
        </w:rPr>
        <w:tab/>
      </w:r>
      <w:r>
        <w:rPr>
          <w:noProof/>
        </w:rPr>
        <w:fldChar w:fldCharType="begin"/>
      </w:r>
      <w:r>
        <w:rPr>
          <w:noProof/>
        </w:rPr>
        <w:instrText xml:space="preserve"> PAGEREF \h _Toc422489465 \* MERGEFORMAT </w:instrText>
      </w:r>
      <w:r>
        <w:rPr>
          <w:noProof/>
        </w:rPr>
      </w:r>
      <w:r>
        <w:rPr>
          <w:noProof/>
        </w:rPr>
        <w:fldChar w:fldCharType="separate"/>
      </w:r>
      <w:r w:rsidR="005F6F0E">
        <w:rPr>
          <w:noProof/>
        </w:rPr>
        <w:t>9</w:t>
      </w:r>
      <w:r>
        <w:rPr>
          <w:noProof/>
        </w:rPr>
        <w:fldChar w:fldCharType="end"/>
      </w:r>
    </w:p>
    <w:p w:rsidR="00BE38BA" w:rsidRDefault="00BE38BA" w:rsidP="00BE38BA">
      <w:pPr>
        <w:pStyle w:val="TOC9"/>
        <w:rPr>
          <w:rFonts w:asciiTheme="minorHAnsi" w:eastAsiaTheme="minorEastAsia" w:hAnsiTheme="minorHAnsi" w:cstheme="minorBidi"/>
          <w:noProof/>
          <w:sz w:val="22"/>
          <w:szCs w:val="22"/>
          <w:lang w:eastAsia="en-GB"/>
        </w:rPr>
      </w:pPr>
      <w:r w:rsidRPr="00FE2958">
        <w:rPr>
          <w:rFonts w:asciiTheme="majorBidi" w:hAnsiTheme="majorBidi" w:cstheme="majorBidi"/>
          <w:bCs/>
          <w:noProof/>
        </w:rPr>
        <w:t xml:space="preserve">Programme of the </w:t>
      </w:r>
      <w:r>
        <w:rPr>
          <w:noProof/>
        </w:rPr>
        <w:t>incoming</w:t>
      </w:r>
      <w:r w:rsidRPr="00FE2958">
        <w:rPr>
          <w:rFonts w:asciiTheme="majorBidi" w:hAnsiTheme="majorBidi" w:cstheme="majorBidi"/>
          <w:bCs/>
          <w:noProof/>
        </w:rPr>
        <w:t xml:space="preserve"> Presidency</w:t>
      </w:r>
      <w:r>
        <w:rPr>
          <w:noProof/>
        </w:rPr>
        <w:tab/>
      </w:r>
      <w:r>
        <w:rPr>
          <w:noProof/>
        </w:rPr>
        <w:fldChar w:fldCharType="begin"/>
      </w:r>
      <w:r>
        <w:rPr>
          <w:noProof/>
        </w:rPr>
        <w:instrText xml:space="preserve"> PAGEREF \h _Toc422489466 \* MERGEFORMAT </w:instrText>
      </w:r>
      <w:r>
        <w:rPr>
          <w:noProof/>
        </w:rPr>
      </w:r>
      <w:r>
        <w:rPr>
          <w:noProof/>
        </w:rPr>
        <w:fldChar w:fldCharType="separate"/>
      </w:r>
      <w:r w:rsidR="005F6F0E">
        <w:rPr>
          <w:noProof/>
        </w:rPr>
        <w:t>9</w:t>
      </w:r>
      <w:r>
        <w:rPr>
          <w:noProof/>
        </w:rPr>
        <w:fldChar w:fldCharType="end"/>
      </w:r>
    </w:p>
    <w:p w:rsidR="00BE38BA" w:rsidRDefault="00BE38BA" w:rsidP="00BE38BA">
      <w:pPr>
        <w:pStyle w:val="TOC6"/>
        <w:keepNext/>
        <w:rPr>
          <w:rFonts w:asciiTheme="minorHAnsi" w:eastAsiaTheme="minorEastAsia" w:hAnsiTheme="minorHAnsi" w:cstheme="minorBidi"/>
          <w:noProof/>
          <w:sz w:val="22"/>
          <w:szCs w:val="22"/>
          <w:lang w:eastAsia="en-GB"/>
        </w:rPr>
      </w:pPr>
      <w:r>
        <w:rPr>
          <w:noProof/>
        </w:rPr>
        <w:t>HEALTH</w:t>
      </w:r>
      <w:r>
        <w:rPr>
          <w:noProof/>
        </w:rPr>
        <w:tab/>
      </w:r>
      <w:r>
        <w:rPr>
          <w:noProof/>
        </w:rPr>
        <w:fldChar w:fldCharType="begin"/>
      </w:r>
      <w:r>
        <w:rPr>
          <w:noProof/>
        </w:rPr>
        <w:instrText xml:space="preserve"> PAGEREF \h _Toc422489467 \* MERGEFORMAT </w:instrText>
      </w:r>
      <w:r>
        <w:rPr>
          <w:noProof/>
        </w:rPr>
      </w:r>
      <w:r>
        <w:rPr>
          <w:noProof/>
        </w:rPr>
        <w:fldChar w:fldCharType="separate"/>
      </w:r>
      <w:r w:rsidR="005F6F0E">
        <w:rPr>
          <w:noProof/>
        </w:rPr>
        <w:t>10</w:t>
      </w:r>
      <w:r>
        <w:rPr>
          <w:noProof/>
        </w:rPr>
        <w:fldChar w:fldCharType="end"/>
      </w:r>
    </w:p>
    <w:p w:rsidR="00BE38BA" w:rsidRDefault="00BE38BA" w:rsidP="00BE38BA">
      <w:pPr>
        <w:pStyle w:val="TOC7"/>
        <w:keepNext/>
        <w:rPr>
          <w:rFonts w:asciiTheme="minorHAnsi" w:eastAsiaTheme="minorEastAsia" w:hAnsiTheme="minorHAnsi" w:cstheme="minorBidi"/>
          <w:noProof/>
          <w:sz w:val="22"/>
          <w:szCs w:val="22"/>
          <w:lang w:eastAsia="en-GB"/>
        </w:rPr>
      </w:pPr>
      <w:r>
        <w:rPr>
          <w:noProof/>
        </w:rPr>
        <w:t>Medical devices</w:t>
      </w:r>
      <w:r>
        <w:rPr>
          <w:noProof/>
        </w:rPr>
        <w:tab/>
      </w:r>
      <w:r>
        <w:rPr>
          <w:noProof/>
        </w:rPr>
        <w:fldChar w:fldCharType="begin"/>
      </w:r>
      <w:r>
        <w:rPr>
          <w:noProof/>
        </w:rPr>
        <w:instrText xml:space="preserve"> PAGEREF \h _Toc422489468 \* MERGEFORMAT </w:instrText>
      </w:r>
      <w:r>
        <w:rPr>
          <w:noProof/>
        </w:rPr>
      </w:r>
      <w:r>
        <w:rPr>
          <w:noProof/>
        </w:rPr>
        <w:fldChar w:fldCharType="separate"/>
      </w:r>
      <w:r w:rsidR="005F6F0E">
        <w:rPr>
          <w:noProof/>
        </w:rPr>
        <w:t>10</w:t>
      </w:r>
      <w:r>
        <w:rPr>
          <w:noProof/>
        </w:rPr>
        <w:fldChar w:fldCharType="end"/>
      </w:r>
    </w:p>
    <w:p w:rsidR="00BE38BA" w:rsidRDefault="00BE38BA" w:rsidP="00BE38BA">
      <w:pPr>
        <w:pStyle w:val="TOC7"/>
        <w:rPr>
          <w:rFonts w:asciiTheme="minorHAnsi" w:eastAsiaTheme="minorEastAsia" w:hAnsiTheme="minorHAnsi" w:cstheme="minorBidi"/>
          <w:noProof/>
          <w:sz w:val="22"/>
          <w:szCs w:val="22"/>
          <w:lang w:eastAsia="en-GB"/>
        </w:rPr>
      </w:pPr>
      <w:r>
        <w:rPr>
          <w:noProof/>
        </w:rPr>
        <w:t>Any other business</w:t>
      </w:r>
      <w:r>
        <w:rPr>
          <w:noProof/>
        </w:rPr>
        <w:tab/>
      </w:r>
      <w:r>
        <w:rPr>
          <w:noProof/>
        </w:rPr>
        <w:fldChar w:fldCharType="begin"/>
      </w:r>
      <w:r>
        <w:rPr>
          <w:noProof/>
        </w:rPr>
        <w:instrText xml:space="preserve"> PAGEREF \h _Toc422489469 \* MERGEFORMAT </w:instrText>
      </w:r>
      <w:r>
        <w:rPr>
          <w:noProof/>
        </w:rPr>
      </w:r>
      <w:r>
        <w:rPr>
          <w:noProof/>
        </w:rPr>
        <w:fldChar w:fldCharType="separate"/>
      </w:r>
      <w:r w:rsidR="005F6F0E">
        <w:rPr>
          <w:noProof/>
        </w:rPr>
        <w:t>10</w:t>
      </w:r>
      <w:r>
        <w:rPr>
          <w:noProof/>
        </w:rPr>
        <w:fldChar w:fldCharType="end"/>
      </w:r>
    </w:p>
    <w:p w:rsidR="00BE38BA" w:rsidRDefault="00BE38BA" w:rsidP="00BE38BA">
      <w:pPr>
        <w:pStyle w:val="TOC9"/>
        <w:rPr>
          <w:rFonts w:asciiTheme="minorHAnsi" w:eastAsiaTheme="minorEastAsia" w:hAnsiTheme="minorHAnsi" w:cstheme="minorBidi"/>
          <w:noProof/>
          <w:sz w:val="22"/>
          <w:szCs w:val="22"/>
          <w:lang w:eastAsia="en-GB"/>
        </w:rPr>
      </w:pPr>
      <w:r>
        <w:rPr>
          <w:noProof/>
        </w:rPr>
        <w:t>EU alcohol policy</w:t>
      </w:r>
      <w:r>
        <w:rPr>
          <w:noProof/>
        </w:rPr>
        <w:tab/>
      </w:r>
      <w:r>
        <w:rPr>
          <w:noProof/>
        </w:rPr>
        <w:fldChar w:fldCharType="begin"/>
      </w:r>
      <w:r>
        <w:rPr>
          <w:noProof/>
        </w:rPr>
        <w:instrText xml:space="preserve"> PAGEREF \h _Toc422489470 \* MERGEFORMAT </w:instrText>
      </w:r>
      <w:r>
        <w:rPr>
          <w:noProof/>
        </w:rPr>
      </w:r>
      <w:r>
        <w:rPr>
          <w:noProof/>
        </w:rPr>
        <w:fldChar w:fldCharType="separate"/>
      </w:r>
      <w:r w:rsidR="005F6F0E">
        <w:rPr>
          <w:noProof/>
        </w:rPr>
        <w:t>10</w:t>
      </w:r>
      <w:r>
        <w:rPr>
          <w:noProof/>
        </w:rPr>
        <w:fldChar w:fldCharType="end"/>
      </w:r>
    </w:p>
    <w:p w:rsidR="00BE38BA" w:rsidRDefault="00BE38BA" w:rsidP="00BE38BA">
      <w:pPr>
        <w:pStyle w:val="TOC9"/>
        <w:rPr>
          <w:rFonts w:asciiTheme="minorHAnsi" w:eastAsiaTheme="minorEastAsia" w:hAnsiTheme="minorHAnsi" w:cstheme="minorBidi"/>
          <w:noProof/>
          <w:sz w:val="22"/>
          <w:szCs w:val="22"/>
          <w:lang w:eastAsia="en-GB"/>
        </w:rPr>
      </w:pPr>
      <w:r>
        <w:rPr>
          <w:noProof/>
        </w:rPr>
        <w:t>Health dimension in the European agenda on migration</w:t>
      </w:r>
      <w:r>
        <w:rPr>
          <w:noProof/>
        </w:rPr>
        <w:tab/>
      </w:r>
      <w:r>
        <w:rPr>
          <w:noProof/>
        </w:rPr>
        <w:fldChar w:fldCharType="begin"/>
      </w:r>
      <w:r>
        <w:rPr>
          <w:noProof/>
        </w:rPr>
        <w:instrText xml:space="preserve"> PAGEREF \h _Toc422489471 \* MERGEFORMAT </w:instrText>
      </w:r>
      <w:r>
        <w:rPr>
          <w:noProof/>
        </w:rPr>
      </w:r>
      <w:r>
        <w:rPr>
          <w:noProof/>
        </w:rPr>
        <w:fldChar w:fldCharType="separate"/>
      </w:r>
      <w:r w:rsidR="005F6F0E">
        <w:rPr>
          <w:noProof/>
        </w:rPr>
        <w:t>11</w:t>
      </w:r>
      <w:r>
        <w:rPr>
          <w:noProof/>
        </w:rPr>
        <w:fldChar w:fldCharType="end"/>
      </w:r>
    </w:p>
    <w:p w:rsidR="00BE38BA" w:rsidRDefault="00BE38BA" w:rsidP="00BE38BA">
      <w:pPr>
        <w:pStyle w:val="TOC9"/>
        <w:rPr>
          <w:rFonts w:asciiTheme="minorHAnsi" w:eastAsiaTheme="minorEastAsia" w:hAnsiTheme="minorHAnsi" w:cstheme="minorBidi"/>
          <w:noProof/>
          <w:sz w:val="22"/>
          <w:szCs w:val="22"/>
          <w:lang w:eastAsia="en-GB"/>
        </w:rPr>
      </w:pPr>
      <w:r>
        <w:rPr>
          <w:noProof/>
        </w:rPr>
        <w:t>Diphteria</w:t>
      </w:r>
      <w:r>
        <w:rPr>
          <w:noProof/>
        </w:rPr>
        <w:tab/>
      </w:r>
      <w:r>
        <w:rPr>
          <w:noProof/>
        </w:rPr>
        <w:fldChar w:fldCharType="begin"/>
      </w:r>
      <w:r>
        <w:rPr>
          <w:noProof/>
        </w:rPr>
        <w:instrText xml:space="preserve"> PAGEREF \h _Toc422489472 \* MERGEFORMAT </w:instrText>
      </w:r>
      <w:r>
        <w:rPr>
          <w:noProof/>
        </w:rPr>
      </w:r>
      <w:r>
        <w:rPr>
          <w:noProof/>
        </w:rPr>
        <w:fldChar w:fldCharType="separate"/>
      </w:r>
      <w:r w:rsidR="005F6F0E">
        <w:rPr>
          <w:noProof/>
        </w:rPr>
        <w:t>11</w:t>
      </w:r>
      <w:r>
        <w:rPr>
          <w:noProof/>
        </w:rPr>
        <w:fldChar w:fldCharType="end"/>
      </w:r>
    </w:p>
    <w:p w:rsidR="00BE38BA" w:rsidRDefault="00BE38BA" w:rsidP="00BE38BA">
      <w:pPr>
        <w:pStyle w:val="TOC9"/>
        <w:keepNext/>
        <w:rPr>
          <w:rFonts w:asciiTheme="minorHAnsi" w:eastAsiaTheme="minorEastAsia" w:hAnsiTheme="minorHAnsi" w:cstheme="minorBidi"/>
          <w:noProof/>
          <w:sz w:val="22"/>
          <w:szCs w:val="22"/>
          <w:lang w:eastAsia="en-GB"/>
        </w:rPr>
      </w:pPr>
      <w:r w:rsidRPr="00FE2958">
        <w:rPr>
          <w:noProof/>
          <w:color w:val="000000"/>
        </w:rPr>
        <w:t xml:space="preserve">Work programme of </w:t>
      </w:r>
      <w:r>
        <w:rPr>
          <w:noProof/>
        </w:rPr>
        <w:t>the</w:t>
      </w:r>
      <w:r w:rsidRPr="00FE2958">
        <w:rPr>
          <w:noProof/>
          <w:color w:val="000000"/>
        </w:rPr>
        <w:t xml:space="preserve"> incoming presidency</w:t>
      </w:r>
      <w:r>
        <w:rPr>
          <w:noProof/>
        </w:rPr>
        <w:tab/>
      </w:r>
      <w:r>
        <w:rPr>
          <w:noProof/>
        </w:rPr>
        <w:fldChar w:fldCharType="begin"/>
      </w:r>
      <w:r>
        <w:rPr>
          <w:noProof/>
        </w:rPr>
        <w:instrText xml:space="preserve"> PAGEREF \h _Toc422489473 \* MERGEFORMAT </w:instrText>
      </w:r>
      <w:r>
        <w:rPr>
          <w:noProof/>
        </w:rPr>
      </w:r>
      <w:r>
        <w:rPr>
          <w:noProof/>
        </w:rPr>
        <w:fldChar w:fldCharType="separate"/>
      </w:r>
      <w:r w:rsidR="005F6F0E">
        <w:rPr>
          <w:noProof/>
        </w:rPr>
        <w:t>11</w:t>
      </w:r>
      <w:r>
        <w:rPr>
          <w:noProof/>
        </w:rPr>
        <w:fldChar w:fldCharType="end"/>
      </w:r>
    </w:p>
    <w:p w:rsidR="00BE38BA" w:rsidRDefault="00BE38BA" w:rsidP="00BE38BA">
      <w:pPr>
        <w:pStyle w:val="TOC7"/>
        <w:rPr>
          <w:rFonts w:asciiTheme="minorHAnsi" w:eastAsiaTheme="minorEastAsia" w:hAnsiTheme="minorHAnsi" w:cstheme="minorBidi"/>
          <w:noProof/>
          <w:sz w:val="22"/>
          <w:szCs w:val="22"/>
          <w:lang w:eastAsia="en-GB"/>
        </w:rPr>
      </w:pPr>
      <w:r>
        <w:rPr>
          <w:noProof/>
        </w:rPr>
        <w:t>In the margins of the Council</w:t>
      </w:r>
      <w:r>
        <w:rPr>
          <w:noProof/>
        </w:rPr>
        <w:tab/>
      </w:r>
      <w:r>
        <w:rPr>
          <w:noProof/>
        </w:rPr>
        <w:fldChar w:fldCharType="begin"/>
      </w:r>
      <w:r>
        <w:rPr>
          <w:noProof/>
        </w:rPr>
        <w:instrText xml:space="preserve"> PAGEREF \h _Toc422489474 \* MERGEFORMAT </w:instrText>
      </w:r>
      <w:r>
        <w:rPr>
          <w:noProof/>
        </w:rPr>
      </w:r>
      <w:r>
        <w:rPr>
          <w:noProof/>
        </w:rPr>
        <w:fldChar w:fldCharType="separate"/>
      </w:r>
      <w:r w:rsidR="005F6F0E">
        <w:rPr>
          <w:noProof/>
        </w:rPr>
        <w:t>11</w:t>
      </w:r>
      <w:r>
        <w:rPr>
          <w:noProof/>
        </w:rPr>
        <w:fldChar w:fldCharType="end"/>
      </w:r>
    </w:p>
    <w:p w:rsidR="00BE38BA" w:rsidRPr="00BE38BA" w:rsidRDefault="00BE38BA" w:rsidP="00BE38BA">
      <w:pPr>
        <w:pStyle w:val="TOC9"/>
      </w:pPr>
      <w:r>
        <w:rPr>
          <w:noProof/>
        </w:rPr>
        <w:t>Signing ceremony of the joint procurement agreement</w:t>
      </w:r>
      <w:r>
        <w:rPr>
          <w:noProof/>
        </w:rPr>
        <w:tab/>
      </w:r>
      <w:r>
        <w:rPr>
          <w:noProof/>
        </w:rPr>
        <w:fldChar w:fldCharType="begin"/>
      </w:r>
      <w:r>
        <w:rPr>
          <w:noProof/>
        </w:rPr>
        <w:instrText xml:space="preserve"> PAGEREF \h _Toc422489475 \* MERGEFORMAT </w:instrText>
      </w:r>
      <w:r>
        <w:rPr>
          <w:noProof/>
        </w:rPr>
      </w:r>
      <w:r>
        <w:rPr>
          <w:noProof/>
        </w:rPr>
        <w:fldChar w:fldCharType="separate"/>
      </w:r>
      <w:r w:rsidR="005F6F0E">
        <w:rPr>
          <w:noProof/>
        </w:rPr>
        <w:t>11</w:t>
      </w:r>
      <w:r>
        <w:rPr>
          <w:noProof/>
        </w:rPr>
        <w:fldChar w:fldCharType="end"/>
      </w:r>
    </w:p>
    <w:p w:rsidR="00BE38BA" w:rsidRDefault="00BE38BA" w:rsidP="00BE38BA">
      <w:pPr>
        <w:pStyle w:val="TOC5"/>
      </w:pPr>
      <w:r>
        <w:lastRenderedPageBreak/>
        <w:t>OTHER ITEMS APPROVED</w:t>
      </w:r>
    </w:p>
    <w:p w:rsidR="00BE38BA" w:rsidRDefault="00BE38BA" w:rsidP="00BE38BA">
      <w:pPr>
        <w:pStyle w:val="TOC8"/>
      </w:pPr>
      <w:r>
        <w:t>none</w:t>
      </w:r>
    </w:p>
    <w:p w:rsidR="00BE38BA" w:rsidRDefault="00BE38BA" w:rsidP="00EA2C83">
      <w:pPr>
        <w:sectPr w:rsidR="00BE38BA" w:rsidSect="00F26751">
          <w:headerReference w:type="default" r:id="rId11"/>
          <w:headerReference w:type="first" r:id="rId12"/>
          <w:footerReference w:type="first" r:id="rId13"/>
          <w:footnotePr>
            <w:numRestart w:val="eachPage"/>
          </w:footnotePr>
          <w:pgSz w:w="11907" w:h="16840" w:code="9"/>
          <w:pgMar w:top="1134" w:right="1134" w:bottom="1134" w:left="1134" w:header="567" w:footer="567" w:gutter="0"/>
          <w:cols w:space="708"/>
          <w:titlePg/>
          <w:docGrid w:linePitch="360"/>
        </w:sectPr>
      </w:pPr>
    </w:p>
    <w:p w:rsidR="00EA2C83" w:rsidRDefault="00EA2C83" w:rsidP="00EA2C83">
      <w:pPr>
        <w:pStyle w:val="ItemsDebatedHeading"/>
      </w:pPr>
      <w:r w:rsidRPr="00EA2C83">
        <w:lastRenderedPageBreak/>
        <w:t>ITEMS DEBATED</w:t>
      </w:r>
    </w:p>
    <w:p w:rsidR="00466A83" w:rsidRPr="00466A83" w:rsidRDefault="001D4B9F" w:rsidP="00466A83">
      <w:pPr>
        <w:pStyle w:val="ItemDebated"/>
      </w:pPr>
      <w:bookmarkStart w:id="5" w:name="_Toc422489455"/>
      <w:r w:rsidRPr="00466A83">
        <w:t>EMPLOYMENT AND SOCIAL POLICY</w:t>
      </w:r>
      <w:bookmarkEnd w:id="5"/>
    </w:p>
    <w:p w:rsidR="00466A83" w:rsidRPr="00466A83" w:rsidRDefault="00466A83" w:rsidP="00466A83">
      <w:pPr>
        <w:pStyle w:val="Sub-itemDebated"/>
      </w:pPr>
      <w:bookmarkStart w:id="6" w:name="_Toc422489456"/>
      <w:r w:rsidRPr="00466A83">
        <w:t>European Semester 2015</w:t>
      </w:r>
      <w:bookmarkEnd w:id="6"/>
    </w:p>
    <w:p w:rsidR="00466A83" w:rsidRPr="00466A83" w:rsidRDefault="00466A83" w:rsidP="00B85284">
      <w:pPr>
        <w:suppressAutoHyphens/>
        <w:spacing w:line="280" w:lineRule="exact"/>
        <w:rPr>
          <w:rFonts w:asciiTheme="majorBidi" w:hAnsiTheme="majorBidi" w:cstheme="majorBidi"/>
        </w:rPr>
      </w:pPr>
      <w:r w:rsidRPr="00466A83">
        <w:rPr>
          <w:rFonts w:asciiTheme="majorBidi" w:hAnsiTheme="majorBidi" w:cstheme="majorBidi"/>
        </w:rPr>
        <w:t xml:space="preserve">The Council held a </w:t>
      </w:r>
      <w:hyperlink r:id="rId14" w:history="1">
        <w:r w:rsidRPr="00466A83">
          <w:rPr>
            <w:rStyle w:val="Hyperlink"/>
            <w:rFonts w:asciiTheme="majorBidi" w:hAnsiTheme="majorBidi" w:cstheme="majorBidi"/>
          </w:rPr>
          <w:t>policy debate</w:t>
        </w:r>
      </w:hyperlink>
      <w:r w:rsidRPr="00466A83">
        <w:rPr>
          <w:rFonts w:asciiTheme="majorBidi" w:hAnsiTheme="majorBidi" w:cstheme="majorBidi"/>
        </w:rPr>
        <w:t xml:space="preserve"> on the 2015 European Semester, </w:t>
      </w:r>
      <w:r w:rsidR="00B85284">
        <w:rPr>
          <w:rFonts w:asciiTheme="majorBidi" w:hAnsiTheme="majorBidi" w:cstheme="majorBidi"/>
        </w:rPr>
        <w:t>as part of</w:t>
      </w:r>
      <w:r w:rsidRPr="00466A83">
        <w:rPr>
          <w:rFonts w:asciiTheme="majorBidi" w:hAnsiTheme="majorBidi" w:cstheme="majorBidi"/>
        </w:rPr>
        <w:t xml:space="preserve"> EPSCO</w:t>
      </w:r>
      <w:r w:rsidR="00B85284">
        <w:rPr>
          <w:rFonts w:asciiTheme="majorBidi" w:hAnsiTheme="majorBidi" w:cstheme="majorBidi"/>
        </w:rPr>
        <w:t>'s</w:t>
      </w:r>
      <w:r w:rsidRPr="00466A83">
        <w:rPr>
          <w:rFonts w:asciiTheme="majorBidi" w:hAnsiTheme="majorBidi" w:cstheme="majorBidi"/>
        </w:rPr>
        <w:t xml:space="preserve"> contribution to the European Council on the employment/social policy aspects of the country-specific recommendations (CSRs).</w:t>
      </w:r>
    </w:p>
    <w:p w:rsidR="005B67B3" w:rsidRPr="005B67B3" w:rsidRDefault="005B67B3" w:rsidP="00BA1C8E">
      <w:pPr>
        <w:suppressAutoHyphens/>
        <w:spacing w:line="280" w:lineRule="exact"/>
        <w:rPr>
          <w:rFonts w:asciiTheme="majorBidi" w:hAnsiTheme="majorBidi" w:cstheme="majorBidi"/>
        </w:rPr>
      </w:pPr>
      <w:r w:rsidRPr="005B67B3">
        <w:rPr>
          <w:rFonts w:asciiTheme="majorBidi" w:hAnsiTheme="majorBidi" w:cstheme="majorBidi"/>
        </w:rPr>
        <w:t xml:space="preserve">Ministers acknowledged that, despite an </w:t>
      </w:r>
      <w:r w:rsidR="00BA1C8E">
        <w:rPr>
          <w:rFonts w:asciiTheme="majorBidi" w:hAnsiTheme="majorBidi" w:cstheme="majorBidi"/>
        </w:rPr>
        <w:t>improving</w:t>
      </w:r>
      <w:r w:rsidRPr="005B67B3">
        <w:rPr>
          <w:rFonts w:asciiTheme="majorBidi" w:hAnsiTheme="majorBidi" w:cstheme="majorBidi"/>
        </w:rPr>
        <w:t xml:space="preserve"> economic situation, serious challenges remain, in particular </w:t>
      </w:r>
      <w:r w:rsidR="00BA1C8E">
        <w:rPr>
          <w:rFonts w:asciiTheme="majorBidi" w:hAnsiTheme="majorBidi" w:cstheme="majorBidi"/>
        </w:rPr>
        <w:t>in the areas of</w:t>
      </w:r>
      <w:r w:rsidRPr="005B67B3">
        <w:rPr>
          <w:rFonts w:asciiTheme="majorBidi" w:hAnsiTheme="majorBidi" w:cstheme="majorBidi"/>
        </w:rPr>
        <w:t xml:space="preserve"> employment and social policy. Risks and challenges are particularly acute regarding poverty, inequality, social cohesion and social inclusion. A strengthening of the social dimension of EMU is required; employment and social considerations must </w:t>
      </w:r>
      <w:r w:rsidR="00BA1C8E">
        <w:rPr>
          <w:rFonts w:asciiTheme="majorBidi" w:hAnsiTheme="majorBidi" w:cstheme="majorBidi"/>
        </w:rPr>
        <w:t>be treated as a priority</w:t>
      </w:r>
      <w:r w:rsidRPr="005B67B3">
        <w:rPr>
          <w:rFonts w:asciiTheme="majorBidi" w:hAnsiTheme="majorBidi" w:cstheme="majorBidi"/>
        </w:rPr>
        <w:t xml:space="preserve"> in order to guarantee the stability of the Eurozone. Implementation of CSRs is key. CSRs concerning employment and social issues must be maintained within the EPSCO remit and should not systematically become a part of the MIP process.</w:t>
      </w:r>
    </w:p>
    <w:p w:rsidR="00466A83" w:rsidRPr="00466A83" w:rsidRDefault="005B67B3" w:rsidP="00BA1C8E">
      <w:pPr>
        <w:suppressAutoHyphens/>
        <w:spacing w:line="280" w:lineRule="exact"/>
        <w:rPr>
          <w:rFonts w:asciiTheme="majorBidi" w:hAnsiTheme="majorBidi" w:cstheme="majorBidi"/>
        </w:rPr>
      </w:pPr>
      <w:r w:rsidRPr="005B67B3">
        <w:rPr>
          <w:rFonts w:asciiTheme="majorBidi" w:hAnsiTheme="majorBidi" w:cstheme="majorBidi"/>
        </w:rPr>
        <w:t xml:space="preserve">In terms of process, Ministers </w:t>
      </w:r>
      <w:r w:rsidR="00BA1C8E">
        <w:rPr>
          <w:rFonts w:asciiTheme="majorBidi" w:hAnsiTheme="majorBidi" w:cstheme="majorBidi"/>
        </w:rPr>
        <w:t>gave a positive evaluation of</w:t>
      </w:r>
      <w:r w:rsidRPr="005B67B3">
        <w:rPr>
          <w:rFonts w:asciiTheme="majorBidi" w:hAnsiTheme="majorBidi" w:cstheme="majorBidi"/>
        </w:rPr>
        <w:t xml:space="preserve"> the streamlining of the Semester, in particular the extended timelines which allowed for a broader analysis and more extensive consultations with all stakeholders, as well as the increas</w:t>
      </w:r>
      <w:r w:rsidR="00B85284">
        <w:rPr>
          <w:rFonts w:asciiTheme="majorBidi" w:hAnsiTheme="majorBidi" w:cstheme="majorBidi"/>
        </w:rPr>
        <w:t xml:space="preserve">ed </w:t>
      </w:r>
      <w:r w:rsidR="00BA1C8E">
        <w:rPr>
          <w:rFonts w:asciiTheme="majorBidi" w:hAnsiTheme="majorBidi" w:cstheme="majorBidi"/>
        </w:rPr>
        <w:t>relevance</w:t>
      </w:r>
      <w:r w:rsidR="00B85284">
        <w:rPr>
          <w:rFonts w:asciiTheme="majorBidi" w:hAnsiTheme="majorBidi" w:cstheme="majorBidi"/>
        </w:rPr>
        <w:t xml:space="preserve"> and focus of the CSRs.</w:t>
      </w:r>
    </w:p>
    <w:p w:rsidR="00466A83" w:rsidRPr="00466A83" w:rsidRDefault="00466A83" w:rsidP="00466A83">
      <w:pPr>
        <w:suppressAutoHyphens/>
        <w:spacing w:line="280" w:lineRule="exact"/>
        <w:rPr>
          <w:rFonts w:asciiTheme="majorBidi" w:hAnsiTheme="majorBidi" w:cstheme="majorBidi"/>
        </w:rPr>
      </w:pPr>
      <w:r w:rsidRPr="00466A83">
        <w:rPr>
          <w:rFonts w:asciiTheme="majorBidi" w:hAnsiTheme="majorBidi" w:cstheme="majorBidi"/>
        </w:rPr>
        <w:t xml:space="preserve">For </w:t>
      </w:r>
      <w:r w:rsidRPr="00466A83">
        <w:rPr>
          <w:rFonts w:asciiTheme="majorBidi" w:hAnsiTheme="majorBidi" w:cstheme="majorBidi"/>
          <w:noProof/>
        </w:rPr>
        <w:t>the</w:t>
      </w:r>
      <w:r w:rsidRPr="00466A83">
        <w:rPr>
          <w:rFonts w:asciiTheme="majorBidi" w:hAnsiTheme="majorBidi" w:cstheme="majorBidi"/>
        </w:rPr>
        <w:t xml:space="preserve"> 2015 </w:t>
      </w:r>
      <w:r w:rsidRPr="00466A83">
        <w:rPr>
          <w:rFonts w:asciiTheme="majorBidi" w:hAnsiTheme="majorBidi" w:cstheme="majorBidi"/>
          <w:b/>
          <w:bCs/>
        </w:rPr>
        <w:t>European Semester</w:t>
      </w:r>
      <w:r w:rsidRPr="00466A83">
        <w:rPr>
          <w:rFonts w:asciiTheme="majorBidi" w:hAnsiTheme="majorBidi" w:cstheme="majorBidi"/>
        </w:rPr>
        <w:t xml:space="preserve">, the </w:t>
      </w:r>
      <w:r w:rsidRPr="00466A83">
        <w:rPr>
          <w:rFonts w:asciiTheme="majorBidi" w:hAnsiTheme="majorBidi" w:cstheme="majorBidi"/>
          <w:b/>
          <w:bCs/>
        </w:rPr>
        <w:t>annual growth survey</w:t>
      </w:r>
      <w:r w:rsidRPr="00466A83">
        <w:rPr>
          <w:rFonts w:asciiTheme="majorBidi" w:hAnsiTheme="majorBidi" w:cstheme="majorBidi"/>
        </w:rPr>
        <w:t xml:space="preserve"> proposes a three-pillar response to exit the crisis:</w:t>
      </w:r>
    </w:p>
    <w:p w:rsidR="00466A83" w:rsidRPr="00466A83" w:rsidRDefault="00466A83" w:rsidP="00466A83">
      <w:pPr>
        <w:pStyle w:val="Tiret0"/>
        <w:numPr>
          <w:ilvl w:val="0"/>
          <w:numId w:val="42"/>
        </w:numPr>
      </w:pPr>
      <w:r w:rsidRPr="00466A83">
        <w:t>boosting investment,</w:t>
      </w:r>
    </w:p>
    <w:p w:rsidR="00466A83" w:rsidRPr="00466A83" w:rsidRDefault="00466A83" w:rsidP="00466A83">
      <w:pPr>
        <w:pStyle w:val="Tiret0"/>
        <w:rPr>
          <w:rFonts w:asciiTheme="majorBidi" w:hAnsiTheme="majorBidi" w:cstheme="majorBidi"/>
        </w:rPr>
      </w:pPr>
      <w:r w:rsidRPr="00466A83">
        <w:rPr>
          <w:rFonts w:asciiTheme="majorBidi" w:hAnsiTheme="majorBidi" w:cstheme="majorBidi"/>
        </w:rPr>
        <w:t xml:space="preserve">accelerating </w:t>
      </w:r>
      <w:r w:rsidRPr="00466A83">
        <w:t>structural</w:t>
      </w:r>
      <w:r w:rsidRPr="00466A83">
        <w:rPr>
          <w:rFonts w:asciiTheme="majorBidi" w:hAnsiTheme="majorBidi" w:cstheme="majorBidi"/>
        </w:rPr>
        <w:t xml:space="preserve"> </w:t>
      </w:r>
      <w:r w:rsidRPr="00466A83">
        <w:rPr>
          <w:rFonts w:asciiTheme="majorBidi" w:hAnsiTheme="majorBidi" w:cstheme="majorBidi"/>
          <w:noProof/>
        </w:rPr>
        <w:t>reforms</w:t>
      </w:r>
      <w:r w:rsidRPr="00466A83">
        <w:rPr>
          <w:rFonts w:asciiTheme="majorBidi" w:hAnsiTheme="majorBidi" w:cstheme="majorBidi"/>
        </w:rPr>
        <w:t xml:space="preserve"> and</w:t>
      </w:r>
    </w:p>
    <w:p w:rsidR="00466A83" w:rsidRPr="00466A83" w:rsidRDefault="00466A83" w:rsidP="00466A83">
      <w:pPr>
        <w:pStyle w:val="Tiret0"/>
        <w:rPr>
          <w:rFonts w:asciiTheme="majorBidi" w:hAnsiTheme="majorBidi" w:cstheme="majorBidi"/>
        </w:rPr>
      </w:pPr>
      <w:r w:rsidRPr="00466A83">
        <w:rPr>
          <w:rFonts w:asciiTheme="majorBidi" w:hAnsiTheme="majorBidi" w:cstheme="majorBidi"/>
        </w:rPr>
        <w:t xml:space="preserve">pursuing </w:t>
      </w:r>
      <w:r w:rsidRPr="00466A83">
        <w:t>responsible</w:t>
      </w:r>
      <w:r w:rsidRPr="00466A83">
        <w:rPr>
          <w:rFonts w:asciiTheme="majorBidi" w:hAnsiTheme="majorBidi" w:cstheme="majorBidi"/>
        </w:rPr>
        <w:t>, growth-friendly fiscal consolidation.</w:t>
      </w:r>
    </w:p>
    <w:p w:rsidR="00466A83" w:rsidRPr="00466A83" w:rsidRDefault="00466A83" w:rsidP="00466A83">
      <w:pPr>
        <w:suppressAutoHyphens/>
        <w:spacing w:line="280" w:lineRule="exact"/>
        <w:rPr>
          <w:rFonts w:asciiTheme="majorBidi" w:hAnsiTheme="majorBidi" w:cstheme="majorBidi"/>
        </w:rPr>
      </w:pPr>
      <w:r w:rsidRPr="00466A83">
        <w:rPr>
          <w:rFonts w:asciiTheme="majorBidi" w:hAnsiTheme="majorBidi" w:cstheme="majorBidi"/>
        </w:rPr>
        <w:t xml:space="preserve">In the </w:t>
      </w:r>
      <w:r w:rsidRPr="00466A83">
        <w:rPr>
          <w:rFonts w:asciiTheme="majorBidi" w:hAnsiTheme="majorBidi" w:cstheme="majorBidi"/>
          <w:b/>
          <w:bCs/>
        </w:rPr>
        <w:t>employment and social protection</w:t>
      </w:r>
      <w:r w:rsidRPr="00466A83">
        <w:rPr>
          <w:rFonts w:asciiTheme="majorBidi" w:hAnsiTheme="majorBidi" w:cstheme="majorBidi"/>
        </w:rPr>
        <w:t xml:space="preserve"> area, the 2015 CSRs aim at the promotion of job creation, labour market participation, activation and effective income support combined with employability. They also put a focus on skills development, advocating quality apprenticeships and lifelong learning.</w:t>
      </w:r>
    </w:p>
    <w:p w:rsidR="00466A83" w:rsidRPr="00466A83" w:rsidRDefault="00BA4272" w:rsidP="00466A83">
      <w:pPr>
        <w:suppressAutoHyphens/>
        <w:spacing w:line="280" w:lineRule="exact"/>
        <w:rPr>
          <w:rFonts w:asciiTheme="majorBidi" w:hAnsiTheme="majorBidi" w:cstheme="majorBidi"/>
        </w:rPr>
      </w:pPr>
      <w:r>
        <w:rPr>
          <w:rFonts w:asciiTheme="majorBidi" w:hAnsiTheme="majorBidi" w:cstheme="majorBidi"/>
        </w:rPr>
        <w:br w:type="page"/>
      </w:r>
      <w:r w:rsidR="00466A83" w:rsidRPr="00466A83">
        <w:rPr>
          <w:rFonts w:asciiTheme="majorBidi" w:hAnsiTheme="majorBidi" w:cstheme="majorBidi"/>
        </w:rPr>
        <w:lastRenderedPageBreak/>
        <w:t xml:space="preserve">The sustainability challenge and the current and projected adequacy of future </w:t>
      </w:r>
      <w:r w:rsidR="00466A83" w:rsidRPr="00466A83">
        <w:rPr>
          <w:rFonts w:asciiTheme="majorBidi" w:hAnsiTheme="majorBidi" w:cstheme="majorBidi"/>
          <w:b/>
          <w:bCs/>
        </w:rPr>
        <w:t>pensions</w:t>
      </w:r>
      <w:r w:rsidR="00466A83" w:rsidRPr="00466A83">
        <w:rPr>
          <w:rFonts w:asciiTheme="majorBidi" w:hAnsiTheme="majorBidi" w:cstheme="majorBidi"/>
        </w:rPr>
        <w:t xml:space="preserve"> need to be addressed in a comprehensive way. </w:t>
      </w:r>
      <w:r w:rsidR="00466A83" w:rsidRPr="00466A83">
        <w:rPr>
          <w:rFonts w:asciiTheme="majorBidi" w:hAnsiTheme="majorBidi" w:cstheme="majorBidi"/>
          <w:noProof/>
        </w:rPr>
        <w:t>Increasing</w:t>
      </w:r>
      <w:r w:rsidR="00466A83" w:rsidRPr="00466A83">
        <w:rPr>
          <w:rFonts w:asciiTheme="majorBidi" w:hAnsiTheme="majorBidi" w:cstheme="majorBidi"/>
        </w:rPr>
        <w:t xml:space="preserve"> the statutory as well as the effective retirement ages remains an important issue in the 2015 Semester cycle.</w:t>
      </w:r>
    </w:p>
    <w:p w:rsidR="00466A83" w:rsidRPr="00466A83" w:rsidRDefault="00466A83" w:rsidP="00466A83">
      <w:pPr>
        <w:suppressAutoHyphens/>
        <w:spacing w:line="280" w:lineRule="exact"/>
        <w:rPr>
          <w:rFonts w:asciiTheme="majorBidi" w:hAnsiTheme="majorBidi" w:cstheme="majorBidi"/>
        </w:rPr>
      </w:pPr>
      <w:r w:rsidRPr="00466A83">
        <w:rPr>
          <w:rFonts w:asciiTheme="majorBidi" w:hAnsiTheme="majorBidi" w:cstheme="majorBidi"/>
        </w:rPr>
        <w:t xml:space="preserve">In the area of </w:t>
      </w:r>
      <w:r w:rsidRPr="00466A83">
        <w:rPr>
          <w:rFonts w:asciiTheme="majorBidi" w:hAnsiTheme="majorBidi" w:cstheme="majorBidi"/>
          <w:b/>
          <w:bCs/>
        </w:rPr>
        <w:t>healthcare</w:t>
      </w:r>
      <w:r w:rsidRPr="00466A83">
        <w:rPr>
          <w:rFonts w:asciiTheme="majorBidi" w:hAnsiTheme="majorBidi" w:cstheme="majorBidi"/>
        </w:rPr>
        <w:t>, the main focus is on ensuring cost-effectiveness and sustainability while ensuring universal access for all to adequate and quality healthcare.</w:t>
      </w:r>
    </w:p>
    <w:p w:rsidR="00466A83" w:rsidRPr="00466A83" w:rsidRDefault="00466A83" w:rsidP="00466A83">
      <w:pPr>
        <w:suppressAutoHyphens/>
        <w:spacing w:line="280" w:lineRule="exact"/>
        <w:rPr>
          <w:rFonts w:asciiTheme="majorBidi" w:hAnsiTheme="majorBidi" w:cstheme="majorBidi"/>
          <w:bCs/>
        </w:rPr>
      </w:pPr>
      <w:r w:rsidRPr="00466A83">
        <w:rPr>
          <w:rFonts w:asciiTheme="majorBidi" w:hAnsiTheme="majorBidi" w:cstheme="majorBidi"/>
          <w:bCs/>
        </w:rPr>
        <w:t xml:space="preserve">In the context of the policy debate, the Council endorsed </w:t>
      </w:r>
      <w:hyperlink r:id="rId15" w:history="1">
        <w:r w:rsidRPr="00466A83">
          <w:rPr>
            <w:rStyle w:val="Hyperlink"/>
            <w:rFonts w:asciiTheme="majorBidi" w:hAnsiTheme="majorBidi" w:cstheme="majorBidi"/>
            <w:bCs/>
          </w:rPr>
          <w:t>opinions</w:t>
        </w:r>
      </w:hyperlink>
      <w:r w:rsidRPr="00466A83">
        <w:rPr>
          <w:rFonts w:asciiTheme="majorBidi" w:hAnsiTheme="majorBidi" w:cstheme="majorBidi"/>
          <w:bCs/>
        </w:rPr>
        <w:t xml:space="preserve"> of the Employment Committee (</w:t>
      </w:r>
      <w:r w:rsidRPr="00466A83">
        <w:rPr>
          <w:rFonts w:asciiTheme="majorBidi" w:hAnsiTheme="majorBidi" w:cstheme="majorBidi"/>
        </w:rPr>
        <w:t>EMCO</w:t>
      </w:r>
      <w:r w:rsidRPr="00466A83">
        <w:rPr>
          <w:rFonts w:asciiTheme="majorBidi" w:hAnsiTheme="majorBidi" w:cstheme="majorBidi"/>
          <w:bCs/>
        </w:rPr>
        <w:t xml:space="preserve">) and the Social Protection </w:t>
      </w:r>
      <w:r w:rsidRPr="00466A83">
        <w:rPr>
          <w:rFonts w:asciiTheme="majorBidi" w:hAnsiTheme="majorBidi" w:cstheme="majorBidi"/>
          <w:noProof/>
        </w:rPr>
        <w:t>Committee</w:t>
      </w:r>
      <w:r w:rsidRPr="00466A83">
        <w:rPr>
          <w:rFonts w:asciiTheme="majorBidi" w:hAnsiTheme="majorBidi" w:cstheme="majorBidi"/>
          <w:bCs/>
        </w:rPr>
        <w:t xml:space="preserve"> (SPC) on the examination of the 2015 national reform programmes and the 2014 CSR implementation .</w:t>
      </w:r>
    </w:p>
    <w:p w:rsidR="00466A83" w:rsidRPr="00466A83" w:rsidRDefault="00466A83" w:rsidP="00466A83">
      <w:pPr>
        <w:rPr>
          <w:rFonts w:asciiTheme="majorBidi" w:hAnsiTheme="majorBidi" w:cstheme="majorBidi"/>
          <w:bCs/>
        </w:rPr>
      </w:pPr>
      <w:r w:rsidRPr="00466A83">
        <w:rPr>
          <w:rFonts w:asciiTheme="majorBidi" w:hAnsiTheme="majorBidi" w:cstheme="majorBidi"/>
          <w:bCs/>
        </w:rPr>
        <w:t xml:space="preserve">It also endorsed the </w:t>
      </w:r>
      <w:hyperlink r:id="rId16" w:history="1">
        <w:r w:rsidRPr="00466A83">
          <w:rPr>
            <w:rStyle w:val="Hyperlink"/>
            <w:rFonts w:asciiTheme="majorBidi" w:hAnsiTheme="majorBidi" w:cstheme="majorBidi"/>
            <w:bCs/>
          </w:rPr>
          <w:t>employment performance monitor</w:t>
        </w:r>
      </w:hyperlink>
      <w:r w:rsidRPr="00466A83">
        <w:rPr>
          <w:rFonts w:asciiTheme="majorBidi" w:hAnsiTheme="majorBidi" w:cstheme="majorBidi"/>
          <w:bCs/>
        </w:rPr>
        <w:t xml:space="preserve"> of the EMCO.</w:t>
      </w:r>
    </w:p>
    <w:p w:rsidR="00466A83" w:rsidRPr="001B3830" w:rsidRDefault="00466A83" w:rsidP="001B3830">
      <w:pPr>
        <w:pStyle w:val="Sub-itemDebated"/>
      </w:pPr>
      <w:bookmarkStart w:id="7" w:name="_Toc422489457"/>
      <w:r w:rsidRPr="001B3830">
        <w:t>Employment policies of the member states</w:t>
      </w:r>
      <w:bookmarkEnd w:id="7"/>
    </w:p>
    <w:p w:rsidR="00466A83" w:rsidRPr="00466A83" w:rsidRDefault="00466A83" w:rsidP="00466A83">
      <w:pPr>
        <w:suppressAutoHyphens/>
        <w:spacing w:line="280" w:lineRule="exact"/>
        <w:rPr>
          <w:rFonts w:asciiTheme="majorBidi" w:hAnsiTheme="majorBidi" w:cstheme="majorBidi"/>
        </w:rPr>
      </w:pPr>
      <w:r w:rsidRPr="00466A83">
        <w:rPr>
          <w:rFonts w:asciiTheme="majorBidi" w:hAnsiTheme="majorBidi" w:cstheme="majorBidi"/>
        </w:rPr>
        <w:t xml:space="preserve">The Council agreed a general </w:t>
      </w:r>
      <w:r w:rsidRPr="00466A83">
        <w:rPr>
          <w:rFonts w:asciiTheme="majorBidi" w:hAnsiTheme="majorBidi" w:cstheme="majorBidi"/>
          <w:noProof/>
        </w:rPr>
        <w:t>approach</w:t>
      </w:r>
      <w:r w:rsidRPr="00466A83">
        <w:rPr>
          <w:rFonts w:asciiTheme="majorBidi" w:hAnsiTheme="majorBidi" w:cstheme="majorBidi"/>
        </w:rPr>
        <w:t xml:space="preserve"> on a decision on the </w:t>
      </w:r>
      <w:hyperlink r:id="rId17" w:history="1">
        <w:r w:rsidRPr="00466A83">
          <w:rPr>
            <w:rStyle w:val="Hyperlink"/>
            <w:rFonts w:asciiTheme="majorBidi" w:hAnsiTheme="majorBidi" w:cstheme="majorBidi"/>
          </w:rPr>
          <w:t>employment guidelines</w:t>
        </w:r>
      </w:hyperlink>
      <w:r w:rsidRPr="00466A83">
        <w:rPr>
          <w:rFonts w:asciiTheme="majorBidi" w:hAnsiTheme="majorBidi" w:cstheme="majorBidi"/>
        </w:rPr>
        <w:t xml:space="preserve"> of the member states.</w:t>
      </w:r>
    </w:p>
    <w:p w:rsidR="00466A83" w:rsidRPr="00466A83" w:rsidRDefault="00466A83" w:rsidP="00466A83">
      <w:pPr>
        <w:suppressAutoHyphens/>
        <w:spacing w:line="280" w:lineRule="exact"/>
        <w:rPr>
          <w:rFonts w:asciiTheme="majorBidi" w:hAnsiTheme="majorBidi" w:cstheme="majorBidi"/>
        </w:rPr>
      </w:pPr>
      <w:r w:rsidRPr="00466A83">
        <w:rPr>
          <w:rFonts w:asciiTheme="majorBidi" w:hAnsiTheme="majorBidi" w:cstheme="majorBidi"/>
        </w:rPr>
        <w:t xml:space="preserve">The set of integrated guidelines for </w:t>
      </w:r>
      <w:r w:rsidRPr="00466A83">
        <w:rPr>
          <w:rFonts w:asciiTheme="majorBidi" w:hAnsiTheme="majorBidi" w:cstheme="majorBidi"/>
          <w:noProof/>
        </w:rPr>
        <w:t>2015</w:t>
      </w:r>
      <w:r w:rsidRPr="00466A83">
        <w:rPr>
          <w:rFonts w:asciiTheme="majorBidi" w:hAnsiTheme="majorBidi" w:cstheme="majorBidi"/>
        </w:rPr>
        <w:t xml:space="preserve"> reflect the new approach to economic policy making, built on investment, structural reform and fiscal responsibility.</w:t>
      </w:r>
    </w:p>
    <w:p w:rsidR="00466A83" w:rsidRPr="00466A83" w:rsidRDefault="00466A83" w:rsidP="00466A83">
      <w:pPr>
        <w:suppressAutoHyphens/>
        <w:rPr>
          <w:rFonts w:asciiTheme="majorBidi" w:hAnsiTheme="majorBidi" w:cstheme="majorBidi"/>
        </w:rPr>
      </w:pPr>
      <w:r w:rsidRPr="00466A83">
        <w:rPr>
          <w:rFonts w:asciiTheme="majorBidi" w:hAnsiTheme="majorBidi" w:cstheme="majorBidi"/>
        </w:rPr>
        <w:t>The four employment guidelines can be summarised as follows:</w:t>
      </w:r>
    </w:p>
    <w:p w:rsidR="00466A83" w:rsidRPr="00466A83" w:rsidRDefault="00466A83" w:rsidP="00466A83">
      <w:pPr>
        <w:suppressAutoHyphens/>
        <w:rPr>
          <w:rFonts w:asciiTheme="majorBidi" w:hAnsiTheme="majorBidi" w:cstheme="majorBidi"/>
          <w:b/>
          <w:bCs/>
        </w:rPr>
      </w:pPr>
      <w:r w:rsidRPr="00466A83">
        <w:rPr>
          <w:rFonts w:asciiTheme="majorBidi" w:hAnsiTheme="majorBidi" w:cstheme="majorBidi"/>
          <w:b/>
          <w:bCs/>
        </w:rPr>
        <w:t>-</w:t>
      </w:r>
      <w:r w:rsidRPr="00466A83">
        <w:rPr>
          <w:rFonts w:asciiTheme="majorBidi" w:hAnsiTheme="majorBidi" w:cstheme="majorBidi"/>
          <w:b/>
          <w:bCs/>
        </w:rPr>
        <w:tab/>
        <w:t>Boosting demand for labour</w:t>
      </w:r>
    </w:p>
    <w:p w:rsidR="00466A83" w:rsidRPr="00466A83" w:rsidRDefault="00466A83" w:rsidP="00466A83">
      <w:pPr>
        <w:suppressAutoHyphens/>
        <w:spacing w:line="280" w:lineRule="exact"/>
        <w:rPr>
          <w:rFonts w:asciiTheme="majorBidi" w:hAnsiTheme="majorBidi" w:cstheme="majorBidi"/>
          <w:noProof/>
        </w:rPr>
      </w:pPr>
      <w:r w:rsidRPr="00466A83">
        <w:rPr>
          <w:rFonts w:asciiTheme="majorBidi" w:hAnsiTheme="majorBidi" w:cstheme="majorBidi"/>
          <w:noProof/>
        </w:rPr>
        <w:t>Member states should facilitate the creation of quality jobs, reduce the barriers that businesses face in hiring people, and promote entrepreneurship. The tax burden should be shifted away from labour to other sources of taxation less detrimental to employment and growth, while protecting revenue for adequate social protection and growth-enhancing expenditure.</w:t>
      </w:r>
    </w:p>
    <w:p w:rsidR="00466A83" w:rsidRPr="00466A83" w:rsidRDefault="00466A83" w:rsidP="00466A83">
      <w:pPr>
        <w:suppressAutoHyphens/>
        <w:rPr>
          <w:rFonts w:asciiTheme="majorBidi" w:hAnsiTheme="majorBidi" w:cstheme="majorBidi"/>
          <w:b/>
          <w:bCs/>
        </w:rPr>
      </w:pPr>
      <w:r w:rsidRPr="00466A83">
        <w:rPr>
          <w:rFonts w:asciiTheme="majorBidi" w:hAnsiTheme="majorBidi" w:cstheme="majorBidi"/>
          <w:b/>
          <w:bCs/>
        </w:rPr>
        <w:t>-</w:t>
      </w:r>
      <w:r w:rsidRPr="00466A83">
        <w:rPr>
          <w:rFonts w:asciiTheme="majorBidi" w:hAnsiTheme="majorBidi" w:cstheme="majorBidi"/>
          <w:b/>
          <w:bCs/>
        </w:rPr>
        <w:tab/>
        <w:t>Enhancing labour supply, skills and competences</w:t>
      </w:r>
    </w:p>
    <w:p w:rsidR="00466A83" w:rsidRPr="00466A83" w:rsidRDefault="00466A83" w:rsidP="00466A83">
      <w:pPr>
        <w:suppressAutoHyphens/>
        <w:spacing w:line="280" w:lineRule="exact"/>
        <w:rPr>
          <w:rFonts w:asciiTheme="majorBidi" w:hAnsiTheme="majorBidi" w:cstheme="majorBidi"/>
          <w:noProof/>
        </w:rPr>
      </w:pPr>
      <w:r w:rsidRPr="00466A83">
        <w:rPr>
          <w:rFonts w:asciiTheme="majorBidi" w:hAnsiTheme="majorBidi" w:cstheme="majorBidi"/>
          <w:noProof/>
        </w:rPr>
        <w:t>Member states, in cooperation with social partners, should promote productivity and employability through an appropriate supply of relevant knowledge, skills and competences. Structural weaknesses in education and training systems should be addressed to ensure quality learning outcomes, and to reduce the number of young people leaving school early. Youth unemployment and the high number of young people neither in employment, education, nor training (NEETs), should be comprehensively addressed, through a structural improvement in the school-to-work transition, including through the full implementation of the youth guarantee.</w:t>
      </w:r>
    </w:p>
    <w:p w:rsidR="00466A83" w:rsidRPr="00466A83" w:rsidRDefault="00BA4272" w:rsidP="00466A83">
      <w:pPr>
        <w:suppressAutoHyphens/>
        <w:rPr>
          <w:rFonts w:asciiTheme="majorBidi" w:hAnsiTheme="majorBidi" w:cstheme="majorBidi"/>
          <w:b/>
          <w:bCs/>
        </w:rPr>
      </w:pPr>
      <w:r>
        <w:rPr>
          <w:rFonts w:asciiTheme="majorBidi" w:hAnsiTheme="majorBidi" w:cstheme="majorBidi"/>
          <w:b/>
          <w:bCs/>
        </w:rPr>
        <w:br w:type="page"/>
      </w:r>
      <w:r w:rsidR="00466A83" w:rsidRPr="00466A83">
        <w:rPr>
          <w:rFonts w:asciiTheme="majorBidi" w:hAnsiTheme="majorBidi" w:cstheme="majorBidi"/>
          <w:b/>
          <w:bCs/>
        </w:rPr>
        <w:lastRenderedPageBreak/>
        <w:t>-</w:t>
      </w:r>
      <w:r w:rsidR="00466A83" w:rsidRPr="00466A83">
        <w:rPr>
          <w:rFonts w:asciiTheme="majorBidi" w:hAnsiTheme="majorBidi" w:cstheme="majorBidi"/>
          <w:b/>
          <w:bCs/>
        </w:rPr>
        <w:tab/>
        <w:t>Enhancing the functioning of labour markets</w:t>
      </w:r>
    </w:p>
    <w:p w:rsidR="00466A83" w:rsidRPr="00466A83" w:rsidRDefault="00466A83" w:rsidP="00466A83">
      <w:pPr>
        <w:suppressAutoHyphens/>
        <w:spacing w:line="280" w:lineRule="exact"/>
        <w:rPr>
          <w:rFonts w:asciiTheme="majorBidi" w:hAnsiTheme="majorBidi" w:cstheme="majorBidi"/>
          <w:noProof/>
        </w:rPr>
      </w:pPr>
      <w:r w:rsidRPr="00466A83">
        <w:rPr>
          <w:rFonts w:asciiTheme="majorBidi" w:hAnsiTheme="majorBidi" w:cstheme="majorBidi"/>
          <w:noProof/>
        </w:rPr>
        <w:t>Member states should reduce and prevent segmentation within labour markets and fight undeclared work. Employment protection rules, labour law, and institutions should all provide a suitable environment for recruitment, whilst offering adequate levels of protection to all those in employment and those seeking employment. Member states should promote inclusive labour markets open to all men and women, putting in place effective anti-discrimination measures, and employability by investing in human capital.</w:t>
      </w:r>
    </w:p>
    <w:p w:rsidR="00466A83" w:rsidRPr="00466A83" w:rsidRDefault="00466A83" w:rsidP="00466A83">
      <w:pPr>
        <w:suppressAutoHyphens/>
        <w:rPr>
          <w:rFonts w:asciiTheme="majorBidi" w:hAnsiTheme="majorBidi" w:cstheme="majorBidi"/>
          <w:b/>
          <w:bCs/>
        </w:rPr>
      </w:pPr>
      <w:r w:rsidRPr="00466A83">
        <w:rPr>
          <w:rFonts w:asciiTheme="majorBidi" w:hAnsiTheme="majorBidi" w:cstheme="majorBidi"/>
          <w:b/>
          <w:bCs/>
        </w:rPr>
        <w:t>-</w:t>
      </w:r>
      <w:r w:rsidRPr="00466A83">
        <w:rPr>
          <w:rFonts w:asciiTheme="majorBidi" w:hAnsiTheme="majorBidi" w:cstheme="majorBidi"/>
          <w:b/>
          <w:bCs/>
        </w:rPr>
        <w:tab/>
        <w:t>Fostering social inclusion, combatting poverty and promoting equal opportunities</w:t>
      </w:r>
    </w:p>
    <w:p w:rsidR="00466A83" w:rsidRDefault="00466A83" w:rsidP="00466A83">
      <w:pPr>
        <w:suppressAutoHyphens/>
        <w:spacing w:line="280" w:lineRule="exact"/>
        <w:rPr>
          <w:rFonts w:asciiTheme="majorBidi" w:hAnsiTheme="majorBidi" w:cstheme="majorBidi"/>
          <w:noProof/>
        </w:rPr>
      </w:pPr>
      <w:r w:rsidRPr="00466A83">
        <w:rPr>
          <w:rFonts w:asciiTheme="majorBidi" w:hAnsiTheme="majorBidi" w:cstheme="majorBidi"/>
          <w:noProof/>
        </w:rPr>
        <w:t>Member states should modernise social protection systems to provide effective, efficient, and adequate protection throughout all stages of an individual’s life, fostering social inclusion, promoting equal opportunties, including for women and men, and addressing inequalities.</w:t>
      </w:r>
    </w:p>
    <w:p w:rsidR="00B07062" w:rsidRPr="00B07062" w:rsidRDefault="00B07062" w:rsidP="00B07062">
      <w:pPr>
        <w:suppressAutoHyphens/>
        <w:spacing w:line="280" w:lineRule="exact"/>
        <w:rPr>
          <w:rFonts w:asciiTheme="majorBidi" w:hAnsiTheme="majorBidi" w:cstheme="majorBidi"/>
          <w:noProof/>
        </w:rPr>
      </w:pPr>
      <w:r w:rsidRPr="00B07062">
        <w:rPr>
          <w:rFonts w:asciiTheme="majorBidi" w:hAnsiTheme="majorBidi" w:cstheme="majorBidi"/>
          <w:noProof/>
        </w:rPr>
        <w:t xml:space="preserve">The Council general approach will need to be reconsidered once all the opinions required under </w:t>
      </w:r>
      <w:r>
        <w:rPr>
          <w:rFonts w:asciiTheme="majorBidi" w:hAnsiTheme="majorBidi" w:cstheme="majorBidi"/>
          <w:noProof/>
        </w:rPr>
        <w:t>a</w:t>
      </w:r>
      <w:r w:rsidRPr="00B07062">
        <w:rPr>
          <w:rFonts w:asciiTheme="majorBidi" w:hAnsiTheme="majorBidi" w:cstheme="majorBidi"/>
          <w:noProof/>
        </w:rPr>
        <w:t>rticle 148(2) of the Treaty have been received.</w:t>
      </w:r>
    </w:p>
    <w:p w:rsidR="00466A83" w:rsidRPr="001B3830" w:rsidRDefault="00466A83" w:rsidP="001B3830">
      <w:pPr>
        <w:pStyle w:val="Sub-itemDebated"/>
      </w:pPr>
      <w:bookmarkStart w:id="8" w:name="_Toc422489458"/>
      <w:r w:rsidRPr="001B3830">
        <w:t>Youth employment</w:t>
      </w:r>
      <w:bookmarkEnd w:id="8"/>
    </w:p>
    <w:p w:rsidR="00466A83" w:rsidRPr="00466A83" w:rsidRDefault="00466A83" w:rsidP="00466A83">
      <w:pPr>
        <w:suppressAutoHyphens/>
        <w:spacing w:line="280" w:lineRule="exact"/>
        <w:rPr>
          <w:rFonts w:asciiTheme="majorBidi" w:hAnsiTheme="majorBidi" w:cstheme="majorBidi"/>
          <w:b/>
          <w:bCs/>
          <w:iCs/>
        </w:rPr>
      </w:pPr>
      <w:r w:rsidRPr="00466A83">
        <w:rPr>
          <w:rFonts w:asciiTheme="majorBidi" w:hAnsiTheme="majorBidi" w:cstheme="majorBidi"/>
        </w:rPr>
        <w:t xml:space="preserve">The Council adopted </w:t>
      </w:r>
      <w:r w:rsidRPr="001B3830">
        <w:rPr>
          <w:rFonts w:asciiTheme="majorBidi" w:hAnsiTheme="majorBidi" w:cstheme="majorBidi"/>
        </w:rPr>
        <w:t xml:space="preserve">conclusions </w:t>
      </w:r>
      <w:hyperlink r:id="rId18" w:tooltip="http://data.consilium.europa.eu/doc/document/ST-9300-2015-INIT/en/pdf" w:history="1">
        <w:r w:rsidR="001B3830" w:rsidRPr="005F0203">
          <w:rPr>
            <w:rStyle w:val="Hyperlink"/>
            <w:rFonts w:asciiTheme="majorBidi" w:hAnsiTheme="majorBidi" w:cstheme="majorBidi"/>
            <w:i/>
            <w:iCs/>
          </w:rPr>
          <w:t>9300/15</w:t>
        </w:r>
      </w:hyperlink>
      <w:r w:rsidRPr="00466A83">
        <w:rPr>
          <w:rFonts w:asciiTheme="majorBidi" w:hAnsiTheme="majorBidi" w:cstheme="majorBidi"/>
        </w:rPr>
        <w:t xml:space="preserve"> on the European </w:t>
      </w:r>
      <w:r w:rsidRPr="00466A83">
        <w:rPr>
          <w:rFonts w:asciiTheme="majorBidi" w:hAnsiTheme="majorBidi" w:cstheme="majorBidi"/>
          <w:b/>
          <w:bCs/>
        </w:rPr>
        <w:t>Court of Auditor's special report</w:t>
      </w:r>
      <w:r w:rsidRPr="00466A83">
        <w:rPr>
          <w:rFonts w:asciiTheme="majorBidi" w:hAnsiTheme="majorBidi" w:cstheme="majorBidi"/>
        </w:rPr>
        <w:t xml:space="preserve"> on the EU </w:t>
      </w:r>
      <w:r w:rsidRPr="00466A83">
        <w:rPr>
          <w:rFonts w:asciiTheme="majorBidi" w:hAnsiTheme="majorBidi" w:cstheme="majorBidi"/>
          <w:b/>
          <w:bCs/>
        </w:rPr>
        <w:t>youth guarantee</w:t>
      </w:r>
      <w:r w:rsidRPr="00466A83">
        <w:rPr>
          <w:rFonts w:asciiTheme="majorBidi" w:hAnsiTheme="majorBidi" w:cstheme="majorBidi"/>
        </w:rPr>
        <w:t>.</w:t>
      </w:r>
    </w:p>
    <w:p w:rsidR="001B3830" w:rsidRDefault="00466A83" w:rsidP="001B3830">
      <w:r w:rsidRPr="001B3830">
        <w:t>The member states are in the middle of implementing the youth guarantee, with the help of funds earmarked for that purpose under the youth employment initiative.</w:t>
      </w:r>
    </w:p>
    <w:p w:rsidR="00466A83" w:rsidRPr="001B3830" w:rsidRDefault="00466A83" w:rsidP="001B3830">
      <w:r w:rsidRPr="001B3830">
        <w:t>At the beginning of this year, the Court of Auditors issued a special report on "EU youth guarantee: first steps taken but implementation risks ahead" assessing the implementation of the youth guarantee. It based its findings on the Commission figures and input.</w:t>
      </w:r>
    </w:p>
    <w:p w:rsidR="00466A83" w:rsidRPr="00466A83" w:rsidRDefault="00466A83" w:rsidP="00466A83">
      <w:pPr>
        <w:suppressAutoHyphens/>
        <w:spacing w:line="280" w:lineRule="exact"/>
        <w:rPr>
          <w:rFonts w:asciiTheme="majorBidi" w:hAnsiTheme="majorBidi" w:cstheme="majorBidi"/>
        </w:rPr>
      </w:pPr>
      <w:r w:rsidRPr="00466A83">
        <w:rPr>
          <w:rFonts w:asciiTheme="majorBidi" w:hAnsiTheme="majorBidi" w:cstheme="majorBidi"/>
        </w:rPr>
        <w:t>The Court identified three potential risks to the effective implementation, namely the adequacy of total funding, the lack of a definition on good-quality offer and the lack of a comprehensive monitoring system.</w:t>
      </w:r>
    </w:p>
    <w:p w:rsidR="00466A83" w:rsidRPr="00466A83" w:rsidRDefault="00466A83" w:rsidP="00466A83">
      <w:pPr>
        <w:suppressAutoHyphens/>
        <w:spacing w:line="280" w:lineRule="exact"/>
        <w:rPr>
          <w:rFonts w:asciiTheme="majorBidi" w:hAnsiTheme="majorBidi" w:cstheme="majorBidi"/>
        </w:rPr>
      </w:pPr>
      <w:r w:rsidRPr="00466A83">
        <w:rPr>
          <w:rFonts w:asciiTheme="majorBidi" w:hAnsiTheme="majorBidi" w:cstheme="majorBidi"/>
        </w:rPr>
        <w:t xml:space="preserve">The Council took note of a Commission presentation on the state of play in the implementation of </w:t>
      </w:r>
      <w:r w:rsidRPr="00466A83">
        <w:rPr>
          <w:rFonts w:asciiTheme="majorBidi" w:hAnsiTheme="majorBidi" w:cstheme="majorBidi"/>
          <w:b/>
          <w:bCs/>
        </w:rPr>
        <w:t xml:space="preserve">measures to </w:t>
      </w:r>
      <w:r w:rsidRPr="00466A83">
        <w:rPr>
          <w:rFonts w:asciiTheme="majorBidi" w:hAnsiTheme="majorBidi" w:cstheme="majorBidi"/>
          <w:noProof/>
        </w:rPr>
        <w:t>fight</w:t>
      </w:r>
      <w:r w:rsidRPr="00466A83">
        <w:rPr>
          <w:rFonts w:asciiTheme="majorBidi" w:hAnsiTheme="majorBidi" w:cstheme="majorBidi"/>
          <w:b/>
          <w:bCs/>
        </w:rPr>
        <w:t xml:space="preserve"> youth unemployment</w:t>
      </w:r>
      <w:r w:rsidRPr="00466A83">
        <w:rPr>
          <w:rFonts w:asciiTheme="majorBidi" w:hAnsiTheme="majorBidi" w:cstheme="majorBidi"/>
        </w:rPr>
        <w:t xml:space="preserve"> (</w:t>
      </w:r>
      <w:hyperlink r:id="rId19" w:tooltip="http://data.consilium.europa.eu/doc/document/ST-9301-2015-INIT/en/pdf" w:history="1">
        <w:r w:rsidRPr="00466A83">
          <w:rPr>
            <w:rStyle w:val="Hyperlink"/>
            <w:rFonts w:asciiTheme="majorBidi" w:hAnsiTheme="majorBidi" w:cstheme="majorBidi"/>
            <w:i/>
            <w:iCs/>
          </w:rPr>
          <w:t>9301/15</w:t>
        </w:r>
      </w:hyperlink>
      <w:r w:rsidRPr="00466A83">
        <w:rPr>
          <w:rFonts w:asciiTheme="majorBidi" w:hAnsiTheme="majorBidi" w:cstheme="majorBidi"/>
        </w:rPr>
        <w:t>). In particular, the pre-financing regulation was published on 21 May in the OJ. This regulation increases the initial pre-financing under the youth employment initiative to about EUR 1 billion.</w:t>
      </w:r>
    </w:p>
    <w:p w:rsidR="00466A83" w:rsidRPr="001B3830" w:rsidRDefault="00BA4272" w:rsidP="001B3830">
      <w:pPr>
        <w:pStyle w:val="Sub-itemDebated"/>
      </w:pPr>
      <w:r>
        <w:br w:type="page"/>
      </w:r>
      <w:bookmarkStart w:id="9" w:name="_Toc422489459"/>
      <w:r w:rsidR="00466A83" w:rsidRPr="001B3830">
        <w:lastRenderedPageBreak/>
        <w:t>Women on company boards</w:t>
      </w:r>
      <w:bookmarkEnd w:id="9"/>
    </w:p>
    <w:p w:rsidR="00466A83" w:rsidRPr="00466A83" w:rsidRDefault="00466A83" w:rsidP="00466A83">
      <w:pPr>
        <w:suppressAutoHyphens/>
        <w:spacing w:line="280" w:lineRule="exact"/>
        <w:rPr>
          <w:rFonts w:asciiTheme="majorBidi" w:hAnsiTheme="majorBidi" w:cstheme="majorBidi"/>
          <w:iCs/>
        </w:rPr>
      </w:pPr>
      <w:r w:rsidRPr="00466A83">
        <w:rPr>
          <w:rFonts w:asciiTheme="majorBidi" w:hAnsiTheme="majorBidi" w:cstheme="majorBidi"/>
          <w:iCs/>
        </w:rPr>
        <w:t xml:space="preserve">The Council took note of a </w:t>
      </w:r>
      <w:r w:rsidRPr="00466A83">
        <w:rPr>
          <w:rFonts w:asciiTheme="majorBidi" w:hAnsiTheme="majorBidi" w:cstheme="majorBidi"/>
          <w:noProof/>
        </w:rPr>
        <w:t>progress</w:t>
      </w:r>
      <w:r w:rsidRPr="00466A83">
        <w:rPr>
          <w:rFonts w:asciiTheme="majorBidi" w:hAnsiTheme="majorBidi" w:cstheme="majorBidi"/>
          <w:iCs/>
        </w:rPr>
        <w:t xml:space="preserve"> report on a directive improving the </w:t>
      </w:r>
      <w:hyperlink r:id="rId20" w:history="1">
        <w:r w:rsidRPr="00466A83">
          <w:rPr>
            <w:rStyle w:val="Hyperlink"/>
            <w:rFonts w:asciiTheme="majorBidi" w:hAnsiTheme="majorBidi" w:cstheme="majorBidi"/>
            <w:iCs/>
          </w:rPr>
          <w:t>gender balance in boardrooms</w:t>
        </w:r>
      </w:hyperlink>
      <w:r w:rsidRPr="00466A83">
        <w:rPr>
          <w:rFonts w:asciiTheme="majorBidi" w:hAnsiTheme="majorBidi" w:cstheme="majorBidi"/>
          <w:iCs/>
        </w:rPr>
        <w:t>.</w:t>
      </w:r>
    </w:p>
    <w:p w:rsidR="00466A83" w:rsidRPr="00466A83" w:rsidRDefault="00466A83" w:rsidP="00466A83">
      <w:pPr>
        <w:suppressAutoHyphens/>
        <w:spacing w:line="280" w:lineRule="exact"/>
        <w:rPr>
          <w:rFonts w:asciiTheme="majorBidi" w:hAnsiTheme="majorBidi" w:cstheme="majorBidi"/>
        </w:rPr>
      </w:pPr>
      <w:r w:rsidRPr="00466A83">
        <w:rPr>
          <w:rFonts w:asciiTheme="majorBidi" w:hAnsiTheme="majorBidi" w:cstheme="majorBidi"/>
          <w:iCs/>
        </w:rPr>
        <w:t>Aiming to address the serious problem of women's under-representation in economic decision-making at the highest level, the proposed directive would set a quantitative objective for the proportion of the under-</w:t>
      </w:r>
      <w:r w:rsidRPr="00466A83">
        <w:rPr>
          <w:rFonts w:asciiTheme="majorBidi" w:hAnsiTheme="majorBidi" w:cstheme="majorBidi"/>
          <w:noProof/>
        </w:rPr>
        <w:t>represented</w:t>
      </w:r>
      <w:r w:rsidRPr="00466A83">
        <w:rPr>
          <w:rFonts w:asciiTheme="majorBidi" w:hAnsiTheme="majorBidi" w:cstheme="majorBidi"/>
          <w:iCs/>
        </w:rPr>
        <w:t xml:space="preserve"> sex on the boards of listed companies of 40 % by 2020 (by 2018 in the case of public undertakings). The companies would be obliged to work towards that objective, inter alia, by introducing procedural rules on the</w:t>
      </w:r>
      <w:r w:rsidRPr="00466A83">
        <w:rPr>
          <w:rFonts w:asciiTheme="majorBidi" w:hAnsiTheme="majorBidi" w:cstheme="majorBidi"/>
        </w:rPr>
        <w:t xml:space="preserve"> selection and appointment of non-executive board members.</w:t>
      </w:r>
    </w:p>
    <w:p w:rsidR="00466A83" w:rsidRPr="00466A83" w:rsidRDefault="00466A83" w:rsidP="00466A83">
      <w:pPr>
        <w:suppressAutoHyphens/>
        <w:spacing w:line="280" w:lineRule="exact"/>
        <w:rPr>
          <w:rFonts w:asciiTheme="majorBidi" w:hAnsiTheme="majorBidi" w:cstheme="majorBidi"/>
        </w:rPr>
      </w:pPr>
      <w:r w:rsidRPr="00466A83">
        <w:rPr>
          <w:rFonts w:asciiTheme="majorBidi" w:hAnsiTheme="majorBidi" w:cstheme="majorBidi"/>
        </w:rPr>
        <w:t xml:space="preserve">Companies which have not </w:t>
      </w:r>
      <w:r w:rsidRPr="00466A83">
        <w:rPr>
          <w:rFonts w:asciiTheme="majorBidi" w:hAnsiTheme="majorBidi" w:cstheme="majorBidi"/>
          <w:noProof/>
        </w:rPr>
        <w:t>reached</w:t>
      </w:r>
      <w:r w:rsidRPr="00466A83">
        <w:rPr>
          <w:rFonts w:asciiTheme="majorBidi" w:hAnsiTheme="majorBidi" w:cstheme="majorBidi"/>
        </w:rPr>
        <w:t xml:space="preserve"> the 40 % target would be required to continue to apply the procedural rules, as well as to explain what measures they had taken and intended to take in order to reach it. For member states that choose to apply the objective to both executive and non-executive directors, a lower target (33 %) would apply.</w:t>
      </w:r>
    </w:p>
    <w:p w:rsidR="00466A83" w:rsidRPr="001B3830" w:rsidRDefault="00466A83" w:rsidP="001B3830">
      <w:pPr>
        <w:rPr>
          <w:b/>
          <w:bCs/>
        </w:rPr>
      </w:pPr>
      <w:r w:rsidRPr="00466A83">
        <w:t>-</w:t>
      </w:r>
      <w:r w:rsidRPr="00466A83">
        <w:tab/>
      </w:r>
      <w:r w:rsidRPr="001B3830">
        <w:rPr>
          <w:b/>
          <w:bCs/>
        </w:rPr>
        <w:t>Discussions under the Latvian presidency</w:t>
      </w:r>
    </w:p>
    <w:p w:rsidR="00466A83" w:rsidRPr="00466A83" w:rsidRDefault="00466A83" w:rsidP="00466A83">
      <w:pPr>
        <w:suppressAutoHyphens/>
        <w:spacing w:line="280" w:lineRule="exact"/>
        <w:rPr>
          <w:rFonts w:asciiTheme="majorBidi" w:hAnsiTheme="majorBidi" w:cstheme="majorBidi"/>
        </w:rPr>
      </w:pPr>
      <w:r w:rsidRPr="00466A83">
        <w:rPr>
          <w:rFonts w:asciiTheme="majorBidi" w:hAnsiTheme="majorBidi" w:cstheme="majorBidi"/>
        </w:rPr>
        <w:t>Discussions in the relevant working party of the Council have confirmed member states' broad consensus on the need to improve the gender balance on company boards. However, while many member states support EU-wide legislation, others continue to prefer national measures (or non-binding measures at EU level). Thus, further work and political reflection will be required before a compromise can be reached.</w:t>
      </w:r>
    </w:p>
    <w:p w:rsidR="00466A83" w:rsidRPr="00466A83" w:rsidRDefault="00466A83" w:rsidP="00466A83">
      <w:pPr>
        <w:suppressAutoHyphens/>
        <w:spacing w:line="280" w:lineRule="exact"/>
        <w:rPr>
          <w:rFonts w:asciiTheme="majorBidi" w:hAnsiTheme="majorBidi" w:cstheme="majorBidi"/>
        </w:rPr>
      </w:pPr>
      <w:r w:rsidRPr="00466A83">
        <w:rPr>
          <w:rFonts w:asciiTheme="majorBidi" w:hAnsiTheme="majorBidi" w:cstheme="majorBidi"/>
        </w:rPr>
        <w:t>During the discussions under the Latvian Presidency, the target date has been revised so that member states have an additional twelve months to reach the quantitative objectives, i.e. until the end of 2020.</w:t>
      </w:r>
      <w:r w:rsidR="00996035">
        <w:rPr>
          <w:rFonts w:asciiTheme="majorBidi" w:hAnsiTheme="majorBidi" w:cstheme="majorBidi"/>
        </w:rPr>
        <w:t xml:space="preserve"> </w:t>
      </w:r>
      <w:r w:rsidRPr="00466A83">
        <w:rPr>
          <w:rFonts w:asciiTheme="majorBidi" w:hAnsiTheme="majorBidi" w:cstheme="majorBidi"/>
        </w:rPr>
        <w:t>In addition, the flexibility clause has been fine-tuned to allow member states to choose their gender balance methods.</w:t>
      </w:r>
    </w:p>
    <w:p w:rsidR="00466A83" w:rsidRPr="00466A83" w:rsidRDefault="00466A83" w:rsidP="001B3830">
      <w:pPr>
        <w:rPr>
          <w:rFonts w:asciiTheme="majorBidi" w:hAnsiTheme="majorBidi" w:cstheme="majorBidi"/>
          <w:b/>
          <w:bCs/>
        </w:rPr>
      </w:pPr>
      <w:r w:rsidRPr="00466A83">
        <w:rPr>
          <w:rFonts w:asciiTheme="majorBidi" w:hAnsiTheme="majorBidi" w:cstheme="majorBidi"/>
          <w:b/>
          <w:bCs/>
        </w:rPr>
        <w:t>-</w:t>
      </w:r>
      <w:r w:rsidRPr="00466A83">
        <w:rPr>
          <w:rFonts w:asciiTheme="majorBidi" w:hAnsiTheme="majorBidi" w:cstheme="majorBidi"/>
          <w:b/>
          <w:bCs/>
        </w:rPr>
        <w:tab/>
        <w:t>The position of the European Parliament</w:t>
      </w:r>
    </w:p>
    <w:p w:rsidR="00466A83" w:rsidRPr="00466A83" w:rsidRDefault="00466A83" w:rsidP="00466A83">
      <w:pPr>
        <w:suppressAutoHyphens/>
        <w:spacing w:line="280" w:lineRule="exact"/>
        <w:rPr>
          <w:rFonts w:asciiTheme="majorBidi" w:hAnsiTheme="majorBidi" w:cstheme="majorBidi"/>
        </w:rPr>
      </w:pPr>
      <w:r w:rsidRPr="00466A83">
        <w:rPr>
          <w:rFonts w:asciiTheme="majorBidi" w:hAnsiTheme="majorBidi" w:cstheme="majorBidi"/>
        </w:rPr>
        <w:t>The European Parliament has strongly supported legislative action in this area, advocating binding quotas to improve the gender balance in boardrooms. It adopted its position at first reading on 20 November 2013, broadly endorsing the Commission's proposal.</w:t>
      </w:r>
    </w:p>
    <w:p w:rsidR="00466A83" w:rsidRPr="001B3830" w:rsidRDefault="00BA4272" w:rsidP="001B3830">
      <w:pPr>
        <w:pStyle w:val="Sub-itemDebated"/>
      </w:pPr>
      <w:r>
        <w:br w:type="page"/>
      </w:r>
      <w:bookmarkStart w:id="10" w:name="_Toc422489460"/>
      <w:r w:rsidR="00466A83" w:rsidRPr="001B3830">
        <w:lastRenderedPageBreak/>
        <w:t>Equal treatment directive</w:t>
      </w:r>
      <w:bookmarkEnd w:id="10"/>
    </w:p>
    <w:p w:rsidR="00466A83" w:rsidRPr="00466A83" w:rsidRDefault="00466A83" w:rsidP="001B3830">
      <w:pPr>
        <w:suppressAutoHyphens/>
        <w:spacing w:line="280" w:lineRule="exact"/>
        <w:rPr>
          <w:rFonts w:asciiTheme="majorBidi" w:hAnsiTheme="majorBidi" w:cstheme="majorBidi"/>
          <w:bCs/>
          <w:color w:val="000000"/>
        </w:rPr>
      </w:pPr>
      <w:r w:rsidRPr="00466A83">
        <w:rPr>
          <w:rFonts w:asciiTheme="majorBidi" w:hAnsiTheme="majorBidi" w:cstheme="majorBidi"/>
          <w:bCs/>
          <w:color w:val="000000"/>
        </w:rPr>
        <w:t xml:space="preserve">The Council took </w:t>
      </w:r>
      <w:r w:rsidRPr="00466A83">
        <w:rPr>
          <w:rFonts w:asciiTheme="majorBidi" w:hAnsiTheme="majorBidi" w:cstheme="majorBidi"/>
          <w:noProof/>
        </w:rPr>
        <w:t>note</w:t>
      </w:r>
      <w:r w:rsidRPr="00466A83">
        <w:rPr>
          <w:rFonts w:asciiTheme="majorBidi" w:hAnsiTheme="majorBidi" w:cstheme="majorBidi"/>
          <w:bCs/>
          <w:color w:val="000000"/>
        </w:rPr>
        <w:t xml:space="preserve"> of a progress report on a directive implementing the principle of </w:t>
      </w:r>
      <w:hyperlink r:id="rId21" w:history="1">
        <w:r w:rsidRPr="00466A83">
          <w:rPr>
            <w:rStyle w:val="Hyperlink"/>
            <w:rFonts w:asciiTheme="majorBidi" w:hAnsiTheme="majorBidi" w:cstheme="majorBidi"/>
            <w:bCs/>
          </w:rPr>
          <w:t>equal treatment</w:t>
        </w:r>
      </w:hyperlink>
      <w:r w:rsidRPr="00466A83">
        <w:rPr>
          <w:rFonts w:asciiTheme="majorBidi" w:hAnsiTheme="majorBidi" w:cstheme="majorBidi"/>
          <w:bCs/>
          <w:color w:val="000000"/>
        </w:rPr>
        <w:t xml:space="preserve"> between persons, irrespective of religion or belief, disability, age or sexual orientation.</w:t>
      </w:r>
    </w:p>
    <w:p w:rsidR="00466A83" w:rsidRPr="00466A83" w:rsidRDefault="00466A83" w:rsidP="00466A83">
      <w:pPr>
        <w:spacing w:line="276" w:lineRule="auto"/>
        <w:rPr>
          <w:rFonts w:asciiTheme="majorBidi" w:hAnsiTheme="majorBidi" w:cstheme="majorBidi"/>
          <w:bCs/>
          <w:color w:val="000000"/>
        </w:rPr>
      </w:pPr>
      <w:r w:rsidRPr="00466A83">
        <w:rPr>
          <w:rFonts w:asciiTheme="majorBidi" w:hAnsiTheme="majorBidi" w:cstheme="majorBidi"/>
          <w:bCs/>
          <w:color w:val="000000"/>
        </w:rPr>
        <w:t>The proposed directive has been on the Council's agenda since 2008. Discussions in the EPSCO Council last December showed a strong political will in favour of continuing this work.</w:t>
      </w:r>
    </w:p>
    <w:p w:rsidR="00466A83" w:rsidRPr="00466A83" w:rsidRDefault="00466A83" w:rsidP="00466A83">
      <w:pPr>
        <w:spacing w:line="276" w:lineRule="auto"/>
        <w:rPr>
          <w:rFonts w:asciiTheme="majorBidi" w:hAnsiTheme="majorBidi" w:cstheme="majorBidi"/>
          <w:bCs/>
          <w:color w:val="000000"/>
        </w:rPr>
      </w:pPr>
      <w:r w:rsidRPr="00466A83">
        <w:rPr>
          <w:rFonts w:asciiTheme="majorBidi" w:hAnsiTheme="majorBidi" w:cstheme="majorBidi"/>
          <w:bCs/>
          <w:color w:val="000000"/>
        </w:rPr>
        <w:t>The Latvian presidency has sought t</w:t>
      </w:r>
      <w:r w:rsidRPr="00466A83">
        <w:rPr>
          <w:rFonts w:asciiTheme="majorBidi" w:hAnsiTheme="majorBidi" w:cstheme="majorBidi"/>
          <w:noProof/>
        </w:rPr>
        <w:t>o</w:t>
      </w:r>
      <w:r w:rsidRPr="00466A83">
        <w:rPr>
          <w:rFonts w:asciiTheme="majorBidi" w:hAnsiTheme="majorBidi" w:cstheme="majorBidi"/>
          <w:bCs/>
          <w:color w:val="000000"/>
        </w:rPr>
        <w:t xml:space="preserve"> clarify the scope of the proposal as well as the division of competences between the EU and its member states.</w:t>
      </w:r>
    </w:p>
    <w:p w:rsidR="00466A83" w:rsidRPr="00466A83" w:rsidRDefault="00466A83" w:rsidP="00466A83">
      <w:pPr>
        <w:suppressAutoHyphens/>
        <w:spacing w:line="280" w:lineRule="exact"/>
        <w:rPr>
          <w:rFonts w:asciiTheme="majorBidi" w:hAnsiTheme="majorBidi" w:cstheme="majorBidi"/>
          <w:bCs/>
          <w:color w:val="000000"/>
        </w:rPr>
      </w:pPr>
      <w:r w:rsidRPr="00466A83">
        <w:rPr>
          <w:rFonts w:asciiTheme="majorBidi" w:hAnsiTheme="majorBidi" w:cstheme="majorBidi"/>
          <w:bCs/>
          <w:color w:val="000000"/>
        </w:rPr>
        <w:t xml:space="preserve">The work mainly focused on the issues of social protection and education, with the presidency endeavouring to define the scope in such a way as to spell out, as clearly as possible, the member states' competence for the </w:t>
      </w:r>
      <w:r w:rsidRPr="00466A83">
        <w:rPr>
          <w:rFonts w:asciiTheme="majorBidi" w:hAnsiTheme="majorBidi" w:cstheme="majorBidi"/>
          <w:noProof/>
        </w:rPr>
        <w:t>organisation</w:t>
      </w:r>
      <w:r w:rsidRPr="00466A83">
        <w:rPr>
          <w:rFonts w:asciiTheme="majorBidi" w:hAnsiTheme="majorBidi" w:cstheme="majorBidi"/>
          <w:bCs/>
          <w:color w:val="000000"/>
        </w:rPr>
        <w:t xml:space="preserve"> and funding of their social protection systems and educational systems.</w:t>
      </w:r>
    </w:p>
    <w:p w:rsidR="00466A83" w:rsidRPr="00466A83" w:rsidRDefault="00466A83" w:rsidP="00466A83">
      <w:pPr>
        <w:suppressAutoHyphens/>
        <w:spacing w:line="280" w:lineRule="exact"/>
        <w:rPr>
          <w:rFonts w:asciiTheme="majorBidi" w:hAnsiTheme="majorBidi" w:cstheme="majorBidi"/>
        </w:rPr>
      </w:pPr>
      <w:r w:rsidRPr="00466A83">
        <w:rPr>
          <w:rFonts w:asciiTheme="majorBidi" w:hAnsiTheme="majorBidi" w:cstheme="majorBidi"/>
        </w:rPr>
        <w:t xml:space="preserve">Since the adoption of the directive </w:t>
      </w:r>
      <w:r w:rsidRPr="00466A83">
        <w:rPr>
          <w:rFonts w:asciiTheme="majorBidi" w:hAnsiTheme="majorBidi" w:cstheme="majorBidi"/>
          <w:noProof/>
        </w:rPr>
        <w:t>requires</w:t>
      </w:r>
      <w:r w:rsidRPr="00466A83">
        <w:rPr>
          <w:rFonts w:asciiTheme="majorBidi" w:hAnsiTheme="majorBidi" w:cstheme="majorBidi"/>
        </w:rPr>
        <w:t xml:space="preserve"> Council unanimity, work will continue.</w:t>
      </w:r>
    </w:p>
    <w:p w:rsidR="00466A83" w:rsidRPr="001B3830" w:rsidRDefault="00466A83" w:rsidP="001B3830">
      <w:pPr>
        <w:pStyle w:val="Sub-itemDebated"/>
      </w:pPr>
      <w:bookmarkStart w:id="11" w:name="_Toc422489461"/>
      <w:r w:rsidRPr="001B3830">
        <w:t>Gender gap in pensions</w:t>
      </w:r>
      <w:bookmarkEnd w:id="11"/>
    </w:p>
    <w:p w:rsidR="00466A83" w:rsidRPr="00466A83" w:rsidRDefault="00466A83" w:rsidP="00466A83">
      <w:pPr>
        <w:suppressAutoHyphens/>
        <w:spacing w:line="280" w:lineRule="exact"/>
        <w:rPr>
          <w:rFonts w:asciiTheme="majorBidi" w:hAnsiTheme="majorBidi" w:cstheme="majorBidi"/>
          <w:noProof/>
        </w:rPr>
      </w:pPr>
      <w:r w:rsidRPr="00466A83">
        <w:rPr>
          <w:rFonts w:asciiTheme="majorBidi" w:hAnsiTheme="majorBidi" w:cstheme="majorBidi"/>
          <w:bCs/>
          <w:color w:val="000000"/>
        </w:rPr>
        <w:t xml:space="preserve">The Council adopted conclusions on </w:t>
      </w:r>
      <w:r w:rsidRPr="00466A83">
        <w:rPr>
          <w:rFonts w:asciiTheme="majorBidi" w:hAnsiTheme="majorBidi" w:cstheme="majorBidi"/>
          <w:noProof/>
        </w:rPr>
        <w:t>equal</w:t>
      </w:r>
      <w:r w:rsidRPr="00466A83">
        <w:rPr>
          <w:rFonts w:asciiTheme="majorBidi" w:hAnsiTheme="majorBidi" w:cstheme="majorBidi"/>
          <w:bCs/>
          <w:color w:val="000000"/>
        </w:rPr>
        <w:t xml:space="preserve"> income opportunities for women and men: Closing the </w:t>
      </w:r>
      <w:r w:rsidRPr="00466A83">
        <w:rPr>
          <w:rFonts w:asciiTheme="majorBidi" w:hAnsiTheme="majorBidi" w:cstheme="majorBidi"/>
          <w:noProof/>
        </w:rPr>
        <w:t>gender gap in pensions (</w:t>
      </w:r>
      <w:hyperlink r:id="rId22" w:tooltip="http://data.consilium.europa.eu/doc/document/ST-9302-2015-INIT/en/pdf" w:history="1">
        <w:r w:rsidRPr="00466A83">
          <w:rPr>
            <w:rStyle w:val="Hyperlink"/>
            <w:rFonts w:asciiTheme="majorBidi" w:hAnsiTheme="majorBidi" w:cstheme="majorBidi"/>
            <w:i/>
            <w:iCs/>
            <w:noProof/>
          </w:rPr>
          <w:t>9302/15</w:t>
        </w:r>
      </w:hyperlink>
      <w:r w:rsidRPr="00466A83">
        <w:rPr>
          <w:rFonts w:asciiTheme="majorBidi" w:hAnsiTheme="majorBidi" w:cstheme="majorBidi"/>
          <w:noProof/>
        </w:rPr>
        <w:t>).</w:t>
      </w:r>
    </w:p>
    <w:p w:rsidR="00466A83" w:rsidRPr="00466A83" w:rsidRDefault="00466A83" w:rsidP="00466A83">
      <w:pPr>
        <w:suppressAutoHyphens/>
        <w:spacing w:line="280" w:lineRule="exact"/>
        <w:rPr>
          <w:rFonts w:asciiTheme="majorBidi" w:hAnsiTheme="majorBidi" w:cstheme="majorBidi"/>
          <w:bCs/>
          <w:color w:val="000000"/>
        </w:rPr>
      </w:pPr>
      <w:r w:rsidRPr="00466A83">
        <w:rPr>
          <w:rFonts w:asciiTheme="majorBidi" w:hAnsiTheme="majorBidi" w:cstheme="majorBidi"/>
          <w:bCs/>
          <w:color w:val="000000"/>
        </w:rPr>
        <w:t>The conclusions call on the member states and the Commission to:</w:t>
      </w:r>
    </w:p>
    <w:p w:rsidR="00466A83" w:rsidRPr="00466A83" w:rsidRDefault="00466A83" w:rsidP="00466A83">
      <w:pPr>
        <w:pStyle w:val="Tiret0"/>
        <w:rPr>
          <w:rFonts w:asciiTheme="majorBidi" w:hAnsiTheme="majorBidi" w:cstheme="majorBidi"/>
          <w:bCs/>
          <w:color w:val="000000"/>
        </w:rPr>
      </w:pPr>
      <w:r w:rsidRPr="00466A83">
        <w:rPr>
          <w:rFonts w:asciiTheme="majorBidi" w:hAnsiTheme="majorBidi" w:cstheme="majorBidi"/>
          <w:bCs/>
          <w:color w:val="000000"/>
        </w:rPr>
        <w:t xml:space="preserve">promote research </w:t>
      </w:r>
      <w:r w:rsidRPr="00466A83">
        <w:t>into</w:t>
      </w:r>
      <w:r w:rsidRPr="00466A83">
        <w:rPr>
          <w:rFonts w:asciiTheme="majorBidi" w:hAnsiTheme="majorBidi" w:cstheme="majorBidi"/>
          <w:bCs/>
          <w:color w:val="000000"/>
        </w:rPr>
        <w:t xml:space="preserve"> the </w:t>
      </w:r>
      <w:r w:rsidRPr="00466A83">
        <w:rPr>
          <w:rFonts w:asciiTheme="majorBidi" w:hAnsiTheme="majorBidi" w:cstheme="majorBidi"/>
          <w:noProof/>
        </w:rPr>
        <w:t>causes</w:t>
      </w:r>
      <w:r w:rsidRPr="00466A83">
        <w:rPr>
          <w:rFonts w:asciiTheme="majorBidi" w:hAnsiTheme="majorBidi" w:cstheme="majorBidi"/>
          <w:bCs/>
          <w:color w:val="000000"/>
        </w:rPr>
        <w:t xml:space="preserve"> and effects of the gender gap in pensions;</w:t>
      </w:r>
    </w:p>
    <w:p w:rsidR="00466A83" w:rsidRPr="00466A83" w:rsidRDefault="00466A83" w:rsidP="00466A83">
      <w:pPr>
        <w:pStyle w:val="Tiret0"/>
        <w:rPr>
          <w:rFonts w:asciiTheme="majorBidi" w:hAnsiTheme="majorBidi" w:cstheme="majorBidi"/>
          <w:bCs/>
          <w:color w:val="000000"/>
        </w:rPr>
      </w:pPr>
      <w:r w:rsidRPr="00466A83">
        <w:rPr>
          <w:rFonts w:asciiTheme="majorBidi" w:hAnsiTheme="majorBidi" w:cstheme="majorBidi"/>
          <w:bCs/>
          <w:color w:val="000000"/>
        </w:rPr>
        <w:t xml:space="preserve">develop an </w:t>
      </w:r>
      <w:r w:rsidRPr="00466A83">
        <w:t>indicator</w:t>
      </w:r>
      <w:r w:rsidRPr="00466A83">
        <w:rPr>
          <w:rFonts w:asciiTheme="majorBidi" w:hAnsiTheme="majorBidi" w:cstheme="majorBidi"/>
          <w:bCs/>
          <w:color w:val="000000"/>
        </w:rPr>
        <w:t xml:space="preserve"> within the framework of the SPC; and to</w:t>
      </w:r>
    </w:p>
    <w:p w:rsidR="00466A83" w:rsidRPr="00466A83" w:rsidRDefault="00466A83" w:rsidP="00466A83">
      <w:pPr>
        <w:pStyle w:val="Tiret0"/>
        <w:rPr>
          <w:rFonts w:asciiTheme="majorBidi" w:hAnsiTheme="majorBidi" w:cstheme="majorBidi"/>
          <w:color w:val="000000"/>
        </w:rPr>
      </w:pPr>
      <w:r w:rsidRPr="00466A83">
        <w:rPr>
          <w:rFonts w:asciiTheme="majorBidi" w:hAnsiTheme="majorBidi" w:cstheme="majorBidi"/>
          <w:color w:val="000000"/>
        </w:rPr>
        <w:t>pursue measures to tackle the causes of the gender gap in pensions.</w:t>
      </w:r>
    </w:p>
    <w:p w:rsidR="00466A83" w:rsidRPr="00466A83" w:rsidRDefault="00466A83" w:rsidP="00466A83">
      <w:pPr>
        <w:suppressAutoHyphens/>
        <w:spacing w:line="280" w:lineRule="exact"/>
        <w:rPr>
          <w:rFonts w:asciiTheme="majorBidi" w:hAnsiTheme="majorBidi" w:cstheme="majorBidi"/>
          <w:color w:val="000000"/>
        </w:rPr>
      </w:pPr>
      <w:r w:rsidRPr="00466A83">
        <w:rPr>
          <w:rFonts w:asciiTheme="majorBidi" w:hAnsiTheme="majorBidi" w:cstheme="majorBidi"/>
          <w:color w:val="000000"/>
        </w:rPr>
        <w:t xml:space="preserve">Since pension issues are for the most part a matter of national competence, the member states are separately called upon to address </w:t>
      </w:r>
      <w:r w:rsidRPr="00466A83">
        <w:rPr>
          <w:rFonts w:asciiTheme="majorBidi" w:hAnsiTheme="majorBidi" w:cstheme="majorBidi"/>
          <w:noProof/>
        </w:rPr>
        <w:t>the</w:t>
      </w:r>
      <w:r w:rsidRPr="00466A83">
        <w:rPr>
          <w:rFonts w:asciiTheme="majorBidi" w:hAnsiTheme="majorBidi" w:cstheme="majorBidi"/>
          <w:color w:val="000000"/>
        </w:rPr>
        <w:t xml:space="preserve"> problem in a number of different ways.</w:t>
      </w:r>
    </w:p>
    <w:p w:rsidR="00466A83" w:rsidRPr="00466A83" w:rsidRDefault="00BA4272" w:rsidP="00466A83">
      <w:pPr>
        <w:suppressAutoHyphens/>
        <w:spacing w:line="280" w:lineRule="exact"/>
        <w:rPr>
          <w:rFonts w:asciiTheme="majorBidi" w:hAnsiTheme="majorBidi" w:cstheme="majorBidi"/>
          <w:bCs/>
          <w:color w:val="000000"/>
        </w:rPr>
      </w:pPr>
      <w:r>
        <w:rPr>
          <w:rFonts w:asciiTheme="majorBidi" w:hAnsiTheme="majorBidi" w:cstheme="majorBidi"/>
          <w:bCs/>
          <w:color w:val="000000"/>
        </w:rPr>
        <w:br w:type="page"/>
      </w:r>
      <w:r w:rsidR="00466A83" w:rsidRPr="00466A83">
        <w:rPr>
          <w:rFonts w:asciiTheme="majorBidi" w:hAnsiTheme="majorBidi" w:cstheme="majorBidi"/>
          <w:bCs/>
          <w:color w:val="000000"/>
        </w:rPr>
        <w:lastRenderedPageBreak/>
        <w:t>These conclusions will enable the member states to make progress towards de facto equality between women and men in terms of economic independence.</w:t>
      </w:r>
    </w:p>
    <w:p w:rsidR="00466A83" w:rsidRPr="00466A83" w:rsidRDefault="00466A83" w:rsidP="00466A83">
      <w:pPr>
        <w:suppressAutoHyphens/>
        <w:spacing w:line="280" w:lineRule="exact"/>
        <w:rPr>
          <w:rFonts w:asciiTheme="majorBidi" w:hAnsiTheme="majorBidi" w:cstheme="majorBidi"/>
          <w:bCs/>
          <w:color w:val="000000"/>
        </w:rPr>
      </w:pPr>
      <w:r w:rsidRPr="00466A83">
        <w:rPr>
          <w:rFonts w:asciiTheme="majorBidi" w:hAnsiTheme="majorBidi" w:cstheme="majorBidi"/>
          <w:color w:val="000000"/>
        </w:rPr>
        <w:t xml:space="preserve">According to the latest figures published by the Commission, the average gender gap in pensions in the EU is 38.5 %, substantially </w:t>
      </w:r>
      <w:r w:rsidRPr="00466A83">
        <w:rPr>
          <w:rFonts w:asciiTheme="majorBidi" w:hAnsiTheme="majorBidi" w:cstheme="majorBidi"/>
          <w:noProof/>
        </w:rPr>
        <w:t>higher</w:t>
      </w:r>
      <w:r w:rsidRPr="00466A83">
        <w:rPr>
          <w:rFonts w:asciiTheme="majorBidi" w:hAnsiTheme="majorBidi" w:cstheme="majorBidi"/>
          <w:color w:val="000000"/>
        </w:rPr>
        <w:t xml:space="preserve"> than t</w:t>
      </w:r>
      <w:r w:rsidRPr="00466A83">
        <w:rPr>
          <w:rFonts w:asciiTheme="majorBidi" w:hAnsiTheme="majorBidi" w:cstheme="majorBidi"/>
          <w:bCs/>
          <w:color w:val="000000"/>
        </w:rPr>
        <w:t>he gender pay gap (16.5 %). The causes of the gender gap in pensions are complex, as shown by research undertaken by the Social Protection Committee and the European Institute for Gender Equality (EIGE).</w:t>
      </w:r>
    </w:p>
    <w:p w:rsidR="00466A83" w:rsidRPr="001B3830" w:rsidRDefault="00466A83" w:rsidP="001B3830">
      <w:pPr>
        <w:pStyle w:val="Sub-itemDebated"/>
      </w:pPr>
      <w:bookmarkStart w:id="12" w:name="_Toc422489462"/>
      <w:r w:rsidRPr="001B3830">
        <w:t>Any other business</w:t>
      </w:r>
      <w:bookmarkEnd w:id="12"/>
    </w:p>
    <w:p w:rsidR="00466A83" w:rsidRPr="001B3830" w:rsidRDefault="00466A83" w:rsidP="001B3830">
      <w:pPr>
        <w:pStyle w:val="Sub-sub-itemDebated"/>
        <w:numPr>
          <w:ilvl w:val="0"/>
          <w:numId w:val="43"/>
        </w:numPr>
      </w:pPr>
      <w:bookmarkStart w:id="13" w:name="_Toc422489463"/>
      <w:r w:rsidRPr="001B3830">
        <w:t>Current legislative proposals</w:t>
      </w:r>
      <w:bookmarkEnd w:id="13"/>
    </w:p>
    <w:p w:rsidR="00466A83" w:rsidRPr="00466A83" w:rsidRDefault="00466A83" w:rsidP="00466A83">
      <w:pPr>
        <w:suppressAutoHyphens/>
        <w:spacing w:line="280" w:lineRule="exact"/>
        <w:rPr>
          <w:rFonts w:asciiTheme="majorBidi" w:hAnsiTheme="majorBidi" w:cstheme="majorBidi"/>
        </w:rPr>
      </w:pPr>
      <w:r w:rsidRPr="00466A83">
        <w:rPr>
          <w:rFonts w:asciiTheme="majorBidi" w:hAnsiTheme="majorBidi" w:cstheme="majorBidi"/>
        </w:rPr>
        <w:t xml:space="preserve">The presidency informed ministers on the following current legislative proposals: Seafarers, undeclared work platform, EURES </w:t>
      </w:r>
      <w:r w:rsidRPr="00466A83">
        <w:rPr>
          <w:rFonts w:asciiTheme="majorBidi" w:hAnsiTheme="majorBidi" w:cstheme="majorBidi"/>
          <w:noProof/>
        </w:rPr>
        <w:t>and</w:t>
      </w:r>
      <w:r w:rsidRPr="00466A83">
        <w:rPr>
          <w:rFonts w:asciiTheme="majorBidi" w:hAnsiTheme="majorBidi" w:cstheme="majorBidi"/>
        </w:rPr>
        <w:t xml:space="preserve"> maternity leave.</w:t>
      </w:r>
    </w:p>
    <w:p w:rsidR="00466A83" w:rsidRPr="001B3830" w:rsidRDefault="00466A83" w:rsidP="00466A83">
      <w:pPr>
        <w:rPr>
          <w:b/>
          <w:i/>
        </w:rPr>
      </w:pPr>
      <w:r w:rsidRPr="00466A83">
        <w:rPr>
          <w:rFonts w:asciiTheme="majorBidi" w:hAnsiTheme="majorBidi" w:cstheme="majorBidi"/>
          <w:b/>
          <w:bCs/>
        </w:rPr>
        <w:t>-</w:t>
      </w:r>
      <w:r w:rsidRPr="00466A83">
        <w:rPr>
          <w:rFonts w:asciiTheme="majorBidi" w:hAnsiTheme="majorBidi" w:cstheme="majorBidi"/>
          <w:b/>
          <w:bCs/>
        </w:rPr>
        <w:tab/>
      </w:r>
      <w:r w:rsidRPr="001B3830">
        <w:rPr>
          <w:b/>
          <w:i/>
        </w:rPr>
        <w:t>National Roma integration strategies</w:t>
      </w:r>
    </w:p>
    <w:p w:rsidR="00466A83" w:rsidRPr="00466A83" w:rsidRDefault="00466A83" w:rsidP="00466A83">
      <w:pPr>
        <w:suppressAutoHyphens/>
        <w:spacing w:line="280" w:lineRule="exact"/>
        <w:rPr>
          <w:rFonts w:asciiTheme="majorBidi" w:hAnsiTheme="majorBidi" w:cstheme="majorBidi"/>
        </w:rPr>
      </w:pPr>
      <w:r w:rsidRPr="00466A83">
        <w:rPr>
          <w:rFonts w:asciiTheme="majorBidi" w:hAnsiTheme="majorBidi" w:cstheme="majorBidi"/>
        </w:rPr>
        <w:t xml:space="preserve">The </w:t>
      </w:r>
      <w:r w:rsidRPr="00466A83">
        <w:rPr>
          <w:rFonts w:asciiTheme="majorBidi" w:hAnsiTheme="majorBidi" w:cstheme="majorBidi"/>
          <w:noProof/>
        </w:rPr>
        <w:t>Commission</w:t>
      </w:r>
      <w:r w:rsidRPr="00466A83">
        <w:rPr>
          <w:rFonts w:asciiTheme="majorBidi" w:hAnsiTheme="majorBidi" w:cstheme="majorBidi"/>
        </w:rPr>
        <w:t xml:space="preserve"> informed the </w:t>
      </w:r>
      <w:r w:rsidRPr="00466A83">
        <w:rPr>
          <w:rFonts w:asciiTheme="majorBidi" w:hAnsiTheme="majorBidi" w:cstheme="majorBidi"/>
          <w:noProof/>
        </w:rPr>
        <w:t>Council</w:t>
      </w:r>
      <w:r w:rsidRPr="00466A83">
        <w:rPr>
          <w:rFonts w:asciiTheme="majorBidi" w:hAnsiTheme="majorBidi" w:cstheme="majorBidi"/>
          <w:iCs/>
        </w:rPr>
        <w:t xml:space="preserve"> </w:t>
      </w:r>
      <w:r w:rsidRPr="00466A83">
        <w:rPr>
          <w:rFonts w:asciiTheme="majorBidi" w:hAnsiTheme="majorBidi" w:cstheme="majorBidi"/>
        </w:rPr>
        <w:t>about</w:t>
      </w:r>
      <w:r w:rsidRPr="00466A83">
        <w:rPr>
          <w:rFonts w:asciiTheme="majorBidi" w:hAnsiTheme="majorBidi" w:cstheme="majorBidi"/>
          <w:noProof/>
        </w:rPr>
        <w:t xml:space="preserve"> its forthcoming </w:t>
      </w:r>
      <w:r w:rsidRPr="00466A83">
        <w:rPr>
          <w:rFonts w:asciiTheme="majorBidi" w:hAnsiTheme="majorBidi" w:cstheme="majorBidi"/>
        </w:rPr>
        <w:t>2015 report on the implementation of the EU framework on national Roma integration strategies.</w:t>
      </w:r>
    </w:p>
    <w:p w:rsidR="00466A83" w:rsidRPr="001B3830" w:rsidRDefault="00466A83" w:rsidP="001B3830">
      <w:pPr>
        <w:pStyle w:val="Sub-sub-itemDebated"/>
      </w:pPr>
      <w:bookmarkStart w:id="14" w:name="_Toc422489464"/>
      <w:r w:rsidRPr="001B3830">
        <w:t>Transitional arrangements on free movement of workers from Croatia</w:t>
      </w:r>
      <w:bookmarkEnd w:id="14"/>
    </w:p>
    <w:p w:rsidR="00466A83" w:rsidRPr="00466A83" w:rsidRDefault="00466A83" w:rsidP="00466A83">
      <w:pPr>
        <w:suppressAutoHyphens/>
        <w:spacing w:line="280" w:lineRule="exact"/>
        <w:rPr>
          <w:rFonts w:asciiTheme="majorBidi" w:hAnsiTheme="majorBidi" w:cstheme="majorBidi"/>
        </w:rPr>
      </w:pPr>
      <w:r w:rsidRPr="00466A83">
        <w:rPr>
          <w:rFonts w:asciiTheme="majorBidi" w:hAnsiTheme="majorBidi" w:cstheme="majorBidi"/>
          <w:iCs/>
        </w:rPr>
        <w:t xml:space="preserve">The Commission informed the </w:t>
      </w:r>
      <w:r w:rsidRPr="00466A83">
        <w:rPr>
          <w:rFonts w:asciiTheme="majorBidi" w:hAnsiTheme="majorBidi" w:cstheme="majorBidi"/>
          <w:noProof/>
        </w:rPr>
        <w:t>Council</w:t>
      </w:r>
      <w:r w:rsidRPr="00466A83">
        <w:rPr>
          <w:rFonts w:asciiTheme="majorBidi" w:hAnsiTheme="majorBidi" w:cstheme="majorBidi"/>
          <w:iCs/>
        </w:rPr>
        <w:t xml:space="preserve"> about the </w:t>
      </w:r>
      <w:hyperlink r:id="rId23" w:history="1">
        <w:r w:rsidRPr="00466A83">
          <w:rPr>
            <w:rStyle w:val="Hyperlink"/>
            <w:rFonts w:asciiTheme="majorBidi" w:hAnsiTheme="majorBidi" w:cstheme="majorBidi"/>
            <w:iCs/>
          </w:rPr>
          <w:t>r</w:t>
        </w:r>
        <w:r w:rsidRPr="00466A83">
          <w:rPr>
            <w:rStyle w:val="Hyperlink"/>
            <w:rFonts w:asciiTheme="majorBidi" w:hAnsiTheme="majorBidi" w:cstheme="majorBidi"/>
          </w:rPr>
          <w:t>eport</w:t>
        </w:r>
      </w:hyperlink>
      <w:r w:rsidRPr="00466A83">
        <w:rPr>
          <w:rFonts w:asciiTheme="majorBidi" w:hAnsiTheme="majorBidi" w:cstheme="majorBidi"/>
        </w:rPr>
        <w:t xml:space="preserve"> on the functioning of the transitional arrangements regarding Croatia.</w:t>
      </w:r>
    </w:p>
    <w:p w:rsidR="00466A83" w:rsidRPr="00466A83" w:rsidRDefault="00466A83" w:rsidP="001B3830">
      <w:pPr>
        <w:pStyle w:val="Sub-sub-itemDebated"/>
        <w:rPr>
          <w:rFonts w:asciiTheme="majorBidi" w:hAnsiTheme="majorBidi" w:cstheme="majorBidi"/>
          <w:b w:val="0"/>
          <w:bCs/>
        </w:rPr>
      </w:pPr>
      <w:bookmarkStart w:id="15" w:name="_Toc422489465"/>
      <w:r w:rsidRPr="00466A83">
        <w:rPr>
          <w:rFonts w:asciiTheme="majorBidi" w:hAnsiTheme="majorBidi" w:cstheme="majorBidi"/>
          <w:bCs/>
        </w:rPr>
        <w:t xml:space="preserve">Conferences organised by the </w:t>
      </w:r>
      <w:r w:rsidRPr="001B3830">
        <w:t>Latvian</w:t>
      </w:r>
      <w:r w:rsidRPr="00466A83">
        <w:rPr>
          <w:rFonts w:asciiTheme="majorBidi" w:hAnsiTheme="majorBidi" w:cstheme="majorBidi"/>
          <w:bCs/>
        </w:rPr>
        <w:t xml:space="preserve"> Presidency</w:t>
      </w:r>
      <w:bookmarkEnd w:id="15"/>
    </w:p>
    <w:p w:rsidR="00466A83" w:rsidRPr="00466A83" w:rsidRDefault="00466A83" w:rsidP="00466A83">
      <w:pPr>
        <w:suppressAutoHyphens/>
        <w:spacing w:line="280" w:lineRule="exact"/>
        <w:rPr>
          <w:rFonts w:asciiTheme="majorBidi" w:hAnsiTheme="majorBidi" w:cstheme="majorBidi"/>
        </w:rPr>
      </w:pPr>
      <w:r w:rsidRPr="00466A83">
        <w:rPr>
          <w:rFonts w:asciiTheme="majorBidi" w:hAnsiTheme="majorBidi" w:cstheme="majorBidi"/>
          <w:iCs/>
        </w:rPr>
        <w:t xml:space="preserve">The presidency informed the </w:t>
      </w:r>
      <w:r w:rsidRPr="00466A83">
        <w:rPr>
          <w:rFonts w:asciiTheme="majorBidi" w:hAnsiTheme="majorBidi" w:cstheme="majorBidi"/>
          <w:noProof/>
        </w:rPr>
        <w:t>Council</w:t>
      </w:r>
      <w:r w:rsidRPr="00466A83">
        <w:rPr>
          <w:rFonts w:asciiTheme="majorBidi" w:hAnsiTheme="majorBidi" w:cstheme="majorBidi"/>
          <w:iCs/>
        </w:rPr>
        <w:t xml:space="preserve"> about the o</w:t>
      </w:r>
      <w:r w:rsidRPr="00466A83">
        <w:rPr>
          <w:rFonts w:asciiTheme="majorBidi" w:hAnsiTheme="majorBidi" w:cstheme="majorBidi"/>
        </w:rPr>
        <w:t>utcome of different conferences.</w:t>
      </w:r>
    </w:p>
    <w:p w:rsidR="00466A83" w:rsidRPr="00466A83" w:rsidRDefault="00466A83" w:rsidP="001B3830">
      <w:pPr>
        <w:pStyle w:val="Sub-sub-itemDebated"/>
        <w:rPr>
          <w:rFonts w:asciiTheme="majorBidi" w:hAnsiTheme="majorBidi" w:cstheme="majorBidi"/>
          <w:b w:val="0"/>
          <w:bCs/>
        </w:rPr>
      </w:pPr>
      <w:bookmarkStart w:id="16" w:name="_Toc422489466"/>
      <w:r w:rsidRPr="00466A83">
        <w:rPr>
          <w:rFonts w:asciiTheme="majorBidi" w:hAnsiTheme="majorBidi" w:cstheme="majorBidi"/>
          <w:bCs/>
        </w:rPr>
        <w:t xml:space="preserve">Programme of the </w:t>
      </w:r>
      <w:r w:rsidRPr="001B3830">
        <w:t>incoming</w:t>
      </w:r>
      <w:r w:rsidRPr="00466A83">
        <w:rPr>
          <w:rFonts w:asciiTheme="majorBidi" w:hAnsiTheme="majorBidi" w:cstheme="majorBidi"/>
          <w:bCs/>
        </w:rPr>
        <w:t xml:space="preserve"> Presidency</w:t>
      </w:r>
      <w:bookmarkEnd w:id="16"/>
    </w:p>
    <w:p w:rsidR="00466A83" w:rsidRDefault="00466A83" w:rsidP="00466A83">
      <w:pPr>
        <w:suppressAutoHyphens/>
        <w:spacing w:line="280" w:lineRule="exact"/>
        <w:rPr>
          <w:rFonts w:asciiTheme="majorBidi" w:hAnsiTheme="majorBidi" w:cstheme="majorBidi"/>
        </w:rPr>
      </w:pPr>
      <w:r w:rsidRPr="00466A83">
        <w:rPr>
          <w:rFonts w:asciiTheme="majorBidi" w:hAnsiTheme="majorBidi" w:cstheme="majorBidi"/>
        </w:rPr>
        <w:t xml:space="preserve">The Luxembourg delegation </w:t>
      </w:r>
      <w:r w:rsidRPr="00466A83">
        <w:rPr>
          <w:rFonts w:asciiTheme="majorBidi" w:hAnsiTheme="majorBidi" w:cstheme="majorBidi"/>
          <w:noProof/>
        </w:rPr>
        <w:t>informed</w:t>
      </w:r>
      <w:r w:rsidRPr="00466A83">
        <w:rPr>
          <w:rFonts w:asciiTheme="majorBidi" w:hAnsiTheme="majorBidi" w:cstheme="majorBidi"/>
        </w:rPr>
        <w:t xml:space="preserve"> the Council about its work programme.</w:t>
      </w:r>
    </w:p>
    <w:p w:rsidR="00EA2C83" w:rsidRDefault="001D4B9F" w:rsidP="001D4B9F">
      <w:pPr>
        <w:pStyle w:val="ItemDebated"/>
      </w:pPr>
      <w:r>
        <w:br w:type="page"/>
      </w:r>
      <w:bookmarkStart w:id="17" w:name="_Toc422489467"/>
      <w:r w:rsidRPr="001D4B9F">
        <w:lastRenderedPageBreak/>
        <w:t>HEALTH</w:t>
      </w:r>
      <w:bookmarkEnd w:id="17"/>
    </w:p>
    <w:p w:rsidR="001D4B9F" w:rsidRPr="001D4B9F" w:rsidRDefault="001D4B9F" w:rsidP="001D4B9F">
      <w:pPr>
        <w:pStyle w:val="Sub-itemDebated"/>
      </w:pPr>
      <w:bookmarkStart w:id="18" w:name="_Toc422489468"/>
      <w:r w:rsidRPr="001D4B9F">
        <w:t>Medical devices</w:t>
      </w:r>
      <w:bookmarkEnd w:id="18"/>
    </w:p>
    <w:p w:rsidR="001D4B9F" w:rsidRDefault="001D4B9F" w:rsidP="001D4B9F">
      <w:r>
        <w:t>The Council agreed the substance of its negotiating stance on two draft regulations aimed at modernising EU rules on medical devices and in vitro diagnostic medical devices.</w:t>
      </w:r>
    </w:p>
    <w:p w:rsidR="001D4B9F" w:rsidRDefault="001D4B9F" w:rsidP="001D4B9F">
      <w:r>
        <w:t>The two draft regulations on medical devices cover a wide range of products, from sticking plasters to hip replacements, pacemakers and laboratory tests for assessment of medical interventions.</w:t>
      </w:r>
    </w:p>
    <w:p w:rsidR="001D4B9F" w:rsidRDefault="001D4B9F" w:rsidP="001D4B9F">
      <w:pPr>
        <w:rPr>
          <w:rFonts w:cs="Calibri"/>
          <w:lang w:eastAsia="fr-BE"/>
        </w:rPr>
      </w:pPr>
      <w:r>
        <w:t xml:space="preserve">The main objective of the two draft regulations is to </w:t>
      </w:r>
      <w:r w:rsidRPr="007B0AA9">
        <w:t>ensure that medical devices are safe.</w:t>
      </w:r>
      <w:r>
        <w:t xml:space="preserve"> This would be achieved by strengthening the rules on placing devices on the market </w:t>
      </w:r>
      <w:r w:rsidRPr="006D3A96">
        <w:t>and tighten</w:t>
      </w:r>
      <w:r>
        <w:t>ing</w:t>
      </w:r>
      <w:r w:rsidRPr="006D3A96">
        <w:t xml:space="preserve"> surveillance once they are available.</w:t>
      </w:r>
      <w:r>
        <w:t xml:space="preserve"> </w:t>
      </w:r>
      <w:r>
        <w:rPr>
          <w:rFonts w:cs="Calibri"/>
          <w:lang w:eastAsia="fr-BE"/>
        </w:rPr>
        <w:t>The draft regulations also seek to provide</w:t>
      </w:r>
      <w:r w:rsidRPr="00766FD6">
        <w:rPr>
          <w:rFonts w:cs="Calibri"/>
          <w:lang w:eastAsia="fr-BE"/>
        </w:rPr>
        <w:t xml:space="preserve"> patients more transparency on the available </w:t>
      </w:r>
      <w:r>
        <w:rPr>
          <w:rFonts w:cs="Calibri"/>
          <w:lang w:eastAsia="fr-BE"/>
        </w:rPr>
        <w:t>devices</w:t>
      </w:r>
      <w:r w:rsidRPr="00766FD6">
        <w:rPr>
          <w:rFonts w:cs="Calibri"/>
          <w:lang w:eastAsia="fr-BE"/>
        </w:rPr>
        <w:t xml:space="preserve">, </w:t>
      </w:r>
      <w:r>
        <w:rPr>
          <w:rFonts w:cs="Calibri"/>
          <w:lang w:eastAsia="fr-BE"/>
        </w:rPr>
        <w:t xml:space="preserve">and </w:t>
      </w:r>
      <w:r w:rsidRPr="00766FD6">
        <w:rPr>
          <w:rFonts w:cs="Calibri"/>
          <w:lang w:eastAsia="fr-BE"/>
        </w:rPr>
        <w:t>increas</w:t>
      </w:r>
      <w:r>
        <w:rPr>
          <w:rFonts w:cs="Calibri"/>
          <w:lang w:eastAsia="fr-BE"/>
        </w:rPr>
        <w:t xml:space="preserve">e </w:t>
      </w:r>
      <w:r w:rsidRPr="00766FD6">
        <w:rPr>
          <w:rFonts w:cs="Calibri"/>
          <w:lang w:eastAsia="fr-BE"/>
        </w:rPr>
        <w:t>their traceability</w:t>
      </w:r>
      <w:r>
        <w:rPr>
          <w:rFonts w:cs="Calibri"/>
          <w:lang w:eastAsia="fr-BE"/>
        </w:rPr>
        <w:t>.</w:t>
      </w:r>
    </w:p>
    <w:p w:rsidR="001D4B9F" w:rsidRDefault="001D4B9F" w:rsidP="001D4B9F">
      <w:pPr>
        <w:rPr>
          <w:rFonts w:cs="Calibri"/>
          <w:lang w:eastAsia="fr-BE"/>
        </w:rPr>
      </w:pPr>
      <w:r w:rsidRPr="002F3741">
        <w:rPr>
          <w:rFonts w:cs="Calibri"/>
          <w:lang w:eastAsia="fr-BE"/>
        </w:rPr>
        <w:t xml:space="preserve">The </w:t>
      </w:r>
      <w:r>
        <w:rPr>
          <w:rFonts w:cs="Calibri"/>
          <w:lang w:eastAsia="fr-BE"/>
        </w:rPr>
        <w:t xml:space="preserve">Council tasked its preparatory bodies to </w:t>
      </w:r>
      <w:r w:rsidRPr="002F3741">
        <w:rPr>
          <w:rFonts w:cs="Calibri"/>
          <w:lang w:eastAsia="fr-BE"/>
        </w:rPr>
        <w:t xml:space="preserve">finalise some outstanding </w:t>
      </w:r>
      <w:r>
        <w:rPr>
          <w:rFonts w:cs="Calibri"/>
          <w:lang w:eastAsia="fr-BE"/>
        </w:rPr>
        <w:t xml:space="preserve">technical </w:t>
      </w:r>
      <w:r w:rsidRPr="002F3741">
        <w:rPr>
          <w:rFonts w:cs="Calibri"/>
          <w:lang w:eastAsia="fr-BE"/>
        </w:rPr>
        <w:t>work concerning the preamble of the two draft regulations</w:t>
      </w:r>
      <w:r>
        <w:rPr>
          <w:rFonts w:cs="Calibri"/>
          <w:lang w:eastAsia="fr-BE"/>
        </w:rPr>
        <w:t xml:space="preserve"> to allow negotiations with the European Parliament to start.</w:t>
      </w:r>
    </w:p>
    <w:p w:rsidR="001D4B9F" w:rsidRDefault="001D4B9F" w:rsidP="001D4B9F">
      <w:r>
        <w:t xml:space="preserve">For details, see </w:t>
      </w:r>
      <w:hyperlink r:id="rId24" w:history="1">
        <w:r w:rsidRPr="001D4B9F">
          <w:rPr>
            <w:rStyle w:val="Hyperlink"/>
          </w:rPr>
          <w:t>press release</w:t>
        </w:r>
      </w:hyperlink>
    </w:p>
    <w:p w:rsidR="001D4B9F" w:rsidRPr="001D4B9F" w:rsidRDefault="001D4B9F" w:rsidP="001D4B9F">
      <w:pPr>
        <w:pStyle w:val="Sub-itemDebated"/>
      </w:pPr>
      <w:bookmarkStart w:id="19" w:name="_Toc422489469"/>
      <w:r w:rsidRPr="001D4B9F">
        <w:t>Any other business</w:t>
      </w:r>
      <w:bookmarkEnd w:id="19"/>
    </w:p>
    <w:p w:rsidR="00FD4579" w:rsidRPr="001D4B9F" w:rsidRDefault="00FD4579" w:rsidP="00FD4579">
      <w:pPr>
        <w:pStyle w:val="Sub-sub-itemDebated"/>
      </w:pPr>
      <w:bookmarkStart w:id="20" w:name="_Toc422489470"/>
      <w:r w:rsidRPr="001D4B9F">
        <w:t>EU alcohol policy</w:t>
      </w:r>
      <w:bookmarkEnd w:id="20"/>
    </w:p>
    <w:p w:rsidR="00FD4579" w:rsidRDefault="00FD4579" w:rsidP="00FD4579">
      <w:r w:rsidRPr="001D4B9F">
        <w:t>A majority of ministers backed a call of the Slovenian delegation to present a new framework for the EU's alcohol policy. This framework would help member states to tackle the abuse of alcohol and alcohol related harm. According to the WHO, alcohol is the third leading risk factor for disease and mortality in Europe (</w:t>
      </w:r>
      <w:hyperlink r:id="rId25" w:tooltip="http://data.consilium.europa.eu/doc/document/ST-9286-2015-INIT/en/pdf" w:history="1">
        <w:r>
          <w:rPr>
            <w:rStyle w:val="Hyperlink"/>
            <w:i/>
            <w:iCs/>
          </w:rPr>
          <w:t>9286/15</w:t>
        </w:r>
      </w:hyperlink>
      <w:r w:rsidRPr="001D4B9F">
        <w:t>).</w:t>
      </w:r>
    </w:p>
    <w:p w:rsidR="001D4B9F" w:rsidRPr="001D4B9F" w:rsidRDefault="005F0203" w:rsidP="001D4B9F">
      <w:pPr>
        <w:pStyle w:val="Sub-sub-itemDebated"/>
      </w:pPr>
      <w:r>
        <w:br w:type="page"/>
      </w:r>
      <w:bookmarkStart w:id="21" w:name="_Toc422489471"/>
      <w:r w:rsidR="001D4B9F" w:rsidRPr="001D4B9F">
        <w:lastRenderedPageBreak/>
        <w:t>Health dimension in the European agenda on migration</w:t>
      </w:r>
      <w:bookmarkEnd w:id="21"/>
    </w:p>
    <w:p w:rsidR="001D4B9F" w:rsidRPr="00FD4579" w:rsidRDefault="001D4B9F" w:rsidP="00FD4579">
      <w:r w:rsidRPr="001D4B9F">
        <w:t>The Cyprus, Greek, Italian and Maltese delegations</w:t>
      </w:r>
      <w:r w:rsidR="00FD4579">
        <w:t>, supported by several other delegations,</w:t>
      </w:r>
      <w:r w:rsidRPr="001D4B9F">
        <w:t xml:space="preserve"> stressed the importance of the health dimension being properly reflected in the European agenda on migration (</w:t>
      </w:r>
      <w:hyperlink r:id="rId26" w:tooltip="http://data.consilium.europa.eu/doc/document/ST-9479-2015-INIT/en/pdf" w:history="1">
        <w:r>
          <w:rPr>
            <w:rStyle w:val="Hyperlink"/>
            <w:i/>
            <w:iCs/>
          </w:rPr>
          <w:t>9479/15</w:t>
        </w:r>
      </w:hyperlink>
      <w:r w:rsidRPr="001D4B9F">
        <w:t>).</w:t>
      </w:r>
      <w:r w:rsidR="00FD4579">
        <w:t xml:space="preserve"> Migration is one of the items on the agenda of the European Council meeting on 25 and 26 June 2015.</w:t>
      </w:r>
    </w:p>
    <w:p w:rsidR="00FD4579" w:rsidRDefault="00FD4579" w:rsidP="00FD4579">
      <w:pPr>
        <w:pStyle w:val="Sub-sub-itemDebated"/>
      </w:pPr>
      <w:bookmarkStart w:id="22" w:name="_Toc422489472"/>
      <w:r>
        <w:t>Diphteria</w:t>
      </w:r>
      <w:bookmarkEnd w:id="22"/>
    </w:p>
    <w:p w:rsidR="00FD4579" w:rsidRPr="00FD4579" w:rsidRDefault="00C37594" w:rsidP="00C37594">
      <w:r>
        <w:t>The Council took note of information provided by the Spanish on a recent case of diphteria which will be addressed in the health security committee meeting on 25 June 2015.</w:t>
      </w:r>
    </w:p>
    <w:p w:rsidR="001D4B9F" w:rsidRPr="001D4B9F" w:rsidRDefault="001D4B9F" w:rsidP="001D4B9F">
      <w:pPr>
        <w:pStyle w:val="Sub-sub-itemDebated"/>
        <w:rPr>
          <w:b w:val="0"/>
          <w:i w:val="0"/>
        </w:rPr>
      </w:pPr>
      <w:bookmarkStart w:id="23" w:name="_Toc422489473"/>
      <w:r w:rsidRPr="00C67ADD">
        <w:rPr>
          <w:color w:val="000000"/>
        </w:rPr>
        <w:t xml:space="preserve">Work programme of </w:t>
      </w:r>
      <w:r w:rsidRPr="001D4B9F">
        <w:t>the</w:t>
      </w:r>
      <w:r w:rsidRPr="00C67ADD">
        <w:rPr>
          <w:color w:val="000000"/>
        </w:rPr>
        <w:t xml:space="preserve"> incoming presidency</w:t>
      </w:r>
      <w:bookmarkEnd w:id="23"/>
    </w:p>
    <w:p w:rsidR="001D4B9F" w:rsidRPr="001D4B9F" w:rsidRDefault="001D4B9F" w:rsidP="001D4B9F">
      <w:r w:rsidRPr="001D4B9F">
        <w:t>The Luxembourg delegation informed ministers on its work programme in the field of health and consumer affairs as the incoming Presidency of the Council of the EU.</w:t>
      </w:r>
    </w:p>
    <w:p w:rsidR="001D4B9F" w:rsidRPr="001D4B9F" w:rsidRDefault="001D4B9F" w:rsidP="001D4B9F">
      <w:pPr>
        <w:pStyle w:val="Sub-itemDebated"/>
      </w:pPr>
      <w:bookmarkStart w:id="24" w:name="_Toc422489474"/>
      <w:r w:rsidRPr="001D4B9F">
        <w:t>In the margins of the Council</w:t>
      </w:r>
      <w:bookmarkEnd w:id="24"/>
    </w:p>
    <w:p w:rsidR="001D4B9F" w:rsidRPr="001D4B9F" w:rsidRDefault="001D4B9F" w:rsidP="001D4B9F">
      <w:pPr>
        <w:pStyle w:val="Sub-sub-itemDebated"/>
      </w:pPr>
      <w:bookmarkStart w:id="25" w:name="_Toc422489475"/>
      <w:r w:rsidRPr="001D4B9F">
        <w:t>Signing ceremony of the joint procurement agreement</w:t>
      </w:r>
      <w:bookmarkEnd w:id="25"/>
    </w:p>
    <w:p w:rsidR="001D4B9F" w:rsidRPr="00C67ADD" w:rsidRDefault="001D4B9F" w:rsidP="001D4B9F">
      <w:pPr>
        <w:rPr>
          <w:color w:val="000000"/>
        </w:rPr>
      </w:pPr>
      <w:r>
        <w:rPr>
          <w:color w:val="000000"/>
        </w:rPr>
        <w:t>T</w:t>
      </w:r>
      <w:r w:rsidRPr="00C67ADD">
        <w:rPr>
          <w:color w:val="000000"/>
        </w:rPr>
        <w:t>he Irish delegation sign</w:t>
      </w:r>
      <w:r>
        <w:rPr>
          <w:color w:val="000000"/>
        </w:rPr>
        <w:t>ed</w:t>
      </w:r>
      <w:r w:rsidRPr="00C67ADD">
        <w:rPr>
          <w:color w:val="000000"/>
        </w:rPr>
        <w:t xml:space="preserve"> the joint procurement agreement for pandemic vaccines and other medical countermeasures</w:t>
      </w:r>
      <w:r>
        <w:rPr>
          <w:color w:val="000000"/>
        </w:rPr>
        <w:t xml:space="preserve">. This brought </w:t>
      </w:r>
      <w:r w:rsidRPr="00C67ADD">
        <w:rPr>
          <w:color w:val="000000"/>
        </w:rPr>
        <w:t>the number of signatories to 21.</w:t>
      </w:r>
    </w:p>
    <w:p w:rsidR="001D4B9F" w:rsidRPr="00C67ADD" w:rsidRDefault="001D4B9F" w:rsidP="001D4B9F">
      <w:pPr>
        <w:outlineLvl w:val="0"/>
        <w:rPr>
          <w:color w:val="000000"/>
        </w:rPr>
      </w:pPr>
      <w:r w:rsidRPr="00C67ADD">
        <w:rPr>
          <w:color w:val="000000"/>
        </w:rPr>
        <w:t>The aim of the agreement is to help member states to ensure that pandemic vaccines and medicines are available in sufficient quantities and at an advantageous price in the event of the emergence of a cross-border health threat.</w:t>
      </w:r>
    </w:p>
    <w:p w:rsidR="001D4B9F" w:rsidRPr="00C67ADD" w:rsidRDefault="001D4B9F" w:rsidP="001D4B9F">
      <w:pPr>
        <w:rPr>
          <w:color w:val="000000"/>
        </w:rPr>
      </w:pPr>
      <w:r w:rsidRPr="00C67ADD">
        <w:rPr>
          <w:color w:val="000000"/>
        </w:rPr>
        <w:t xml:space="preserve">Until now the joint procurement agreement has been signed by Denmark, Lithuania, Hungary, </w:t>
      </w:r>
      <w:r>
        <w:rPr>
          <w:color w:val="000000"/>
        </w:rPr>
        <w:t xml:space="preserve">Ireland, </w:t>
      </w:r>
      <w:r w:rsidRPr="00C67ADD">
        <w:rPr>
          <w:color w:val="000000"/>
        </w:rPr>
        <w:t>Italy, Romania, Luxembourg, Belgium, Croatia, the Czech Republic, Cyprus, Estonia, Greece, Latvia, Malta, the Netherlands, Portugal, Slovakia, Slovenia, Spain</w:t>
      </w:r>
      <w:r>
        <w:rPr>
          <w:color w:val="000000"/>
        </w:rPr>
        <w:t xml:space="preserve"> and</w:t>
      </w:r>
      <w:r w:rsidRPr="00C67ADD">
        <w:rPr>
          <w:color w:val="000000"/>
        </w:rPr>
        <w:t>nd the United Kingdom.</w:t>
      </w:r>
    </w:p>
    <w:p w:rsidR="001D4B9F" w:rsidRPr="00640C5F" w:rsidRDefault="001D4B9F" w:rsidP="001D4B9F">
      <w:pPr>
        <w:rPr>
          <w:color w:val="000000"/>
        </w:rPr>
      </w:pPr>
      <w:r w:rsidRPr="00C67ADD">
        <w:rPr>
          <w:color w:val="000000"/>
        </w:rPr>
        <w:t>Following the pandemic vaccines shortage in 2009 in the wake of the H1N1 swine flu, the Council and the European Parliament agreed on a legal basis for a joint procurement procedure for medical countermeasures, provided for by decision 1082/2013 on serious cross-border threats to health. The joint procurement agreement ent</w:t>
      </w:r>
      <w:r>
        <w:rPr>
          <w:color w:val="000000"/>
        </w:rPr>
        <w:t>ered into force on 5 July 2014.</w:t>
      </w:r>
    </w:p>
    <w:p w:rsidR="001D4B9F" w:rsidRPr="001D4B9F" w:rsidRDefault="001D4B9F" w:rsidP="001D4B9F">
      <w:pPr>
        <w:pStyle w:val="Sub-itemDebated"/>
        <w:sectPr w:rsidR="001D4B9F" w:rsidRPr="001D4B9F" w:rsidSect="00F26751">
          <w:footnotePr>
            <w:numRestart w:val="eachPage"/>
          </w:footnotePr>
          <w:pgSz w:w="11907" w:h="16840" w:code="9"/>
          <w:pgMar w:top="1134" w:right="1134" w:bottom="1134" w:left="1134" w:header="567" w:footer="567" w:gutter="0"/>
          <w:cols w:space="708"/>
          <w:docGrid w:linePitch="360"/>
        </w:sectPr>
      </w:pPr>
    </w:p>
    <w:p w:rsidR="00EA2C83" w:rsidRDefault="00EA2C83" w:rsidP="00EA2C83">
      <w:pPr>
        <w:pStyle w:val="ItemsApprovedHeading"/>
      </w:pPr>
      <w:r w:rsidRPr="00EA2C83">
        <w:lastRenderedPageBreak/>
        <w:t>OTHER ITEMS APPROVED</w:t>
      </w:r>
    </w:p>
    <w:p w:rsidR="00895676" w:rsidRPr="00EA2C83" w:rsidRDefault="00895676" w:rsidP="00EA2C83">
      <w:pPr>
        <w:pStyle w:val="FinalLine"/>
      </w:pPr>
      <w:bookmarkStart w:id="26" w:name="_GoBack"/>
      <w:bookmarkEnd w:id="26"/>
    </w:p>
    <w:sectPr w:rsidR="00895676" w:rsidRPr="00EA2C83" w:rsidSect="00F26751">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C83" w:rsidRDefault="00EA2C83">
      <w:pPr>
        <w:spacing w:before="0" w:after="0"/>
      </w:pPr>
      <w:r>
        <w:separator/>
      </w:r>
    </w:p>
  </w:endnote>
  <w:endnote w:type="continuationSeparator" w:id="0">
    <w:p w:rsidR="00EA2C83" w:rsidRDefault="00EA2C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F26751" w:rsidRPr="007410E8" w:rsidTr="00F26751">
      <w:trPr>
        <w:jc w:val="center"/>
      </w:trPr>
      <w:tc>
        <w:tcPr>
          <w:tcW w:w="2604" w:type="pct"/>
          <w:shd w:val="clear" w:color="auto" w:fill="auto"/>
        </w:tcPr>
        <w:p w:rsidR="00F26751" w:rsidRPr="007410E8" w:rsidRDefault="00F26751" w:rsidP="0035025C">
          <w:pPr>
            <w:pStyle w:val="FooterText"/>
            <w:rPr>
              <w:sz w:val="16"/>
              <w:szCs w:val="16"/>
            </w:rPr>
          </w:pPr>
          <w:bookmarkStart w:id="1" w:name="FOOTER_PR_STANDARD"/>
        </w:p>
      </w:tc>
      <w:tc>
        <w:tcPr>
          <w:tcW w:w="1319" w:type="pct"/>
          <w:shd w:val="clear" w:color="auto" w:fill="auto"/>
        </w:tcPr>
        <w:p w:rsidR="00F26751" w:rsidRPr="007410E8" w:rsidRDefault="00F26751" w:rsidP="0035025C">
          <w:pPr>
            <w:pStyle w:val="FooterText"/>
            <w:rPr>
              <w:sz w:val="16"/>
              <w:szCs w:val="16"/>
            </w:rPr>
          </w:pPr>
        </w:p>
      </w:tc>
      <w:tc>
        <w:tcPr>
          <w:tcW w:w="1077" w:type="pct"/>
          <w:shd w:val="clear" w:color="auto" w:fill="auto"/>
        </w:tcPr>
        <w:p w:rsidR="00F26751" w:rsidRPr="007410E8" w:rsidRDefault="00F26751" w:rsidP="0035025C">
          <w:pPr>
            <w:pStyle w:val="FooterText"/>
            <w:jc w:val="right"/>
            <w:rPr>
              <w:sz w:val="16"/>
              <w:szCs w:val="16"/>
            </w:rPr>
          </w:pPr>
        </w:p>
      </w:tc>
    </w:tr>
    <w:tr w:rsidR="00F26751" w:rsidRPr="007410E8" w:rsidTr="00F26751">
      <w:trPr>
        <w:jc w:val="center"/>
      </w:trPr>
      <w:tc>
        <w:tcPr>
          <w:tcW w:w="2604" w:type="pct"/>
          <w:shd w:val="clear" w:color="auto" w:fill="auto"/>
        </w:tcPr>
        <w:p w:rsidR="00F26751" w:rsidRPr="007410E8" w:rsidRDefault="00F26751" w:rsidP="0035025C">
          <w:pPr>
            <w:pStyle w:val="FooterText"/>
            <w:rPr>
              <w:sz w:val="16"/>
            </w:rPr>
          </w:pPr>
          <w:r>
            <w:t>10088/15</w:t>
          </w:r>
          <w:r w:rsidRPr="002511D8">
            <w:t xml:space="preserve"> </w:t>
          </w:r>
        </w:p>
      </w:tc>
      <w:tc>
        <w:tcPr>
          <w:tcW w:w="1319" w:type="pct"/>
          <w:shd w:val="clear" w:color="auto" w:fill="auto"/>
        </w:tcPr>
        <w:p w:rsidR="00F26751" w:rsidRPr="007410E8" w:rsidRDefault="00F26751" w:rsidP="0035025C">
          <w:pPr>
            <w:pStyle w:val="FooterText"/>
            <w:rPr>
              <w:sz w:val="16"/>
            </w:rPr>
          </w:pPr>
        </w:p>
      </w:tc>
      <w:tc>
        <w:tcPr>
          <w:tcW w:w="1077" w:type="pct"/>
          <w:shd w:val="clear" w:color="auto" w:fill="auto"/>
        </w:tcPr>
        <w:p w:rsidR="00F26751" w:rsidRPr="007410E8" w:rsidRDefault="00F26751" w:rsidP="0035025C">
          <w:pPr>
            <w:pStyle w:val="FooterText"/>
            <w:jc w:val="right"/>
            <w:rPr>
              <w:sz w:val="16"/>
            </w:rPr>
          </w:pPr>
          <w:r>
            <w:fldChar w:fldCharType="begin"/>
          </w:r>
          <w:r>
            <w:instrText xml:space="preserve"> PAGE  \* MERGEFORMAT </w:instrText>
          </w:r>
          <w:r>
            <w:fldChar w:fldCharType="separate"/>
          </w:r>
          <w:r w:rsidR="00724BB5">
            <w:rPr>
              <w:noProof/>
            </w:rPr>
            <w:t>12</w:t>
          </w:r>
          <w:r>
            <w:fldChar w:fldCharType="end"/>
          </w:r>
        </w:p>
      </w:tc>
    </w:tr>
    <w:tr w:rsidR="00F26751" w:rsidRPr="007410E8" w:rsidTr="00F26751">
      <w:trPr>
        <w:jc w:val="center"/>
      </w:trPr>
      <w:tc>
        <w:tcPr>
          <w:tcW w:w="2604" w:type="pct"/>
          <w:shd w:val="clear" w:color="auto" w:fill="auto"/>
        </w:tcPr>
        <w:p w:rsidR="00F26751" w:rsidRPr="007410E8" w:rsidRDefault="00F26751" w:rsidP="0035025C">
          <w:pPr>
            <w:pStyle w:val="FooterText"/>
            <w:rPr>
              <w:sz w:val="16"/>
            </w:rPr>
          </w:pPr>
        </w:p>
      </w:tc>
      <w:tc>
        <w:tcPr>
          <w:tcW w:w="1319" w:type="pct"/>
          <w:shd w:val="clear" w:color="auto" w:fill="auto"/>
        </w:tcPr>
        <w:p w:rsidR="00F26751" w:rsidRPr="007410E8" w:rsidRDefault="00F26751" w:rsidP="0035025C">
          <w:pPr>
            <w:pStyle w:val="FooterText"/>
            <w:rPr>
              <w:sz w:val="16"/>
            </w:rPr>
          </w:pPr>
        </w:p>
      </w:tc>
      <w:tc>
        <w:tcPr>
          <w:tcW w:w="1077" w:type="pct"/>
          <w:shd w:val="clear" w:color="auto" w:fill="auto"/>
        </w:tcPr>
        <w:p w:rsidR="00F26751" w:rsidRPr="007410E8" w:rsidRDefault="00F26751" w:rsidP="0035025C">
          <w:pPr>
            <w:pStyle w:val="FooterText"/>
            <w:jc w:val="right"/>
            <w:rPr>
              <w:sz w:val="16"/>
            </w:rPr>
          </w:pPr>
          <w:r>
            <w:rPr>
              <w:b/>
              <w:position w:val="-4"/>
              <w:sz w:val="36"/>
            </w:rPr>
            <w:t>EN</w:t>
          </w:r>
        </w:p>
      </w:tc>
    </w:tr>
    <w:bookmarkEnd w:id="1"/>
  </w:tbl>
  <w:p w:rsidR="00926EAF" w:rsidRPr="00F26751" w:rsidRDefault="00926EAF" w:rsidP="00F26751">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F26751" w:rsidRPr="009C2FB3" w:rsidTr="00F26751">
      <w:trPr>
        <w:jc w:val="center"/>
      </w:trPr>
      <w:tc>
        <w:tcPr>
          <w:tcW w:w="569" w:type="pct"/>
          <w:shd w:val="clear" w:color="auto" w:fill="auto"/>
        </w:tcPr>
        <w:p w:rsidR="00F26751" w:rsidRPr="009C2FB3" w:rsidRDefault="00F26751" w:rsidP="0035025C">
          <w:pPr>
            <w:pStyle w:val="FooterText"/>
          </w:pPr>
          <w:bookmarkStart w:id="2" w:name="FOOTER_PR_COVERPAGE"/>
        </w:p>
      </w:tc>
      <w:tc>
        <w:tcPr>
          <w:tcW w:w="3760" w:type="pct"/>
          <w:gridSpan w:val="3"/>
          <w:shd w:val="clear" w:color="auto" w:fill="auto"/>
          <w:noWrap/>
        </w:tcPr>
        <w:p w:rsidR="00F26751" w:rsidRPr="00F37CD6" w:rsidRDefault="00F26751"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F26751" w:rsidRPr="009C2FB3" w:rsidRDefault="00F26751" w:rsidP="0035025C">
          <w:pPr>
            <w:pStyle w:val="FooterText"/>
          </w:pPr>
        </w:p>
      </w:tc>
    </w:tr>
    <w:tr w:rsidR="00F26751" w:rsidRPr="00724BB5" w:rsidTr="00F26751">
      <w:trPr>
        <w:jc w:val="center"/>
      </w:trPr>
      <w:tc>
        <w:tcPr>
          <w:tcW w:w="5000" w:type="pct"/>
          <w:gridSpan w:val="5"/>
          <w:shd w:val="clear" w:color="auto" w:fill="auto"/>
        </w:tcPr>
        <w:p w:rsidR="00F26751" w:rsidRPr="00F26751" w:rsidRDefault="00F26751" w:rsidP="0035025C">
          <w:pPr>
            <w:pStyle w:val="FooterAddressText"/>
            <w:rPr>
              <w:lang w:val="fr-BE"/>
            </w:rPr>
          </w:pPr>
        </w:p>
        <w:p w:rsidR="00F26751" w:rsidRPr="00F26751" w:rsidRDefault="00F26751" w:rsidP="0035025C">
          <w:pPr>
            <w:pStyle w:val="FooterAddressText"/>
            <w:rPr>
              <w:lang w:val="fr-BE"/>
            </w:rPr>
          </w:pPr>
          <w:r w:rsidRPr="00F26751">
            <w:rPr>
              <w:lang w:val="fr-BE"/>
            </w:rPr>
            <w:t>Rue de la Loi 175  B – 1048 BRUSSELS  Tel.: +32 (0)2 281 6319  Fax: +32 (0)2 281 8026</w:t>
          </w:r>
        </w:p>
      </w:tc>
    </w:tr>
    <w:tr w:rsidR="00F26751" w:rsidRPr="00724BB5" w:rsidTr="00F26751">
      <w:trPr>
        <w:jc w:val="center"/>
      </w:trPr>
      <w:tc>
        <w:tcPr>
          <w:tcW w:w="5000" w:type="pct"/>
          <w:gridSpan w:val="5"/>
          <w:shd w:val="clear" w:color="auto" w:fill="auto"/>
        </w:tcPr>
        <w:p w:rsidR="00F26751" w:rsidRPr="00F26751" w:rsidRDefault="00724BB5" w:rsidP="0035025C">
          <w:pPr>
            <w:pStyle w:val="FooterText"/>
            <w:jc w:val="center"/>
            <w:rPr>
              <w:sz w:val="20"/>
              <w:szCs w:val="20"/>
              <w:lang w:val="fr-BE"/>
            </w:rPr>
          </w:pPr>
          <w:hyperlink r:id="rId1" w:history="1">
            <w:r w:rsidR="00F26751" w:rsidRPr="00F26751">
              <w:rPr>
                <w:rStyle w:val="Hyperlink"/>
                <w:sz w:val="20"/>
                <w:lang w:val="fr-BE"/>
              </w:rPr>
              <w:t>press.office@consilium.europa.eu</w:t>
            </w:r>
          </w:hyperlink>
          <w:r w:rsidR="00F26751" w:rsidRPr="00F26751">
            <w:rPr>
              <w:sz w:val="20"/>
              <w:szCs w:val="20"/>
              <w:lang w:val="fr-BE"/>
            </w:rPr>
            <w:t xml:space="preserve">  </w:t>
          </w:r>
          <w:hyperlink r:id="rId2" w:history="1">
            <w:r w:rsidR="00F26751" w:rsidRPr="00F26751">
              <w:rPr>
                <w:rStyle w:val="Hyperlink"/>
                <w:sz w:val="20"/>
                <w:lang w:val="fr-BE"/>
              </w:rPr>
              <w:t>http://www.consilium.europa.eu/press</w:t>
            </w:r>
          </w:hyperlink>
        </w:p>
      </w:tc>
    </w:tr>
    <w:tr w:rsidR="00F26751" w:rsidRPr="007410E8" w:rsidTr="00F26751">
      <w:trPr>
        <w:jc w:val="center"/>
      </w:trPr>
      <w:tc>
        <w:tcPr>
          <w:tcW w:w="2604" w:type="pct"/>
          <w:gridSpan w:val="2"/>
          <w:shd w:val="clear" w:color="auto" w:fill="auto"/>
        </w:tcPr>
        <w:p w:rsidR="00F26751" w:rsidRPr="007410E8" w:rsidRDefault="00F26751" w:rsidP="0035025C">
          <w:pPr>
            <w:pStyle w:val="FooterText"/>
            <w:spacing w:before="60"/>
            <w:rPr>
              <w:sz w:val="16"/>
            </w:rPr>
          </w:pPr>
          <w:r>
            <w:t>10088/15</w:t>
          </w:r>
          <w:r w:rsidRPr="002511D8">
            <w:t xml:space="preserve"> </w:t>
          </w:r>
        </w:p>
      </w:tc>
      <w:tc>
        <w:tcPr>
          <w:tcW w:w="1319" w:type="pct"/>
          <w:shd w:val="clear" w:color="auto" w:fill="auto"/>
        </w:tcPr>
        <w:p w:rsidR="00F26751" w:rsidRPr="007410E8" w:rsidRDefault="00F26751" w:rsidP="0035025C">
          <w:pPr>
            <w:pStyle w:val="FooterText"/>
            <w:spacing w:before="120"/>
            <w:rPr>
              <w:sz w:val="16"/>
            </w:rPr>
          </w:pPr>
        </w:p>
      </w:tc>
      <w:tc>
        <w:tcPr>
          <w:tcW w:w="1077" w:type="pct"/>
          <w:gridSpan w:val="2"/>
          <w:shd w:val="clear" w:color="auto" w:fill="auto"/>
        </w:tcPr>
        <w:p w:rsidR="00F26751" w:rsidRPr="007410E8" w:rsidRDefault="00F26751" w:rsidP="0035025C">
          <w:pPr>
            <w:pStyle w:val="FooterText"/>
            <w:spacing w:before="60"/>
            <w:jc w:val="right"/>
            <w:rPr>
              <w:sz w:val="16"/>
            </w:rPr>
          </w:pPr>
          <w:r>
            <w:fldChar w:fldCharType="begin"/>
          </w:r>
          <w:r>
            <w:instrText xml:space="preserve"> PAGE  \* MERGEFORMAT </w:instrText>
          </w:r>
          <w:r>
            <w:fldChar w:fldCharType="separate"/>
          </w:r>
          <w:r w:rsidR="00724BB5">
            <w:rPr>
              <w:noProof/>
            </w:rPr>
            <w:t>1</w:t>
          </w:r>
          <w:r>
            <w:fldChar w:fldCharType="end"/>
          </w:r>
        </w:p>
      </w:tc>
    </w:tr>
    <w:tr w:rsidR="00F26751" w:rsidRPr="007410E8" w:rsidTr="00F26751">
      <w:trPr>
        <w:jc w:val="center"/>
      </w:trPr>
      <w:tc>
        <w:tcPr>
          <w:tcW w:w="2604" w:type="pct"/>
          <w:gridSpan w:val="2"/>
          <w:shd w:val="clear" w:color="auto" w:fill="auto"/>
        </w:tcPr>
        <w:p w:rsidR="00F26751" w:rsidRPr="007410E8" w:rsidRDefault="00F26751" w:rsidP="0035025C">
          <w:pPr>
            <w:pStyle w:val="FooterText"/>
            <w:rPr>
              <w:sz w:val="16"/>
            </w:rPr>
          </w:pPr>
        </w:p>
      </w:tc>
      <w:tc>
        <w:tcPr>
          <w:tcW w:w="1319" w:type="pct"/>
          <w:shd w:val="clear" w:color="auto" w:fill="auto"/>
        </w:tcPr>
        <w:p w:rsidR="00F26751" w:rsidRPr="007410E8" w:rsidRDefault="00F26751" w:rsidP="0035025C">
          <w:pPr>
            <w:pStyle w:val="FooterText"/>
            <w:rPr>
              <w:sz w:val="16"/>
            </w:rPr>
          </w:pPr>
        </w:p>
      </w:tc>
      <w:tc>
        <w:tcPr>
          <w:tcW w:w="1077" w:type="pct"/>
          <w:gridSpan w:val="2"/>
          <w:shd w:val="clear" w:color="auto" w:fill="auto"/>
        </w:tcPr>
        <w:p w:rsidR="00F26751" w:rsidRPr="007410E8" w:rsidRDefault="00F26751" w:rsidP="0035025C">
          <w:pPr>
            <w:pStyle w:val="FooterText"/>
            <w:jc w:val="right"/>
            <w:rPr>
              <w:sz w:val="16"/>
            </w:rPr>
          </w:pPr>
          <w:r>
            <w:rPr>
              <w:b/>
              <w:position w:val="-4"/>
              <w:sz w:val="36"/>
            </w:rPr>
            <w:t>EN</w:t>
          </w:r>
        </w:p>
      </w:tc>
    </w:tr>
    <w:bookmarkEnd w:id="2"/>
  </w:tbl>
  <w:p w:rsidR="00926EAF" w:rsidRPr="00F26751" w:rsidRDefault="00926EAF" w:rsidP="00F26751">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F26751" w:rsidRPr="007410E8" w:rsidTr="00F26751">
      <w:trPr>
        <w:jc w:val="center"/>
      </w:trPr>
      <w:tc>
        <w:tcPr>
          <w:tcW w:w="5000" w:type="pct"/>
          <w:gridSpan w:val="3"/>
          <w:shd w:val="clear" w:color="auto" w:fill="auto"/>
        </w:tcPr>
        <w:p w:rsidR="00F26751" w:rsidRPr="007410E8" w:rsidRDefault="00F26751"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F26751" w:rsidRPr="007410E8" w:rsidRDefault="00F26751"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F26751" w:rsidRPr="007410E8" w:rsidRDefault="00F26751"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F26751" w:rsidRPr="007410E8" w:rsidRDefault="00F26751" w:rsidP="0035025C">
          <w:pPr>
            <w:pStyle w:val="FooterText"/>
            <w:tabs>
              <w:tab w:val="left" w:pos="285"/>
              <w:tab w:val="left" w:pos="585"/>
            </w:tabs>
            <w:rPr>
              <w:sz w:val="21"/>
              <w:szCs w:val="21"/>
            </w:rPr>
          </w:pPr>
        </w:p>
      </w:tc>
    </w:tr>
    <w:tr w:rsidR="00F26751" w:rsidRPr="007410E8" w:rsidTr="00F26751">
      <w:trPr>
        <w:jc w:val="center"/>
      </w:trPr>
      <w:tc>
        <w:tcPr>
          <w:tcW w:w="2604" w:type="pct"/>
          <w:shd w:val="clear" w:color="auto" w:fill="auto"/>
        </w:tcPr>
        <w:p w:rsidR="00F26751" w:rsidRPr="007410E8" w:rsidRDefault="00F26751" w:rsidP="0035025C">
          <w:pPr>
            <w:pStyle w:val="FooterText"/>
            <w:rPr>
              <w:sz w:val="16"/>
            </w:rPr>
          </w:pPr>
          <w:r>
            <w:t>10088/15</w:t>
          </w:r>
          <w:r w:rsidRPr="002511D8">
            <w:t xml:space="preserve"> </w:t>
          </w:r>
        </w:p>
      </w:tc>
      <w:tc>
        <w:tcPr>
          <w:tcW w:w="1319" w:type="pct"/>
          <w:shd w:val="clear" w:color="auto" w:fill="auto"/>
        </w:tcPr>
        <w:p w:rsidR="00F26751" w:rsidRPr="007410E8" w:rsidRDefault="00F26751" w:rsidP="0035025C">
          <w:pPr>
            <w:pStyle w:val="FooterText"/>
            <w:rPr>
              <w:sz w:val="16"/>
            </w:rPr>
          </w:pPr>
        </w:p>
      </w:tc>
      <w:tc>
        <w:tcPr>
          <w:tcW w:w="1077" w:type="pct"/>
          <w:shd w:val="clear" w:color="auto" w:fill="auto"/>
        </w:tcPr>
        <w:p w:rsidR="00F26751" w:rsidRPr="007410E8" w:rsidRDefault="00F26751" w:rsidP="0035025C">
          <w:pPr>
            <w:pStyle w:val="FooterText"/>
            <w:jc w:val="right"/>
            <w:rPr>
              <w:sz w:val="16"/>
            </w:rPr>
          </w:pPr>
          <w:r>
            <w:fldChar w:fldCharType="begin"/>
          </w:r>
          <w:r>
            <w:instrText xml:space="preserve"> PAGE  \* MERGEFORMAT </w:instrText>
          </w:r>
          <w:r>
            <w:fldChar w:fldCharType="separate"/>
          </w:r>
          <w:r w:rsidR="00724BB5">
            <w:rPr>
              <w:noProof/>
            </w:rPr>
            <w:t>2</w:t>
          </w:r>
          <w:r>
            <w:fldChar w:fldCharType="end"/>
          </w:r>
        </w:p>
      </w:tc>
    </w:tr>
    <w:tr w:rsidR="00F26751" w:rsidRPr="007410E8" w:rsidTr="00F26751">
      <w:trPr>
        <w:jc w:val="center"/>
      </w:trPr>
      <w:tc>
        <w:tcPr>
          <w:tcW w:w="2604" w:type="pct"/>
          <w:shd w:val="clear" w:color="auto" w:fill="auto"/>
        </w:tcPr>
        <w:p w:rsidR="00F26751" w:rsidRPr="007410E8" w:rsidRDefault="00F26751" w:rsidP="0035025C">
          <w:pPr>
            <w:pStyle w:val="FooterText"/>
            <w:rPr>
              <w:sz w:val="16"/>
            </w:rPr>
          </w:pPr>
        </w:p>
      </w:tc>
      <w:tc>
        <w:tcPr>
          <w:tcW w:w="1319" w:type="pct"/>
          <w:shd w:val="clear" w:color="auto" w:fill="auto"/>
        </w:tcPr>
        <w:p w:rsidR="00F26751" w:rsidRPr="007410E8" w:rsidRDefault="00F26751" w:rsidP="0035025C">
          <w:pPr>
            <w:pStyle w:val="FooterText"/>
            <w:rPr>
              <w:sz w:val="16"/>
            </w:rPr>
          </w:pPr>
        </w:p>
      </w:tc>
      <w:tc>
        <w:tcPr>
          <w:tcW w:w="1077" w:type="pct"/>
          <w:shd w:val="clear" w:color="auto" w:fill="auto"/>
        </w:tcPr>
        <w:p w:rsidR="00F26751" w:rsidRPr="007410E8" w:rsidRDefault="00F26751" w:rsidP="0035025C">
          <w:pPr>
            <w:pStyle w:val="FooterText"/>
            <w:jc w:val="right"/>
            <w:rPr>
              <w:sz w:val="16"/>
            </w:rPr>
          </w:pPr>
          <w:r>
            <w:rPr>
              <w:b/>
              <w:position w:val="-4"/>
              <w:sz w:val="36"/>
            </w:rPr>
            <w:t>EN</w:t>
          </w:r>
        </w:p>
      </w:tc>
    </w:tr>
    <w:bookmarkEnd w:id="4"/>
  </w:tbl>
  <w:p w:rsidR="00EA2C83" w:rsidRPr="00F26751" w:rsidRDefault="00EA2C83" w:rsidP="00F26751">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C83" w:rsidRDefault="00EA2C83">
      <w:pPr>
        <w:spacing w:before="0" w:after="0"/>
      </w:pPr>
      <w:r>
        <w:separator/>
      </w:r>
    </w:p>
  </w:footnote>
  <w:footnote w:type="continuationSeparator" w:id="0">
    <w:p w:rsidR="00EA2C83" w:rsidRDefault="00EA2C8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F26751" w:rsidRPr="007410E8" w:rsidTr="00F26751">
      <w:trPr>
        <w:jc w:val="center"/>
      </w:trPr>
      <w:tc>
        <w:tcPr>
          <w:tcW w:w="2500" w:type="pct"/>
          <w:shd w:val="clear" w:color="auto" w:fill="auto"/>
        </w:tcPr>
        <w:p w:rsidR="00F26751" w:rsidRPr="007410E8" w:rsidRDefault="00F26751" w:rsidP="0035025C">
          <w:pPr>
            <w:pStyle w:val="HeaderText"/>
            <w:rPr>
              <w:b/>
              <w:i/>
              <w:sz w:val="16"/>
              <w:u w:val="single"/>
            </w:rPr>
          </w:pPr>
          <w:bookmarkStart w:id="3" w:name="HEADER_PRMEET"/>
        </w:p>
      </w:tc>
      <w:tc>
        <w:tcPr>
          <w:tcW w:w="2500" w:type="pct"/>
          <w:shd w:val="clear" w:color="auto" w:fill="auto"/>
        </w:tcPr>
        <w:p w:rsidR="00F26751" w:rsidRPr="007410E8" w:rsidRDefault="00F26751" w:rsidP="00F26751">
          <w:pPr>
            <w:pStyle w:val="HeaderText"/>
            <w:jc w:val="right"/>
            <w:rPr>
              <w:sz w:val="16"/>
            </w:rPr>
          </w:pPr>
          <w:r w:rsidRPr="00F26751">
            <w:t>18 and 19 June 2015</w:t>
          </w:r>
        </w:p>
      </w:tc>
    </w:tr>
    <w:bookmarkEnd w:id="3"/>
  </w:tbl>
  <w:p w:rsidR="00EA2C83" w:rsidRPr="00F26751" w:rsidRDefault="00EA2C83" w:rsidP="00F26751">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F26751" w:rsidRPr="007410E8" w:rsidTr="00F26751">
      <w:trPr>
        <w:jc w:val="center"/>
      </w:trPr>
      <w:tc>
        <w:tcPr>
          <w:tcW w:w="2500" w:type="pct"/>
          <w:shd w:val="clear" w:color="auto" w:fill="auto"/>
        </w:tcPr>
        <w:p w:rsidR="00F26751" w:rsidRPr="007410E8" w:rsidRDefault="00F26751" w:rsidP="0035025C">
          <w:pPr>
            <w:pStyle w:val="HeaderText"/>
            <w:rPr>
              <w:b/>
              <w:i/>
              <w:sz w:val="16"/>
              <w:u w:val="single"/>
            </w:rPr>
          </w:pPr>
        </w:p>
      </w:tc>
      <w:tc>
        <w:tcPr>
          <w:tcW w:w="2500" w:type="pct"/>
          <w:shd w:val="clear" w:color="auto" w:fill="auto"/>
        </w:tcPr>
        <w:p w:rsidR="00F26751" w:rsidRPr="007410E8" w:rsidRDefault="00F26751" w:rsidP="00F26751">
          <w:pPr>
            <w:pStyle w:val="HeaderText"/>
            <w:jc w:val="right"/>
            <w:rPr>
              <w:sz w:val="16"/>
            </w:rPr>
          </w:pPr>
          <w:r w:rsidRPr="00F26751">
            <w:t>18 and 19 June 2015</w:t>
          </w:r>
        </w:p>
      </w:tc>
    </w:tr>
  </w:tbl>
  <w:p w:rsidR="00EA2C83" w:rsidRPr="00F26751" w:rsidRDefault="00EA2C83" w:rsidP="00F26751">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BE2EB6"/>
    <w:multiLevelType w:val="hybridMultilevel"/>
    <w:tmpl w:val="4DAC42C8"/>
    <w:lvl w:ilvl="0" w:tplc="9AFE7922">
      <w:start w:val="1"/>
      <w:numFmt w:val="bullet"/>
      <w:lvlText w:val="-"/>
      <w:lvlJc w:val="left"/>
      <w:pPr>
        <w:ind w:left="720" w:hanging="360"/>
      </w:pPr>
      <w:rPr>
        <w:rFonts w:ascii="Arial" w:hAnsi="Arial" w:cs="Arial" w:hint="default"/>
        <w:b w:val="0"/>
        <w:bCs w:val="0"/>
        <w:i w:val="0"/>
        <w:iCs w:val="0"/>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6">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7">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8">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9">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1">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4">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E4E71E4"/>
    <w:multiLevelType w:val="singleLevel"/>
    <w:tmpl w:val="A534570C"/>
    <w:lvl w:ilvl="0">
      <w:start w:val="1"/>
      <w:numFmt w:val="decimal"/>
      <w:pStyle w:val="Par-number1"/>
      <w:lvlText w:val="%1."/>
      <w:lvlJc w:val="left"/>
      <w:pPr>
        <w:tabs>
          <w:tab w:val="num" w:pos="567"/>
        </w:tabs>
        <w:ind w:left="567" w:hanging="567"/>
      </w:pPr>
      <w:rPr>
        <w:b/>
        <w:bCs/>
        <w:i w:val="0"/>
        <w:iCs w:val="0"/>
      </w:rPr>
    </w:lvl>
  </w:abstractNum>
  <w:abstractNum w:abstractNumId="16">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5"/>
  </w:num>
  <w:num w:numId="2">
    <w:abstractNumId w:val="13"/>
  </w:num>
  <w:num w:numId="3">
    <w:abstractNumId w:val="7"/>
  </w:num>
  <w:num w:numId="4">
    <w:abstractNumId w:val="6"/>
  </w:num>
  <w:num w:numId="5">
    <w:abstractNumId w:val="2"/>
  </w:num>
  <w:num w:numId="6">
    <w:abstractNumId w:val="14"/>
  </w:num>
  <w:num w:numId="7">
    <w:abstractNumId w:val="3"/>
  </w:num>
  <w:num w:numId="8">
    <w:abstractNumId w:val="4"/>
  </w:num>
  <w:num w:numId="9">
    <w:abstractNumId w:val="12"/>
  </w:num>
  <w:num w:numId="10">
    <w:abstractNumId w:val="9"/>
  </w:num>
  <w:num w:numId="11">
    <w:abstractNumId w:val="0"/>
  </w:num>
  <w:num w:numId="12">
    <w:abstractNumId w:val="16"/>
  </w:num>
  <w:num w:numId="13">
    <w:abstractNumId w:val="11"/>
  </w:num>
  <w:num w:numId="14">
    <w:abstractNumId w:val="10"/>
  </w:num>
  <w:num w:numId="15">
    <w:abstractNumId w:val="8"/>
  </w:num>
  <w:num w:numId="16">
    <w:abstractNumId w:val="15"/>
  </w:num>
  <w:num w:numId="17">
    <w:abstractNumId w:val="5"/>
  </w:num>
  <w:num w:numId="18">
    <w:abstractNumId w:val="5"/>
  </w:num>
  <w:num w:numId="19">
    <w:abstractNumId w:val="5"/>
  </w:num>
  <w:num w:numId="20">
    <w:abstractNumId w:val="5"/>
  </w:num>
  <w:num w:numId="21">
    <w:abstractNumId w:val="5"/>
  </w:num>
  <w:num w:numId="22">
    <w:abstractNumId w:val="10"/>
  </w:num>
  <w:num w:numId="23">
    <w:abstractNumId w:val="10"/>
  </w:num>
  <w:num w:numId="24">
    <w:abstractNumId w:val="1"/>
  </w:num>
  <w:num w:numId="25">
    <w:abstractNumId w:val="10"/>
  </w:num>
  <w:num w:numId="26">
    <w:abstractNumId w:val="5"/>
  </w:num>
  <w:num w:numId="27">
    <w:abstractNumId w:val="13"/>
  </w:num>
  <w:num w:numId="28">
    <w:abstractNumId w:val="7"/>
  </w:num>
  <w:num w:numId="29">
    <w:abstractNumId w:val="6"/>
  </w:num>
  <w:num w:numId="30">
    <w:abstractNumId w:val="2"/>
  </w:num>
  <w:num w:numId="31">
    <w:abstractNumId w:val="14"/>
  </w:num>
  <w:num w:numId="32">
    <w:abstractNumId w:val="3"/>
  </w:num>
  <w:num w:numId="33">
    <w:abstractNumId w:val="4"/>
  </w:num>
  <w:num w:numId="34">
    <w:abstractNumId w:val="12"/>
  </w:num>
  <w:num w:numId="35">
    <w:abstractNumId w:val="9"/>
  </w:num>
  <w:num w:numId="36">
    <w:abstractNumId w:val="0"/>
  </w:num>
  <w:num w:numId="37">
    <w:abstractNumId w:val="16"/>
  </w:num>
  <w:num w:numId="38">
    <w:abstractNumId w:val="11"/>
  </w:num>
  <w:num w:numId="39">
    <w:abstractNumId w:val="10"/>
  </w:num>
  <w:num w:numId="40">
    <w:abstractNumId w:val="8"/>
  </w:num>
  <w:num w:numId="41">
    <w:abstractNumId w:val="8"/>
    <w:lvlOverride w:ilvl="0">
      <w:startOverride w:val="1"/>
    </w:lvlOverride>
  </w:num>
  <w:num w:numId="42">
    <w:abstractNumId w:val="5"/>
    <w:lvlOverride w:ilvl="0">
      <w:startOverride w:val="1"/>
    </w:lvlOverride>
  </w:num>
  <w:num w:numId="4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3&quot; technicalblockguid=&quot;6a8c9165-9277-4121-960e-03b4c5ddc139&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0088&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43&lt;/text&gt;_x000d__x000a_      &lt;text&gt;PR CO 3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Welfare of Latvia&quot; name=&quot;Uldis Augulis&quot; text=&quot;Uldis Augulis, Minister for Welfare of Latvia&quot; genderKeyBds=&quot;gend_01&quot; /&gt;_x000d__x000a_      &lt;president title=&quot;Minister for Health of Latvia&quot; name=&quot;Guntis Bel&amp;#275;vi&amp;#269;s&quot; text=&quot;Guntis Bel&amp;#275;vi&amp;#269;s, Minister for Health of Latvia&quot; genderKeyBds=&quot;gend_01&quot; /&gt;_x000d__x000a_    &lt;/presidents&gt;_x000d__x000a_  &lt;/metadata&gt;_x000d__x000a_  &lt;metadata key=&quot;md_MeetingNumber&quot;&gt;_x000d__x000a_    &lt;text&gt;3398th Council meeting&lt;/text&gt;_x000d__x000a_  &lt;/metadata&gt;_x000d__x000a_  &lt;metadata key=&quot;md_CouncilConfiguration&quot;&gt;_x000d__x000a_    &lt;basicdatatype&gt;_x000d__x000a_      &lt;configuration key=&quot;cc_05&quot; text=&quot;Employment, Social Policy, Health and Consumer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6-18&quot;&gt;_x000d__x000a_        &lt;meetinglocation&gt;_x000d__x000a_          &lt;basicdatatype&gt;_x000d__x000a_            &lt;location key=&quot;loc_02&quot; text=&quot;Luxembourg&quot; /&gt;_x000d__x000a_          &lt;/basicdatatype&gt;_x000d__x000a_        &lt;/meetinglocation&gt;_x000d__x000a_      &lt;/meeting&gt;_x000d__x000a_      &lt;meeting date=&quot;2015-06-19&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EA2C83"/>
    <w:rsid w:val="00035E1C"/>
    <w:rsid w:val="000A63B0"/>
    <w:rsid w:val="001731AD"/>
    <w:rsid w:val="001B3830"/>
    <w:rsid w:val="001D4B9F"/>
    <w:rsid w:val="003946C8"/>
    <w:rsid w:val="00414515"/>
    <w:rsid w:val="00466A83"/>
    <w:rsid w:val="004D62E8"/>
    <w:rsid w:val="00546259"/>
    <w:rsid w:val="005B67B3"/>
    <w:rsid w:val="005F0203"/>
    <w:rsid w:val="005F6F0E"/>
    <w:rsid w:val="00667BBE"/>
    <w:rsid w:val="006A56D8"/>
    <w:rsid w:val="006E2F9D"/>
    <w:rsid w:val="006F4E9F"/>
    <w:rsid w:val="00724BB5"/>
    <w:rsid w:val="00737E8E"/>
    <w:rsid w:val="00776B58"/>
    <w:rsid w:val="007D501B"/>
    <w:rsid w:val="008774FD"/>
    <w:rsid w:val="00895676"/>
    <w:rsid w:val="00926EAF"/>
    <w:rsid w:val="00996035"/>
    <w:rsid w:val="00A12DBF"/>
    <w:rsid w:val="00A33747"/>
    <w:rsid w:val="00A36655"/>
    <w:rsid w:val="00A67613"/>
    <w:rsid w:val="00A76CDC"/>
    <w:rsid w:val="00B01137"/>
    <w:rsid w:val="00B03546"/>
    <w:rsid w:val="00B07062"/>
    <w:rsid w:val="00B34272"/>
    <w:rsid w:val="00B51B43"/>
    <w:rsid w:val="00B85284"/>
    <w:rsid w:val="00BA1C8E"/>
    <w:rsid w:val="00BA4272"/>
    <w:rsid w:val="00BD54A3"/>
    <w:rsid w:val="00BE2CA6"/>
    <w:rsid w:val="00BE38BA"/>
    <w:rsid w:val="00BE457C"/>
    <w:rsid w:val="00BE7162"/>
    <w:rsid w:val="00C26A51"/>
    <w:rsid w:val="00C37594"/>
    <w:rsid w:val="00C57AAC"/>
    <w:rsid w:val="00CA0D26"/>
    <w:rsid w:val="00D45C7C"/>
    <w:rsid w:val="00E737DC"/>
    <w:rsid w:val="00EA2C83"/>
    <w:rsid w:val="00F26751"/>
    <w:rsid w:val="00F93ED9"/>
    <w:rsid w:val="00FC7382"/>
    <w:rsid w:val="00FD4579"/>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32"/>
      </w:numPr>
      <w:spacing w:before="360"/>
      <w:outlineLvl w:val="0"/>
    </w:pPr>
    <w:rPr>
      <w:b/>
      <w:bCs/>
      <w:smallCaps/>
      <w:szCs w:val="32"/>
    </w:rPr>
  </w:style>
  <w:style w:type="paragraph" w:styleId="Heading2">
    <w:name w:val="heading 2"/>
    <w:basedOn w:val="Normal"/>
    <w:next w:val="Text1"/>
    <w:qFormat/>
    <w:rsid w:val="00A76CDC"/>
    <w:pPr>
      <w:keepNext/>
      <w:numPr>
        <w:ilvl w:val="1"/>
        <w:numId w:val="32"/>
      </w:numPr>
      <w:outlineLvl w:val="1"/>
    </w:pPr>
    <w:rPr>
      <w:b/>
      <w:bCs/>
      <w:iCs/>
      <w:szCs w:val="28"/>
    </w:rPr>
  </w:style>
  <w:style w:type="paragraph" w:styleId="Heading3">
    <w:name w:val="heading 3"/>
    <w:basedOn w:val="Normal"/>
    <w:next w:val="Text1"/>
    <w:qFormat/>
    <w:rsid w:val="00A76CDC"/>
    <w:pPr>
      <w:keepNext/>
      <w:numPr>
        <w:ilvl w:val="2"/>
        <w:numId w:val="32"/>
      </w:numPr>
      <w:outlineLvl w:val="2"/>
    </w:pPr>
    <w:rPr>
      <w:bCs/>
      <w:i/>
      <w:szCs w:val="26"/>
    </w:rPr>
  </w:style>
  <w:style w:type="paragraph" w:styleId="Heading4">
    <w:name w:val="heading 4"/>
    <w:basedOn w:val="Normal"/>
    <w:next w:val="Text1"/>
    <w:qFormat/>
    <w:rsid w:val="00A76CDC"/>
    <w:pPr>
      <w:keepNext/>
      <w:numPr>
        <w:ilvl w:val="3"/>
        <w:numId w:val="32"/>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EA2C83"/>
    <w:pPr>
      <w:spacing w:before="0" w:after="440"/>
      <w:ind w:left="-1134" w:right="-1134"/>
    </w:pPr>
    <w:rPr>
      <w:sz w:val="2"/>
    </w:rPr>
  </w:style>
  <w:style w:type="character" w:customStyle="1" w:styleId="TechnicalBlockChar">
    <w:name w:val="Technical Block Char"/>
    <w:basedOn w:val="DefaultParagraphFont"/>
    <w:rsid w:val="00EA2C83"/>
    <w:rPr>
      <w:sz w:val="24"/>
      <w:szCs w:val="24"/>
      <w:lang w:val="en-GB" w:eastAsia="en-US"/>
    </w:rPr>
  </w:style>
  <w:style w:type="character" w:customStyle="1" w:styleId="HeaderCouncilLargeChar">
    <w:name w:val="Header Council Large Char"/>
    <w:basedOn w:val="TechnicalBlockChar"/>
    <w:link w:val="HeaderCouncilLarge"/>
    <w:rsid w:val="00EA2C83"/>
    <w:rPr>
      <w:sz w:val="2"/>
      <w:szCs w:val="24"/>
      <w:lang w:val="en-GB" w:eastAsia="en-US"/>
    </w:rPr>
  </w:style>
  <w:style w:type="paragraph" w:customStyle="1" w:styleId="FooterText">
    <w:name w:val="Footer Text"/>
    <w:basedOn w:val="Normal"/>
    <w:rsid w:val="00EA2C83"/>
    <w:pPr>
      <w:spacing w:before="0" w:after="0"/>
    </w:pPr>
  </w:style>
  <w:style w:type="paragraph" w:customStyle="1" w:styleId="FooterAddressText">
    <w:name w:val="Footer Address Text"/>
    <w:basedOn w:val="FooterText"/>
    <w:qFormat/>
    <w:rsid w:val="00EA2C83"/>
    <w:pPr>
      <w:jc w:val="center"/>
    </w:pPr>
    <w:rPr>
      <w:spacing w:val="10"/>
      <w:sz w:val="16"/>
      <w:szCs w:val="16"/>
    </w:rPr>
  </w:style>
  <w:style w:type="character" w:styleId="Hyperlink">
    <w:name w:val="Hyperlink"/>
    <w:basedOn w:val="DefaultParagraphFont"/>
    <w:unhideWhenUsed/>
    <w:qFormat/>
    <w:rsid w:val="00EA2C83"/>
    <w:rPr>
      <w:color w:val="0000FF" w:themeColor="hyperlink"/>
      <w:u w:val="single"/>
    </w:rPr>
  </w:style>
  <w:style w:type="paragraph" w:customStyle="1" w:styleId="HeaderText">
    <w:name w:val="Header Text"/>
    <w:basedOn w:val="Normal"/>
    <w:rsid w:val="00EA2C83"/>
    <w:pPr>
      <w:spacing w:before="0" w:after="0"/>
    </w:pPr>
  </w:style>
  <w:style w:type="paragraph" w:styleId="NormalWeb">
    <w:name w:val="Normal (Web)"/>
    <w:basedOn w:val="Normal"/>
    <w:unhideWhenUsed/>
    <w:rsid w:val="00466A83"/>
    <w:pPr>
      <w:spacing w:before="0" w:after="0"/>
    </w:pPr>
    <w:rPr>
      <w:rFonts w:ascii="Arial" w:eastAsia="Calibri" w:hAnsi="Arial" w:cs="Arial"/>
      <w:sz w:val="22"/>
      <w:szCs w:val="22"/>
      <w:lang w:eastAsia="en-GB"/>
    </w:rPr>
  </w:style>
  <w:style w:type="paragraph" w:customStyle="1" w:styleId="Par-number1">
    <w:name w:val="Par-number 1."/>
    <w:basedOn w:val="Normal"/>
    <w:next w:val="Normal"/>
    <w:rsid w:val="00466A83"/>
    <w:pPr>
      <w:widowControl w:val="0"/>
      <w:numPr>
        <w:numId w:val="16"/>
      </w:numPr>
      <w:spacing w:before="0" w:after="0" w:line="360" w:lineRule="auto"/>
    </w:pPr>
    <w:rPr>
      <w:szCs w:val="20"/>
      <w:lang w:eastAsia="fr-BE"/>
    </w:rPr>
  </w:style>
  <w:style w:type="character" w:styleId="CommentReference">
    <w:name w:val="annotation reference"/>
    <w:basedOn w:val="DefaultParagraphFont"/>
    <w:uiPriority w:val="99"/>
    <w:semiHidden/>
    <w:unhideWhenUsed/>
    <w:rsid w:val="00414515"/>
    <w:rPr>
      <w:sz w:val="16"/>
      <w:szCs w:val="16"/>
    </w:rPr>
  </w:style>
  <w:style w:type="paragraph" w:styleId="CommentText">
    <w:name w:val="annotation text"/>
    <w:basedOn w:val="Normal"/>
    <w:link w:val="CommentTextChar"/>
    <w:uiPriority w:val="99"/>
    <w:semiHidden/>
    <w:unhideWhenUsed/>
    <w:rsid w:val="00414515"/>
    <w:rPr>
      <w:sz w:val="20"/>
      <w:szCs w:val="20"/>
    </w:rPr>
  </w:style>
  <w:style w:type="character" w:customStyle="1" w:styleId="CommentTextChar">
    <w:name w:val="Comment Text Char"/>
    <w:basedOn w:val="DefaultParagraphFont"/>
    <w:link w:val="CommentText"/>
    <w:uiPriority w:val="99"/>
    <w:semiHidden/>
    <w:rsid w:val="00414515"/>
    <w:rPr>
      <w:lang w:val="en-GB" w:eastAsia="en-US"/>
    </w:rPr>
  </w:style>
  <w:style w:type="paragraph" w:styleId="CommentSubject">
    <w:name w:val="annotation subject"/>
    <w:basedOn w:val="CommentText"/>
    <w:next w:val="CommentText"/>
    <w:link w:val="CommentSubjectChar"/>
    <w:uiPriority w:val="99"/>
    <w:semiHidden/>
    <w:unhideWhenUsed/>
    <w:rsid w:val="00414515"/>
    <w:rPr>
      <w:b/>
      <w:bCs/>
    </w:rPr>
  </w:style>
  <w:style w:type="character" w:customStyle="1" w:styleId="CommentSubjectChar">
    <w:name w:val="Comment Subject Char"/>
    <w:basedOn w:val="CommentTextChar"/>
    <w:link w:val="CommentSubject"/>
    <w:uiPriority w:val="99"/>
    <w:semiHidden/>
    <w:rsid w:val="00414515"/>
    <w:rPr>
      <w:b/>
      <w:bCs/>
      <w:lang w:val="en-GB" w:eastAsia="en-US"/>
    </w:rPr>
  </w:style>
  <w:style w:type="paragraph" w:styleId="BalloonText">
    <w:name w:val="Balloon Text"/>
    <w:basedOn w:val="Normal"/>
    <w:link w:val="BalloonTextChar"/>
    <w:uiPriority w:val="99"/>
    <w:semiHidden/>
    <w:unhideWhenUsed/>
    <w:rsid w:val="0041451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515"/>
    <w:rPr>
      <w:rFonts w:ascii="Tahoma" w:hAnsi="Tahoma" w:cs="Tahoma"/>
      <w:sz w:val="16"/>
      <w:szCs w:val="16"/>
      <w:lang w:val="en-GB" w:eastAsia="en-US"/>
    </w:rPr>
  </w:style>
  <w:style w:type="paragraph" w:styleId="ListParagraph">
    <w:name w:val="List Paragraph"/>
    <w:basedOn w:val="Normal"/>
    <w:uiPriority w:val="34"/>
    <w:qFormat/>
    <w:rsid w:val="001D4B9F"/>
    <w:pPr>
      <w:spacing w:before="0" w:after="0" w:line="360" w:lineRule="auto"/>
      <w:ind w:left="720"/>
      <w:contextualSpacing/>
    </w:pPr>
    <w:rPr>
      <w:rFonts w:eastAsiaTheme="minorHAnsi" w:cstheme="minorBidi"/>
      <w:szCs w:val="22"/>
      <w:lang w:val="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40"/>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semiHidden/>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semiHidden/>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9"/>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6"/>
      </w:numPr>
    </w:pPr>
  </w:style>
  <w:style w:type="paragraph" w:customStyle="1" w:styleId="Tiret1">
    <w:name w:val="Tiret 1"/>
    <w:basedOn w:val="Normal"/>
    <w:rsid w:val="00A76CDC"/>
    <w:pPr>
      <w:numPr>
        <w:numId w:val="27"/>
      </w:numPr>
      <w:outlineLvl w:val="0"/>
    </w:pPr>
  </w:style>
  <w:style w:type="paragraph" w:customStyle="1" w:styleId="Tiret2">
    <w:name w:val="Tiret 2"/>
    <w:basedOn w:val="Normal"/>
    <w:rsid w:val="00A76CDC"/>
    <w:pPr>
      <w:numPr>
        <w:numId w:val="28"/>
      </w:numPr>
      <w:outlineLvl w:val="1"/>
    </w:pPr>
  </w:style>
  <w:style w:type="paragraph" w:customStyle="1" w:styleId="Tiret3">
    <w:name w:val="Tiret 3"/>
    <w:basedOn w:val="Normal"/>
    <w:rsid w:val="00A76CDC"/>
    <w:pPr>
      <w:numPr>
        <w:numId w:val="29"/>
      </w:numPr>
      <w:outlineLvl w:val="2"/>
    </w:pPr>
  </w:style>
  <w:style w:type="paragraph" w:customStyle="1" w:styleId="Tiret4">
    <w:name w:val="Tiret 4"/>
    <w:basedOn w:val="Normal"/>
    <w:rsid w:val="00A76CDC"/>
    <w:pPr>
      <w:numPr>
        <w:numId w:val="30"/>
      </w:numPr>
      <w:outlineLvl w:val="3"/>
    </w:pPr>
  </w:style>
  <w:style w:type="paragraph" w:customStyle="1" w:styleId="NumPar1">
    <w:name w:val="NumPar 1"/>
    <w:basedOn w:val="Normal"/>
    <w:next w:val="Text1"/>
    <w:rsid w:val="00A76CDC"/>
    <w:pPr>
      <w:numPr>
        <w:numId w:val="31"/>
      </w:numPr>
      <w:outlineLvl w:val="0"/>
    </w:pPr>
  </w:style>
  <w:style w:type="paragraph" w:customStyle="1" w:styleId="NumPar2">
    <w:name w:val="NumPar 2"/>
    <w:basedOn w:val="Normal"/>
    <w:next w:val="Text1"/>
    <w:rsid w:val="00A76CDC"/>
    <w:pPr>
      <w:numPr>
        <w:ilvl w:val="1"/>
        <w:numId w:val="31"/>
      </w:numPr>
      <w:outlineLvl w:val="1"/>
    </w:pPr>
  </w:style>
  <w:style w:type="paragraph" w:customStyle="1" w:styleId="NumPar3">
    <w:name w:val="NumPar 3"/>
    <w:basedOn w:val="Normal"/>
    <w:next w:val="Text1"/>
    <w:rsid w:val="00A76CDC"/>
    <w:pPr>
      <w:numPr>
        <w:ilvl w:val="2"/>
        <w:numId w:val="31"/>
      </w:numPr>
      <w:outlineLvl w:val="2"/>
    </w:pPr>
  </w:style>
  <w:style w:type="paragraph" w:customStyle="1" w:styleId="NumPar4">
    <w:name w:val="NumPar 4"/>
    <w:basedOn w:val="Normal"/>
    <w:next w:val="Text1"/>
    <w:rsid w:val="00A76CDC"/>
    <w:pPr>
      <w:numPr>
        <w:ilvl w:val="3"/>
        <w:numId w:val="31"/>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33"/>
      </w:numPr>
    </w:pPr>
  </w:style>
  <w:style w:type="paragraph" w:customStyle="1" w:styleId="Point1number">
    <w:name w:val="Point 1 (number)"/>
    <w:basedOn w:val="Normal"/>
    <w:rsid w:val="00A76CDC"/>
    <w:pPr>
      <w:numPr>
        <w:ilvl w:val="2"/>
        <w:numId w:val="33"/>
      </w:numPr>
      <w:outlineLvl w:val="0"/>
    </w:pPr>
  </w:style>
  <w:style w:type="paragraph" w:customStyle="1" w:styleId="Point2number">
    <w:name w:val="Point 2 (number)"/>
    <w:basedOn w:val="Normal"/>
    <w:rsid w:val="00A76CDC"/>
    <w:pPr>
      <w:numPr>
        <w:ilvl w:val="4"/>
        <w:numId w:val="33"/>
      </w:numPr>
      <w:outlineLvl w:val="1"/>
    </w:pPr>
  </w:style>
  <w:style w:type="paragraph" w:customStyle="1" w:styleId="Point3number">
    <w:name w:val="Point 3 (number)"/>
    <w:basedOn w:val="Normal"/>
    <w:rsid w:val="00A76CDC"/>
    <w:pPr>
      <w:numPr>
        <w:ilvl w:val="6"/>
        <w:numId w:val="33"/>
      </w:numPr>
      <w:outlineLvl w:val="2"/>
    </w:pPr>
  </w:style>
  <w:style w:type="paragraph" w:customStyle="1" w:styleId="Point0letter">
    <w:name w:val="Point 0 (letter)"/>
    <w:basedOn w:val="Normal"/>
    <w:rsid w:val="00A76CDC"/>
    <w:pPr>
      <w:numPr>
        <w:ilvl w:val="1"/>
        <w:numId w:val="33"/>
      </w:numPr>
    </w:pPr>
  </w:style>
  <w:style w:type="paragraph" w:customStyle="1" w:styleId="Point1letter">
    <w:name w:val="Point 1 (letter)"/>
    <w:basedOn w:val="Normal"/>
    <w:rsid w:val="00A76CDC"/>
    <w:pPr>
      <w:numPr>
        <w:ilvl w:val="3"/>
        <w:numId w:val="33"/>
      </w:numPr>
      <w:outlineLvl w:val="0"/>
    </w:pPr>
  </w:style>
  <w:style w:type="paragraph" w:customStyle="1" w:styleId="Point2letter">
    <w:name w:val="Point 2 (letter)"/>
    <w:basedOn w:val="Normal"/>
    <w:rsid w:val="00A76CDC"/>
    <w:pPr>
      <w:numPr>
        <w:ilvl w:val="5"/>
        <w:numId w:val="33"/>
      </w:numPr>
      <w:outlineLvl w:val="1"/>
    </w:pPr>
  </w:style>
  <w:style w:type="paragraph" w:customStyle="1" w:styleId="Point3letter">
    <w:name w:val="Point 3 (letter)"/>
    <w:basedOn w:val="Normal"/>
    <w:rsid w:val="00A76CDC"/>
    <w:pPr>
      <w:numPr>
        <w:ilvl w:val="7"/>
        <w:numId w:val="33"/>
      </w:numPr>
      <w:outlineLvl w:val="2"/>
    </w:pPr>
  </w:style>
  <w:style w:type="paragraph" w:customStyle="1" w:styleId="Point4letter">
    <w:name w:val="Point 4 (letter)"/>
    <w:basedOn w:val="Normal"/>
    <w:rsid w:val="00A76CDC"/>
    <w:pPr>
      <w:numPr>
        <w:ilvl w:val="8"/>
        <w:numId w:val="33"/>
      </w:numPr>
      <w:outlineLvl w:val="3"/>
    </w:pPr>
  </w:style>
  <w:style w:type="paragraph" w:customStyle="1" w:styleId="Bullet0">
    <w:name w:val="Bullet 0"/>
    <w:basedOn w:val="Normal"/>
    <w:rsid w:val="00A76CDC"/>
    <w:pPr>
      <w:numPr>
        <w:numId w:val="34"/>
      </w:numPr>
    </w:pPr>
  </w:style>
  <w:style w:type="paragraph" w:customStyle="1" w:styleId="Bullet1">
    <w:name w:val="Bullet 1"/>
    <w:basedOn w:val="Normal"/>
    <w:rsid w:val="00A76CDC"/>
    <w:pPr>
      <w:numPr>
        <w:numId w:val="35"/>
      </w:numPr>
      <w:outlineLvl w:val="0"/>
    </w:pPr>
  </w:style>
  <w:style w:type="paragraph" w:customStyle="1" w:styleId="Bullet2">
    <w:name w:val="Bullet 2"/>
    <w:basedOn w:val="Normal"/>
    <w:rsid w:val="00A76CDC"/>
    <w:pPr>
      <w:numPr>
        <w:numId w:val="36"/>
      </w:numPr>
      <w:outlineLvl w:val="1"/>
    </w:pPr>
  </w:style>
  <w:style w:type="paragraph" w:customStyle="1" w:styleId="Bullet3">
    <w:name w:val="Bullet 3"/>
    <w:basedOn w:val="Normal"/>
    <w:rsid w:val="00A76CDC"/>
    <w:pPr>
      <w:numPr>
        <w:numId w:val="37"/>
      </w:numPr>
      <w:outlineLvl w:val="2"/>
    </w:pPr>
  </w:style>
  <w:style w:type="paragraph" w:customStyle="1" w:styleId="Bullet4">
    <w:name w:val="Bullet 4"/>
    <w:basedOn w:val="Normal"/>
    <w:rsid w:val="00A76CDC"/>
    <w:pPr>
      <w:numPr>
        <w:numId w:val="38"/>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32"/>
      </w:numPr>
      <w:spacing w:before="360"/>
      <w:outlineLvl w:val="0"/>
    </w:pPr>
    <w:rPr>
      <w:b/>
      <w:bCs/>
      <w:smallCaps/>
      <w:szCs w:val="32"/>
    </w:rPr>
  </w:style>
  <w:style w:type="paragraph" w:styleId="Heading2">
    <w:name w:val="heading 2"/>
    <w:basedOn w:val="Normal"/>
    <w:next w:val="Text1"/>
    <w:qFormat/>
    <w:rsid w:val="00A76CDC"/>
    <w:pPr>
      <w:keepNext/>
      <w:numPr>
        <w:ilvl w:val="1"/>
        <w:numId w:val="32"/>
      </w:numPr>
      <w:outlineLvl w:val="1"/>
    </w:pPr>
    <w:rPr>
      <w:b/>
      <w:bCs/>
      <w:iCs/>
      <w:szCs w:val="28"/>
    </w:rPr>
  </w:style>
  <w:style w:type="paragraph" w:styleId="Heading3">
    <w:name w:val="heading 3"/>
    <w:basedOn w:val="Normal"/>
    <w:next w:val="Text1"/>
    <w:qFormat/>
    <w:rsid w:val="00A76CDC"/>
    <w:pPr>
      <w:keepNext/>
      <w:numPr>
        <w:ilvl w:val="2"/>
        <w:numId w:val="32"/>
      </w:numPr>
      <w:outlineLvl w:val="2"/>
    </w:pPr>
    <w:rPr>
      <w:bCs/>
      <w:i/>
      <w:szCs w:val="26"/>
    </w:rPr>
  </w:style>
  <w:style w:type="paragraph" w:styleId="Heading4">
    <w:name w:val="heading 4"/>
    <w:basedOn w:val="Normal"/>
    <w:next w:val="Text1"/>
    <w:qFormat/>
    <w:rsid w:val="00A76CDC"/>
    <w:pPr>
      <w:keepNext/>
      <w:numPr>
        <w:ilvl w:val="3"/>
        <w:numId w:val="32"/>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EA2C83"/>
    <w:pPr>
      <w:spacing w:before="0" w:after="440"/>
      <w:ind w:left="-1134" w:right="-1134"/>
    </w:pPr>
    <w:rPr>
      <w:sz w:val="2"/>
    </w:rPr>
  </w:style>
  <w:style w:type="character" w:customStyle="1" w:styleId="TechnicalBlockChar">
    <w:name w:val="Technical Block Char"/>
    <w:basedOn w:val="DefaultParagraphFont"/>
    <w:rsid w:val="00EA2C83"/>
    <w:rPr>
      <w:sz w:val="24"/>
      <w:szCs w:val="24"/>
      <w:lang w:val="en-GB" w:eastAsia="en-US"/>
    </w:rPr>
  </w:style>
  <w:style w:type="character" w:customStyle="1" w:styleId="HeaderCouncilLargeChar">
    <w:name w:val="Header Council Large Char"/>
    <w:basedOn w:val="TechnicalBlockChar"/>
    <w:link w:val="HeaderCouncilLarge"/>
    <w:rsid w:val="00EA2C83"/>
    <w:rPr>
      <w:sz w:val="2"/>
      <w:szCs w:val="24"/>
      <w:lang w:val="en-GB" w:eastAsia="en-US"/>
    </w:rPr>
  </w:style>
  <w:style w:type="paragraph" w:customStyle="1" w:styleId="FooterText">
    <w:name w:val="Footer Text"/>
    <w:basedOn w:val="Normal"/>
    <w:rsid w:val="00EA2C83"/>
    <w:pPr>
      <w:spacing w:before="0" w:after="0"/>
    </w:pPr>
  </w:style>
  <w:style w:type="paragraph" w:customStyle="1" w:styleId="FooterAddressText">
    <w:name w:val="Footer Address Text"/>
    <w:basedOn w:val="FooterText"/>
    <w:qFormat/>
    <w:rsid w:val="00EA2C83"/>
    <w:pPr>
      <w:jc w:val="center"/>
    </w:pPr>
    <w:rPr>
      <w:spacing w:val="10"/>
      <w:sz w:val="16"/>
      <w:szCs w:val="16"/>
    </w:rPr>
  </w:style>
  <w:style w:type="character" w:styleId="Hyperlink">
    <w:name w:val="Hyperlink"/>
    <w:basedOn w:val="DefaultParagraphFont"/>
    <w:unhideWhenUsed/>
    <w:qFormat/>
    <w:rsid w:val="00EA2C83"/>
    <w:rPr>
      <w:color w:val="0000FF" w:themeColor="hyperlink"/>
      <w:u w:val="single"/>
    </w:rPr>
  </w:style>
  <w:style w:type="paragraph" w:customStyle="1" w:styleId="HeaderText">
    <w:name w:val="Header Text"/>
    <w:basedOn w:val="Normal"/>
    <w:rsid w:val="00EA2C83"/>
    <w:pPr>
      <w:spacing w:before="0" w:after="0"/>
    </w:pPr>
  </w:style>
  <w:style w:type="paragraph" w:styleId="NormalWeb">
    <w:name w:val="Normal (Web)"/>
    <w:basedOn w:val="Normal"/>
    <w:unhideWhenUsed/>
    <w:rsid w:val="00466A83"/>
    <w:pPr>
      <w:spacing w:before="0" w:after="0"/>
    </w:pPr>
    <w:rPr>
      <w:rFonts w:ascii="Arial" w:eastAsia="Calibri" w:hAnsi="Arial" w:cs="Arial"/>
      <w:sz w:val="22"/>
      <w:szCs w:val="22"/>
      <w:lang w:eastAsia="en-GB"/>
    </w:rPr>
  </w:style>
  <w:style w:type="paragraph" w:customStyle="1" w:styleId="Par-number1">
    <w:name w:val="Par-number 1."/>
    <w:basedOn w:val="Normal"/>
    <w:next w:val="Normal"/>
    <w:rsid w:val="00466A83"/>
    <w:pPr>
      <w:widowControl w:val="0"/>
      <w:numPr>
        <w:numId w:val="16"/>
      </w:numPr>
      <w:spacing w:before="0" w:after="0" w:line="360" w:lineRule="auto"/>
    </w:pPr>
    <w:rPr>
      <w:szCs w:val="20"/>
      <w:lang w:eastAsia="fr-BE"/>
    </w:rPr>
  </w:style>
  <w:style w:type="character" w:styleId="CommentReference">
    <w:name w:val="annotation reference"/>
    <w:basedOn w:val="DefaultParagraphFont"/>
    <w:uiPriority w:val="99"/>
    <w:semiHidden/>
    <w:unhideWhenUsed/>
    <w:rsid w:val="00414515"/>
    <w:rPr>
      <w:sz w:val="16"/>
      <w:szCs w:val="16"/>
    </w:rPr>
  </w:style>
  <w:style w:type="paragraph" w:styleId="CommentText">
    <w:name w:val="annotation text"/>
    <w:basedOn w:val="Normal"/>
    <w:link w:val="CommentTextChar"/>
    <w:uiPriority w:val="99"/>
    <w:semiHidden/>
    <w:unhideWhenUsed/>
    <w:rsid w:val="00414515"/>
    <w:rPr>
      <w:sz w:val="20"/>
      <w:szCs w:val="20"/>
    </w:rPr>
  </w:style>
  <w:style w:type="character" w:customStyle="1" w:styleId="CommentTextChar">
    <w:name w:val="Comment Text Char"/>
    <w:basedOn w:val="DefaultParagraphFont"/>
    <w:link w:val="CommentText"/>
    <w:uiPriority w:val="99"/>
    <w:semiHidden/>
    <w:rsid w:val="00414515"/>
    <w:rPr>
      <w:lang w:val="en-GB" w:eastAsia="en-US"/>
    </w:rPr>
  </w:style>
  <w:style w:type="paragraph" w:styleId="CommentSubject">
    <w:name w:val="annotation subject"/>
    <w:basedOn w:val="CommentText"/>
    <w:next w:val="CommentText"/>
    <w:link w:val="CommentSubjectChar"/>
    <w:uiPriority w:val="99"/>
    <w:semiHidden/>
    <w:unhideWhenUsed/>
    <w:rsid w:val="00414515"/>
    <w:rPr>
      <w:b/>
      <w:bCs/>
    </w:rPr>
  </w:style>
  <w:style w:type="character" w:customStyle="1" w:styleId="CommentSubjectChar">
    <w:name w:val="Comment Subject Char"/>
    <w:basedOn w:val="CommentTextChar"/>
    <w:link w:val="CommentSubject"/>
    <w:uiPriority w:val="99"/>
    <w:semiHidden/>
    <w:rsid w:val="00414515"/>
    <w:rPr>
      <w:b/>
      <w:bCs/>
      <w:lang w:val="en-GB" w:eastAsia="en-US"/>
    </w:rPr>
  </w:style>
  <w:style w:type="paragraph" w:styleId="BalloonText">
    <w:name w:val="Balloon Text"/>
    <w:basedOn w:val="Normal"/>
    <w:link w:val="BalloonTextChar"/>
    <w:uiPriority w:val="99"/>
    <w:semiHidden/>
    <w:unhideWhenUsed/>
    <w:rsid w:val="0041451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515"/>
    <w:rPr>
      <w:rFonts w:ascii="Tahoma" w:hAnsi="Tahoma" w:cs="Tahoma"/>
      <w:sz w:val="16"/>
      <w:szCs w:val="16"/>
      <w:lang w:val="en-GB" w:eastAsia="en-US"/>
    </w:rPr>
  </w:style>
  <w:style w:type="paragraph" w:styleId="ListParagraph">
    <w:name w:val="List Paragraph"/>
    <w:basedOn w:val="Normal"/>
    <w:uiPriority w:val="34"/>
    <w:qFormat/>
    <w:rsid w:val="001D4B9F"/>
    <w:pPr>
      <w:spacing w:before="0" w:after="0" w:line="360" w:lineRule="auto"/>
      <w:ind w:left="720"/>
      <w:contextualSpacing/>
    </w:pPr>
    <w:rPr>
      <w:rFonts w:eastAsiaTheme="minorHAnsi" w:cstheme="minorBidi"/>
      <w:szCs w:val="22"/>
      <w:lang w:val="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40"/>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semiHidden/>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semiHidden/>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9"/>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6"/>
      </w:numPr>
    </w:pPr>
  </w:style>
  <w:style w:type="paragraph" w:customStyle="1" w:styleId="Tiret1">
    <w:name w:val="Tiret 1"/>
    <w:basedOn w:val="Normal"/>
    <w:rsid w:val="00A76CDC"/>
    <w:pPr>
      <w:numPr>
        <w:numId w:val="27"/>
      </w:numPr>
      <w:outlineLvl w:val="0"/>
    </w:pPr>
  </w:style>
  <w:style w:type="paragraph" w:customStyle="1" w:styleId="Tiret2">
    <w:name w:val="Tiret 2"/>
    <w:basedOn w:val="Normal"/>
    <w:rsid w:val="00A76CDC"/>
    <w:pPr>
      <w:numPr>
        <w:numId w:val="28"/>
      </w:numPr>
      <w:outlineLvl w:val="1"/>
    </w:pPr>
  </w:style>
  <w:style w:type="paragraph" w:customStyle="1" w:styleId="Tiret3">
    <w:name w:val="Tiret 3"/>
    <w:basedOn w:val="Normal"/>
    <w:rsid w:val="00A76CDC"/>
    <w:pPr>
      <w:numPr>
        <w:numId w:val="29"/>
      </w:numPr>
      <w:outlineLvl w:val="2"/>
    </w:pPr>
  </w:style>
  <w:style w:type="paragraph" w:customStyle="1" w:styleId="Tiret4">
    <w:name w:val="Tiret 4"/>
    <w:basedOn w:val="Normal"/>
    <w:rsid w:val="00A76CDC"/>
    <w:pPr>
      <w:numPr>
        <w:numId w:val="30"/>
      </w:numPr>
      <w:outlineLvl w:val="3"/>
    </w:pPr>
  </w:style>
  <w:style w:type="paragraph" w:customStyle="1" w:styleId="NumPar1">
    <w:name w:val="NumPar 1"/>
    <w:basedOn w:val="Normal"/>
    <w:next w:val="Text1"/>
    <w:rsid w:val="00A76CDC"/>
    <w:pPr>
      <w:numPr>
        <w:numId w:val="31"/>
      </w:numPr>
      <w:outlineLvl w:val="0"/>
    </w:pPr>
  </w:style>
  <w:style w:type="paragraph" w:customStyle="1" w:styleId="NumPar2">
    <w:name w:val="NumPar 2"/>
    <w:basedOn w:val="Normal"/>
    <w:next w:val="Text1"/>
    <w:rsid w:val="00A76CDC"/>
    <w:pPr>
      <w:numPr>
        <w:ilvl w:val="1"/>
        <w:numId w:val="31"/>
      </w:numPr>
      <w:outlineLvl w:val="1"/>
    </w:pPr>
  </w:style>
  <w:style w:type="paragraph" w:customStyle="1" w:styleId="NumPar3">
    <w:name w:val="NumPar 3"/>
    <w:basedOn w:val="Normal"/>
    <w:next w:val="Text1"/>
    <w:rsid w:val="00A76CDC"/>
    <w:pPr>
      <w:numPr>
        <w:ilvl w:val="2"/>
        <w:numId w:val="31"/>
      </w:numPr>
      <w:outlineLvl w:val="2"/>
    </w:pPr>
  </w:style>
  <w:style w:type="paragraph" w:customStyle="1" w:styleId="NumPar4">
    <w:name w:val="NumPar 4"/>
    <w:basedOn w:val="Normal"/>
    <w:next w:val="Text1"/>
    <w:rsid w:val="00A76CDC"/>
    <w:pPr>
      <w:numPr>
        <w:ilvl w:val="3"/>
        <w:numId w:val="31"/>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33"/>
      </w:numPr>
    </w:pPr>
  </w:style>
  <w:style w:type="paragraph" w:customStyle="1" w:styleId="Point1number">
    <w:name w:val="Point 1 (number)"/>
    <w:basedOn w:val="Normal"/>
    <w:rsid w:val="00A76CDC"/>
    <w:pPr>
      <w:numPr>
        <w:ilvl w:val="2"/>
        <w:numId w:val="33"/>
      </w:numPr>
      <w:outlineLvl w:val="0"/>
    </w:pPr>
  </w:style>
  <w:style w:type="paragraph" w:customStyle="1" w:styleId="Point2number">
    <w:name w:val="Point 2 (number)"/>
    <w:basedOn w:val="Normal"/>
    <w:rsid w:val="00A76CDC"/>
    <w:pPr>
      <w:numPr>
        <w:ilvl w:val="4"/>
        <w:numId w:val="33"/>
      </w:numPr>
      <w:outlineLvl w:val="1"/>
    </w:pPr>
  </w:style>
  <w:style w:type="paragraph" w:customStyle="1" w:styleId="Point3number">
    <w:name w:val="Point 3 (number)"/>
    <w:basedOn w:val="Normal"/>
    <w:rsid w:val="00A76CDC"/>
    <w:pPr>
      <w:numPr>
        <w:ilvl w:val="6"/>
        <w:numId w:val="33"/>
      </w:numPr>
      <w:outlineLvl w:val="2"/>
    </w:pPr>
  </w:style>
  <w:style w:type="paragraph" w:customStyle="1" w:styleId="Point0letter">
    <w:name w:val="Point 0 (letter)"/>
    <w:basedOn w:val="Normal"/>
    <w:rsid w:val="00A76CDC"/>
    <w:pPr>
      <w:numPr>
        <w:ilvl w:val="1"/>
        <w:numId w:val="33"/>
      </w:numPr>
    </w:pPr>
  </w:style>
  <w:style w:type="paragraph" w:customStyle="1" w:styleId="Point1letter">
    <w:name w:val="Point 1 (letter)"/>
    <w:basedOn w:val="Normal"/>
    <w:rsid w:val="00A76CDC"/>
    <w:pPr>
      <w:numPr>
        <w:ilvl w:val="3"/>
        <w:numId w:val="33"/>
      </w:numPr>
      <w:outlineLvl w:val="0"/>
    </w:pPr>
  </w:style>
  <w:style w:type="paragraph" w:customStyle="1" w:styleId="Point2letter">
    <w:name w:val="Point 2 (letter)"/>
    <w:basedOn w:val="Normal"/>
    <w:rsid w:val="00A76CDC"/>
    <w:pPr>
      <w:numPr>
        <w:ilvl w:val="5"/>
        <w:numId w:val="33"/>
      </w:numPr>
      <w:outlineLvl w:val="1"/>
    </w:pPr>
  </w:style>
  <w:style w:type="paragraph" w:customStyle="1" w:styleId="Point3letter">
    <w:name w:val="Point 3 (letter)"/>
    <w:basedOn w:val="Normal"/>
    <w:rsid w:val="00A76CDC"/>
    <w:pPr>
      <w:numPr>
        <w:ilvl w:val="7"/>
        <w:numId w:val="33"/>
      </w:numPr>
      <w:outlineLvl w:val="2"/>
    </w:pPr>
  </w:style>
  <w:style w:type="paragraph" w:customStyle="1" w:styleId="Point4letter">
    <w:name w:val="Point 4 (letter)"/>
    <w:basedOn w:val="Normal"/>
    <w:rsid w:val="00A76CDC"/>
    <w:pPr>
      <w:numPr>
        <w:ilvl w:val="8"/>
        <w:numId w:val="33"/>
      </w:numPr>
      <w:outlineLvl w:val="3"/>
    </w:pPr>
  </w:style>
  <w:style w:type="paragraph" w:customStyle="1" w:styleId="Bullet0">
    <w:name w:val="Bullet 0"/>
    <w:basedOn w:val="Normal"/>
    <w:rsid w:val="00A76CDC"/>
    <w:pPr>
      <w:numPr>
        <w:numId w:val="34"/>
      </w:numPr>
    </w:pPr>
  </w:style>
  <w:style w:type="paragraph" w:customStyle="1" w:styleId="Bullet1">
    <w:name w:val="Bullet 1"/>
    <w:basedOn w:val="Normal"/>
    <w:rsid w:val="00A76CDC"/>
    <w:pPr>
      <w:numPr>
        <w:numId w:val="35"/>
      </w:numPr>
      <w:outlineLvl w:val="0"/>
    </w:pPr>
  </w:style>
  <w:style w:type="paragraph" w:customStyle="1" w:styleId="Bullet2">
    <w:name w:val="Bullet 2"/>
    <w:basedOn w:val="Normal"/>
    <w:rsid w:val="00A76CDC"/>
    <w:pPr>
      <w:numPr>
        <w:numId w:val="36"/>
      </w:numPr>
      <w:outlineLvl w:val="1"/>
    </w:pPr>
  </w:style>
  <w:style w:type="paragraph" w:customStyle="1" w:styleId="Bullet3">
    <w:name w:val="Bullet 3"/>
    <w:basedOn w:val="Normal"/>
    <w:rsid w:val="00A76CDC"/>
    <w:pPr>
      <w:numPr>
        <w:numId w:val="37"/>
      </w:numPr>
      <w:outlineLvl w:val="2"/>
    </w:pPr>
  </w:style>
  <w:style w:type="paragraph" w:customStyle="1" w:styleId="Bullet4">
    <w:name w:val="Bullet 4"/>
    <w:basedOn w:val="Normal"/>
    <w:rsid w:val="00A76CDC"/>
    <w:pPr>
      <w:numPr>
        <w:numId w:val="38"/>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yperlink" Target="http://data.consilium.europa.eu/doc/document/ST-9300-2015-INIT/en/pdf" TargetMode="External"/><Relationship Id="rId26" Type="http://schemas.openxmlformats.org/officeDocument/2006/relationships/hyperlink" Target="http://data.consilium.europa.eu/doc/document/ST-9479-2015-INIT/en/pdf" TargetMode="External"/><Relationship Id="rId3" Type="http://schemas.microsoft.com/office/2007/relationships/stylesWithEffects" Target="stylesWithEffects.xml"/><Relationship Id="rId21" Type="http://schemas.openxmlformats.org/officeDocument/2006/relationships/hyperlink" Target="http://data.consilium.europa.eu/doc/document/ST-9011-2015-INIT/en/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ata.consilium.europa.eu/doc/document/ST-9632-2015-INIT/en/pdf" TargetMode="External"/><Relationship Id="rId25" Type="http://schemas.openxmlformats.org/officeDocument/2006/relationships/hyperlink" Target="http://data.consilium.europa.eu/doc/document/ST-9286-2015-INIT/en/pdf" TargetMode="External"/><Relationship Id="rId2" Type="http://schemas.openxmlformats.org/officeDocument/2006/relationships/styles" Target="styles.xml"/><Relationship Id="rId16" Type="http://schemas.openxmlformats.org/officeDocument/2006/relationships/hyperlink" Target="http://data.consilium.europa.eu/doc/document/ST-9307-2015-INIT/en/pdf" TargetMode="External"/><Relationship Id="rId20" Type="http://schemas.openxmlformats.org/officeDocument/2006/relationships/hyperlink" Target="http://data.consilium.europa.eu/doc/document/ST-9020-2015-INIT/en/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consilium.europa.eu/en/press/press-releases/2015/06/19-medical-devices-council-ready-talk-with-ep/" TargetMode="External"/><Relationship Id="rId5" Type="http://schemas.openxmlformats.org/officeDocument/2006/relationships/webSettings" Target="webSettings.xml"/><Relationship Id="rId15" Type="http://schemas.openxmlformats.org/officeDocument/2006/relationships/hyperlink" Target="http://data.consilium.europa.eu/doc/document/ST-9311-2015-INIT/en/pdf" TargetMode="External"/><Relationship Id="rId23" Type="http://schemas.openxmlformats.org/officeDocument/2006/relationships/hyperlink" Target="http://data.consilium.europa.eu/doc/document/ST-9631-2015-INIT/en/pdf"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data.consilium.europa.eu/doc/document/ST-9301-2015-INIT/en/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ata.consilium.europa.eu/doc/document/ST-9304-2015-INIT/en/pdf" TargetMode="External"/><Relationship Id="rId22" Type="http://schemas.openxmlformats.org/officeDocument/2006/relationships/hyperlink" Target="http://data.consilium.europa.eu/doc/document/ST-9302-2015-INIT/en/pdf"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Template>
  <TotalTime>0</TotalTime>
  <Pages>1</Pages>
  <Words>2249</Words>
  <Characters>12669</Characters>
  <Application>Microsoft Office Word</Application>
  <DocSecurity>0</DocSecurity>
  <Lines>232</Lines>
  <Paragraphs>117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GROSVENOR Tina</cp:lastModifiedBy>
  <cp:revision>3</cp:revision>
  <cp:lastPrinted>2015-07-23T12:09:00Z</cp:lastPrinted>
  <dcterms:created xsi:type="dcterms:W3CDTF">2015-07-23T12:10:00Z</dcterms:created>
  <dcterms:modified xsi:type="dcterms:W3CDTF">2015-07-23T12:10:00Z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3.6.3, Build 20150630</vt:lpwstr>
  </property>
</Properties>
</file>