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38" w:rsidRPr="00475D66" w:rsidRDefault="00384451" w:rsidP="00475D6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99e3c17-fcb0-4ca0-8ae2-f7925d3a3352_0" style="width:568.6pt;height:306pt">
            <v:imagedata r:id="rId8" o:title=""/>
          </v:shape>
        </w:pict>
      </w:r>
      <w:bookmarkEnd w:id="0"/>
    </w:p>
    <w:p w:rsidR="00000330" w:rsidRPr="00D32D27" w:rsidRDefault="00000330" w:rsidP="00000330">
      <w:pPr>
        <w:pStyle w:val="HeadingCentered"/>
        <w:spacing w:before="1080" w:after="1200"/>
      </w:pPr>
      <w:r>
        <w:br w:type="page"/>
      </w:r>
      <w:r w:rsidRPr="00D32D27">
        <w:lastRenderedPageBreak/>
        <w:t>PUBLIC DELIBERATION ITEMS</w:t>
      </w:r>
      <w:r w:rsidRPr="00D32D27">
        <w:rPr>
          <w:rStyle w:val="FootnoteReference"/>
        </w:rPr>
        <w:footnoteReference w:id="1"/>
      </w:r>
    </w:p>
    <w:p w:rsidR="00000330" w:rsidRPr="00D32D27" w:rsidRDefault="00000330" w:rsidP="00000330">
      <w:pPr>
        <w:pStyle w:val="NormalRight"/>
        <w:spacing w:before="0"/>
        <w:rPr>
          <w:b/>
        </w:rPr>
      </w:pPr>
      <w:r w:rsidRPr="00D32D27">
        <w:rPr>
          <w:b/>
        </w:rPr>
        <w:t>Page</w:t>
      </w:r>
    </w:p>
    <w:p w:rsidR="00000330" w:rsidRPr="00D32D27" w:rsidRDefault="00000330" w:rsidP="00000330">
      <w:pPr>
        <w:pStyle w:val="HeadingLeft"/>
        <w:spacing w:before="120"/>
        <w:rPr>
          <w:u w:val="none"/>
          <w:lang w:eastAsia="sl-SI"/>
        </w:rPr>
      </w:pPr>
      <w:r w:rsidRPr="00D32D27">
        <w:rPr>
          <w:u w:val="none"/>
          <w:lang w:eastAsia="sl-SI"/>
        </w:rPr>
        <w:t>LEGISLATIVE DELIBERATIONS</w:t>
      </w:r>
    </w:p>
    <w:p w:rsidR="00000330" w:rsidRPr="00D32D27" w:rsidRDefault="00000330" w:rsidP="00000330">
      <w:pPr>
        <w:spacing w:before="360"/>
        <w:rPr>
          <w:bCs/>
        </w:rPr>
      </w:pPr>
      <w:r w:rsidRPr="00D32D27">
        <w:rPr>
          <w:bCs/>
          <w:u w:val="single"/>
        </w:rPr>
        <w:t>"</w:t>
      </w:r>
      <w:r>
        <w:rPr>
          <w:bCs/>
          <w:u w:val="single"/>
        </w:rPr>
        <w:t>A</w:t>
      </w:r>
      <w:r w:rsidRPr="00D32D27">
        <w:rPr>
          <w:bCs/>
          <w:u w:val="single"/>
        </w:rPr>
        <w:t>" ITEMS</w:t>
      </w:r>
      <w:r w:rsidRPr="00D32D27">
        <w:rPr>
          <w:bCs/>
        </w:rPr>
        <w:t xml:space="preserve"> (doc. </w:t>
      </w:r>
      <w:r>
        <w:rPr>
          <w:bCs/>
        </w:rPr>
        <w:t>9021/15</w:t>
      </w:r>
      <w:r w:rsidRPr="004226B4">
        <w:t xml:space="preserve"> </w:t>
      </w:r>
      <w:r>
        <w:t>PTS A 42</w:t>
      </w:r>
      <w:r w:rsidRPr="00D32D27">
        <w:rPr>
          <w:bCs/>
        </w:rPr>
        <w:t>)</w:t>
      </w:r>
    </w:p>
    <w:p w:rsidR="00000330" w:rsidRPr="00657234" w:rsidRDefault="00000330" w:rsidP="00526DE5">
      <w:pPr>
        <w:pStyle w:val="PointManual"/>
        <w:tabs>
          <w:tab w:val="left" w:leader="dot" w:pos="9639"/>
        </w:tabs>
      </w:pPr>
      <w:r>
        <w:t>1</w:t>
      </w:r>
      <w:r w:rsidRPr="00657234">
        <w:t>.</w:t>
      </w:r>
      <w:r w:rsidRPr="00657234">
        <w:tab/>
      </w:r>
      <w:r w:rsidRPr="00290A0C">
        <w:t xml:space="preserve">Regulation of the European Parliament and of the Council </w:t>
      </w:r>
      <w:r w:rsidRPr="00290A0C">
        <w:rPr>
          <w:lang w:eastAsia="fr-FR"/>
        </w:rPr>
        <w:t>on the safeguard measures provided for in the Agreement between the European Economic Community and the Kingdom of Norway (codification)</w:t>
      </w:r>
      <w:r w:rsidRPr="00657234">
        <w:t xml:space="preserve"> [First reading] (LA)</w:t>
      </w:r>
      <w:r w:rsidRPr="00657234">
        <w:tab/>
      </w:r>
      <w:r w:rsidR="00FA04E0">
        <w:t>4</w:t>
      </w:r>
    </w:p>
    <w:p w:rsidR="00000330" w:rsidRDefault="00000330" w:rsidP="00526DE5">
      <w:pPr>
        <w:pStyle w:val="PointManual"/>
        <w:tabs>
          <w:tab w:val="left" w:leader="dot" w:pos="9639"/>
        </w:tabs>
      </w:pPr>
      <w:r>
        <w:t>2</w:t>
      </w:r>
      <w:r w:rsidRPr="00657234">
        <w:t>.</w:t>
      </w:r>
      <w:r w:rsidRPr="00657234">
        <w:tab/>
      </w:r>
      <w:r w:rsidRPr="00290A0C">
        <w:t xml:space="preserve">Regulation of the European Parliament and of the Council </w:t>
      </w:r>
      <w:r w:rsidRPr="00290A0C">
        <w:rPr>
          <w:lang w:eastAsia="fr-FR"/>
        </w:rPr>
        <w:t>on certain</w:t>
      </w:r>
      <w:r w:rsidR="00526DE5">
        <w:rPr>
          <w:lang w:eastAsia="fr-FR"/>
        </w:rPr>
        <w:t xml:space="preserve"> procedures for</w:t>
      </w:r>
      <w:r w:rsidR="00526DE5">
        <w:rPr>
          <w:lang w:eastAsia="fr-FR"/>
        </w:rPr>
        <w:br/>
      </w:r>
      <w:r w:rsidRPr="00290A0C">
        <w:rPr>
          <w:lang w:eastAsia="fr-FR"/>
        </w:rPr>
        <w:t>applying the Stabilisation and Association Agreement between the European Communities and their Member States, of the one part, and the Republic of Albania, of the other part (codification)</w:t>
      </w:r>
      <w:r>
        <w:t xml:space="preserve"> </w:t>
      </w:r>
      <w:r w:rsidRPr="00657234">
        <w:t>[First reading] (LA)</w:t>
      </w:r>
      <w:r w:rsidRPr="00657234">
        <w:tab/>
      </w:r>
      <w:r w:rsidR="00FA04E0">
        <w:t>4</w:t>
      </w:r>
    </w:p>
    <w:p w:rsidR="00000330" w:rsidRDefault="00000330" w:rsidP="00526DE5">
      <w:pPr>
        <w:pStyle w:val="PointManual"/>
        <w:tabs>
          <w:tab w:val="left" w:leader="dot" w:pos="9639"/>
        </w:tabs>
      </w:pPr>
      <w:r>
        <w:t>3</w:t>
      </w:r>
      <w:r w:rsidRPr="00657234">
        <w:t>.</w:t>
      </w:r>
      <w:r w:rsidRPr="00657234">
        <w:tab/>
      </w:r>
      <w:r w:rsidR="00075737" w:rsidRPr="00290A0C">
        <w:t xml:space="preserve">Regulation of the European Parliament and of the Council </w:t>
      </w:r>
      <w:r w:rsidR="00526DE5">
        <w:rPr>
          <w:lang w:eastAsia="fr-FR"/>
        </w:rPr>
        <w:t>on certain procedures for</w:t>
      </w:r>
      <w:r w:rsidR="00526DE5">
        <w:rPr>
          <w:lang w:eastAsia="fr-FR"/>
        </w:rPr>
        <w:br/>
      </w:r>
      <w:r w:rsidR="00075737" w:rsidRPr="00290A0C">
        <w:rPr>
          <w:lang w:eastAsia="fr-FR"/>
        </w:rPr>
        <w:t xml:space="preserve">applying the Stabilisation and Association Agreement between the European Communities and their Member States, of the one part, and Bosnia and </w:t>
      </w:r>
      <w:r w:rsidR="00526DE5">
        <w:rPr>
          <w:lang w:eastAsia="fr-FR"/>
        </w:rPr>
        <w:t>Herzegovina, of the other part,</w:t>
      </w:r>
      <w:r w:rsidR="00526DE5">
        <w:rPr>
          <w:lang w:eastAsia="fr-FR"/>
        </w:rPr>
        <w:br/>
      </w:r>
      <w:r w:rsidR="00075737" w:rsidRPr="00290A0C">
        <w:rPr>
          <w:lang w:eastAsia="fr-FR"/>
        </w:rPr>
        <w:t>and for applying the Interim Agreement on trade and trade</w:t>
      </w:r>
      <w:r w:rsidR="00075737" w:rsidRPr="00290A0C">
        <w:rPr>
          <w:lang w:eastAsia="fr-FR"/>
        </w:rPr>
        <w:noBreakHyphen/>
        <w:t>related matters between the European Community, of the one part, and Bosnia and Herzegovina, of the other part (codification)</w:t>
      </w:r>
      <w:r>
        <w:t xml:space="preserve"> </w:t>
      </w:r>
      <w:r w:rsidRPr="00657234">
        <w:t>[First reading]</w:t>
      </w:r>
      <w:r w:rsidR="00075737">
        <w:t xml:space="preserve"> </w:t>
      </w:r>
      <w:r w:rsidR="00075737" w:rsidRPr="00657234">
        <w:t>(LA)</w:t>
      </w:r>
      <w:r w:rsidRPr="00657234">
        <w:tab/>
      </w:r>
      <w:r w:rsidR="00FA04E0">
        <w:t>4</w:t>
      </w:r>
    </w:p>
    <w:p w:rsidR="00000330" w:rsidRDefault="00000330" w:rsidP="00526DE5">
      <w:pPr>
        <w:pStyle w:val="PointManual"/>
        <w:tabs>
          <w:tab w:val="left" w:leader="dot" w:pos="9639"/>
        </w:tabs>
      </w:pPr>
      <w:r>
        <w:t>4</w:t>
      </w:r>
      <w:r w:rsidRPr="00657234">
        <w:t>.</w:t>
      </w:r>
      <w:r w:rsidRPr="00657234">
        <w:tab/>
      </w:r>
      <w:r w:rsidR="00075737" w:rsidRPr="00290A0C">
        <w:t xml:space="preserve">Regulation of the European Parliament and of the Council </w:t>
      </w:r>
      <w:r w:rsidR="00526DE5">
        <w:rPr>
          <w:lang w:eastAsia="fr-FR"/>
        </w:rPr>
        <w:t>on certain procedures for</w:t>
      </w:r>
      <w:r w:rsidR="00526DE5">
        <w:rPr>
          <w:lang w:eastAsia="fr-FR"/>
        </w:rPr>
        <w:br/>
      </w:r>
      <w:r w:rsidR="00075737" w:rsidRPr="00290A0C">
        <w:rPr>
          <w:lang w:eastAsia="fr-FR"/>
        </w:rPr>
        <w:t xml:space="preserve">applying the Stabilisation and Association Agreement between the European Communities and their Member States, of the one part, and the Former </w:t>
      </w:r>
      <w:r w:rsidR="00526DE5">
        <w:rPr>
          <w:lang w:eastAsia="fr-FR"/>
        </w:rPr>
        <w:t>Yugoslav Republic of Macedonia,</w:t>
      </w:r>
      <w:r w:rsidR="00526DE5">
        <w:rPr>
          <w:lang w:eastAsia="fr-FR"/>
        </w:rPr>
        <w:br/>
      </w:r>
      <w:r w:rsidR="00075737" w:rsidRPr="00290A0C">
        <w:rPr>
          <w:lang w:eastAsia="fr-FR"/>
        </w:rPr>
        <w:t>of the other part (codification)</w:t>
      </w:r>
      <w:r>
        <w:t xml:space="preserve"> </w:t>
      </w:r>
      <w:r w:rsidRPr="00657234">
        <w:t>[First reading]</w:t>
      </w:r>
      <w:r w:rsidR="00075737">
        <w:t xml:space="preserve"> </w:t>
      </w:r>
      <w:r w:rsidR="00075737" w:rsidRPr="00657234">
        <w:t>(LA)</w:t>
      </w:r>
      <w:r w:rsidRPr="00657234">
        <w:tab/>
      </w:r>
      <w:r w:rsidR="00FA04E0">
        <w:t>5</w:t>
      </w:r>
    </w:p>
    <w:p w:rsidR="00000330" w:rsidRDefault="00000330" w:rsidP="00526DE5">
      <w:pPr>
        <w:pStyle w:val="PointManual"/>
        <w:tabs>
          <w:tab w:val="left" w:leader="dot" w:pos="9639"/>
        </w:tabs>
      </w:pPr>
      <w:r>
        <w:t>5</w:t>
      </w:r>
      <w:r w:rsidRPr="00657234">
        <w:t>.</w:t>
      </w:r>
      <w:r w:rsidRPr="00657234">
        <w:tab/>
      </w:r>
      <w:r w:rsidR="00D629EC" w:rsidRPr="00290A0C">
        <w:t xml:space="preserve">Regulation of the European Parliament and of the Council </w:t>
      </w:r>
      <w:r w:rsidR="00526DE5">
        <w:rPr>
          <w:lang w:eastAsia="fr-FR"/>
        </w:rPr>
        <w:t>on common rules for imports</w:t>
      </w:r>
      <w:r w:rsidR="00526DE5">
        <w:rPr>
          <w:lang w:eastAsia="fr-FR"/>
        </w:rPr>
        <w:br/>
      </w:r>
      <w:r w:rsidR="00D629EC" w:rsidRPr="00290A0C">
        <w:rPr>
          <w:lang w:eastAsia="fr-FR"/>
        </w:rPr>
        <w:t>of textile products from certain third countries not c</w:t>
      </w:r>
      <w:r w:rsidR="00526DE5">
        <w:rPr>
          <w:lang w:eastAsia="fr-FR"/>
        </w:rPr>
        <w:t>overed by bilateral agreements,</w:t>
      </w:r>
      <w:r w:rsidR="00526DE5">
        <w:rPr>
          <w:lang w:eastAsia="fr-FR"/>
        </w:rPr>
        <w:br/>
      </w:r>
      <w:r w:rsidR="00D629EC" w:rsidRPr="00290A0C">
        <w:rPr>
          <w:lang w:eastAsia="fr-FR"/>
        </w:rPr>
        <w:t>protocols or other arrangements, or by other specific Union import rules (recast)</w:t>
      </w:r>
      <w:r>
        <w:t xml:space="preserve"> </w:t>
      </w:r>
      <w:r w:rsidRPr="00657234">
        <w:t>[First reading]</w:t>
      </w:r>
      <w:r w:rsidR="00075737">
        <w:t xml:space="preserve"> </w:t>
      </w:r>
      <w:r w:rsidR="00075737" w:rsidRPr="00657234">
        <w:t>(LA)</w:t>
      </w:r>
      <w:r w:rsidRPr="00657234">
        <w:tab/>
      </w:r>
      <w:r w:rsidR="00FA04E0">
        <w:t>5</w:t>
      </w:r>
    </w:p>
    <w:p w:rsidR="00000330" w:rsidRDefault="00000330" w:rsidP="00526DE5">
      <w:pPr>
        <w:pStyle w:val="PointManual"/>
        <w:tabs>
          <w:tab w:val="left" w:leader="dot" w:pos="9639"/>
        </w:tabs>
      </w:pPr>
      <w:r>
        <w:t>6</w:t>
      </w:r>
      <w:r w:rsidRPr="00657234">
        <w:t>.</w:t>
      </w:r>
      <w:r w:rsidRPr="00657234">
        <w:tab/>
      </w:r>
      <w:r w:rsidR="00D629EC" w:rsidRPr="00290A0C">
        <w:t>Regulation of the European Parliament and of the Council repealing Council Regulation</w:t>
      </w:r>
      <w:r w:rsidR="00D629EC" w:rsidRPr="00290A0C">
        <w:rPr>
          <w:lang w:eastAsia="fr-FR"/>
        </w:rPr>
        <w:t xml:space="preserve"> (EEC) No 3030/93 on common rules for imports of certain textile products from third countries</w:t>
      </w:r>
      <w:r>
        <w:t xml:space="preserve"> </w:t>
      </w:r>
      <w:r w:rsidRPr="00657234">
        <w:t>[First reading]</w:t>
      </w:r>
      <w:r w:rsidR="00075737">
        <w:t xml:space="preserve"> </w:t>
      </w:r>
      <w:r w:rsidR="00075737" w:rsidRPr="00657234">
        <w:t>(LA)</w:t>
      </w:r>
      <w:r w:rsidRPr="00657234">
        <w:tab/>
      </w:r>
      <w:r w:rsidR="00FA04E0">
        <w:t>5</w:t>
      </w:r>
    </w:p>
    <w:p w:rsidR="00000330" w:rsidRDefault="00000330" w:rsidP="00D629EC">
      <w:pPr>
        <w:pageBreakBefore/>
        <w:spacing w:before="360"/>
        <w:rPr>
          <w:bCs/>
        </w:rPr>
      </w:pPr>
      <w:r w:rsidRPr="00D32D27">
        <w:rPr>
          <w:bCs/>
          <w:u w:val="single"/>
        </w:rPr>
        <w:lastRenderedPageBreak/>
        <w:t>"</w:t>
      </w:r>
      <w:r>
        <w:rPr>
          <w:bCs/>
          <w:u w:val="single"/>
        </w:rPr>
        <w:t>B</w:t>
      </w:r>
      <w:r w:rsidRPr="00D32D27">
        <w:rPr>
          <w:bCs/>
          <w:u w:val="single"/>
        </w:rPr>
        <w:t>" ITEMS</w:t>
      </w:r>
      <w:r w:rsidRPr="00D32D27">
        <w:rPr>
          <w:bCs/>
        </w:rPr>
        <w:t xml:space="preserve"> (doc. </w:t>
      </w:r>
      <w:r w:rsidRPr="0084352F">
        <w:t>9019/15 OJ CONS 29 COMPET 234 RECH 144 ESPACE 10</w:t>
      </w:r>
      <w:r w:rsidRPr="00D32D27">
        <w:rPr>
          <w:bCs/>
        </w:rPr>
        <w:t>)</w:t>
      </w:r>
    </w:p>
    <w:p w:rsidR="00D629EC" w:rsidRPr="0084352F" w:rsidRDefault="00D629EC" w:rsidP="00D629EC">
      <w:pPr>
        <w:pStyle w:val="HeadingCentered"/>
        <w:spacing w:before="360"/>
        <w:rPr>
          <w:b w:val="0"/>
          <w:bCs/>
        </w:rPr>
      </w:pPr>
      <w:r w:rsidRPr="0084352F">
        <w:rPr>
          <w:b w:val="0"/>
          <w:bCs/>
        </w:rPr>
        <w:t>INTERNAL MARKET AND INDUSTRY</w:t>
      </w:r>
    </w:p>
    <w:p w:rsidR="00D629EC" w:rsidRPr="0084352F" w:rsidRDefault="00D629EC" w:rsidP="00D629EC">
      <w:pPr>
        <w:pStyle w:val="PointManual"/>
        <w:tabs>
          <w:tab w:val="left" w:leader="dot" w:pos="9639"/>
        </w:tabs>
      </w:pPr>
      <w:r w:rsidRPr="0084352F">
        <w:t>4.</w:t>
      </w:r>
      <w:r w:rsidRPr="0084352F">
        <w:tab/>
      </w:r>
      <w:r w:rsidRPr="0084352F">
        <w:rPr>
          <w:rFonts w:asciiTheme="majorBidi" w:hAnsiTheme="majorBidi" w:cstheme="majorBidi"/>
        </w:rPr>
        <w:t>Proposal for a Directive of the European Parliament and of the Council on package</w:t>
      </w:r>
      <w:r w:rsidRPr="0084352F">
        <w:rPr>
          <w:rFonts w:asciiTheme="majorBidi" w:hAnsiTheme="majorBidi" w:cstheme="majorBidi"/>
        </w:rPr>
        <w:br/>
        <w:t xml:space="preserve">travel and assisted travel arrangements, amending Regulation (EC) </w:t>
      </w:r>
      <w:r>
        <w:rPr>
          <w:rFonts w:asciiTheme="majorBidi" w:hAnsiTheme="majorBidi" w:cstheme="majorBidi"/>
        </w:rPr>
        <w:t>No </w:t>
      </w:r>
      <w:r w:rsidRPr="0084352F">
        <w:rPr>
          <w:rFonts w:asciiTheme="majorBidi" w:hAnsiTheme="majorBidi" w:cstheme="majorBidi"/>
        </w:rPr>
        <w:t>2006/2004,</w:t>
      </w:r>
      <w:r w:rsidRPr="0084352F">
        <w:rPr>
          <w:rFonts w:asciiTheme="majorBidi" w:hAnsiTheme="majorBidi" w:cstheme="majorBidi"/>
        </w:rPr>
        <w:br/>
        <w:t>Directive 2011/83/EU and repealing Council Directive 90/314/EEC [First reading]</w:t>
      </w:r>
      <w:r w:rsidRPr="0084352F">
        <w:tab/>
      </w:r>
      <w:r w:rsidR="00FA04E0">
        <w:t>6</w:t>
      </w:r>
    </w:p>
    <w:p w:rsidR="00D629EC" w:rsidRPr="0084352F" w:rsidRDefault="00D629EC" w:rsidP="00B86C52">
      <w:pPr>
        <w:pStyle w:val="PointManual"/>
        <w:tabs>
          <w:tab w:val="left" w:leader="dot" w:pos="9639"/>
        </w:tabs>
        <w:spacing w:before="240"/>
      </w:pPr>
      <w:r w:rsidRPr="0084352F">
        <w:t>5.</w:t>
      </w:r>
      <w:r w:rsidRPr="0084352F">
        <w:tab/>
      </w:r>
      <w:r w:rsidRPr="0084352F">
        <w:rPr>
          <w:rFonts w:asciiTheme="majorBidi" w:hAnsiTheme="majorBidi" w:cstheme="majorBidi"/>
        </w:rPr>
        <w:t>Product Safety Package</w:t>
      </w:r>
      <w:r w:rsidRPr="0084352F">
        <w:tab/>
      </w:r>
      <w:r w:rsidR="005A3A33">
        <w:t>8</w:t>
      </w:r>
    </w:p>
    <w:p w:rsidR="00D629EC" w:rsidRPr="0084352F" w:rsidRDefault="00D629EC" w:rsidP="00D629EC">
      <w:pPr>
        <w:pStyle w:val="PointManual1"/>
        <w:spacing w:before="60"/>
      </w:pPr>
      <w:r w:rsidRPr="0084352F">
        <w:t>(a)</w:t>
      </w:r>
      <w:r w:rsidRPr="0084352F">
        <w:tab/>
        <w:t>Proposal for a Regulation of the European Parliament and of the Council on</w:t>
      </w:r>
      <w:r w:rsidRPr="0084352F">
        <w:br/>
        <w:t>consumer product safety and repealing Council Directive 87/357/EEC and</w:t>
      </w:r>
      <w:r w:rsidRPr="0084352F">
        <w:br/>
        <w:t xml:space="preserve">Directive 2001/95/EC </w:t>
      </w:r>
      <w:r w:rsidRPr="0084352F">
        <w:rPr>
          <w:rFonts w:asciiTheme="majorBidi" w:hAnsiTheme="majorBidi" w:cstheme="majorBidi"/>
        </w:rPr>
        <w:t>[First reading]</w:t>
      </w:r>
    </w:p>
    <w:p w:rsidR="00D629EC" w:rsidRPr="0084352F" w:rsidRDefault="00D629EC" w:rsidP="00D629EC">
      <w:pPr>
        <w:pStyle w:val="PointManual1"/>
      </w:pPr>
      <w:r w:rsidRPr="0084352F">
        <w:t>(b)</w:t>
      </w:r>
      <w:r w:rsidRPr="0084352F">
        <w:tab/>
        <w:t>Proposal for a Regulation of the European Parliament</w:t>
      </w:r>
      <w:r>
        <w:t xml:space="preserve"> and of the Council on</w:t>
      </w:r>
      <w:r>
        <w:br/>
      </w:r>
      <w:r w:rsidRPr="0084352F">
        <w:t xml:space="preserve">market surveillance of products and amending Council Directives 89/686/EEC and 93/15/EEC, and Directives 94/9/EC, 94/25/EC, 95/16/EC, 97/23/EC, 1999/5/EC, 2000/9/EC, 2000/14/EC, 2001/95/EC, 2004/108/EC, 2006/42/EC, 2006/95/EC, 2007/23/EC, 2008/57/EC, 2009/48/EC, 2009/105/EC, 2009/142/EC, 2011/65/EU, Regulation (EU) </w:t>
      </w:r>
      <w:r>
        <w:t>No </w:t>
      </w:r>
      <w:r w:rsidRPr="0084352F">
        <w:t xml:space="preserve">305/2011, Regulation (EU) </w:t>
      </w:r>
      <w:r>
        <w:t>No </w:t>
      </w:r>
      <w:r w:rsidRPr="0084352F">
        <w:t xml:space="preserve">764/2008 and Regulation (EC) </w:t>
      </w:r>
      <w:r>
        <w:t>No </w:t>
      </w:r>
      <w:r w:rsidRPr="0084352F">
        <w:t xml:space="preserve">765/2008 of the European Parliament and of the Council </w:t>
      </w:r>
      <w:r w:rsidRPr="0084352F">
        <w:rPr>
          <w:rFonts w:asciiTheme="majorBidi" w:hAnsiTheme="majorBidi" w:cstheme="majorBidi"/>
        </w:rPr>
        <w:t>[First reading]</w:t>
      </w:r>
    </w:p>
    <w:p w:rsidR="00D629EC" w:rsidRPr="0084352F" w:rsidRDefault="00D629EC" w:rsidP="00D629EC">
      <w:pPr>
        <w:pStyle w:val="PointManual"/>
        <w:tabs>
          <w:tab w:val="left" w:leader="dot" w:pos="9639"/>
        </w:tabs>
      </w:pPr>
      <w:r w:rsidRPr="0084352F">
        <w:t>6.</w:t>
      </w:r>
      <w:r w:rsidRPr="0084352F">
        <w:tab/>
        <w:t>Proposal for a Directive of the European Parliament and of the Council on</w:t>
      </w:r>
      <w:r>
        <w:br/>
      </w:r>
      <w:r w:rsidRPr="0084352F">
        <w:t xml:space="preserve">single-member private limited liability companies </w:t>
      </w:r>
      <w:r w:rsidRPr="0084352F">
        <w:rPr>
          <w:rFonts w:asciiTheme="majorBidi" w:hAnsiTheme="majorBidi" w:cstheme="majorBidi"/>
        </w:rPr>
        <w:t>[First reading]</w:t>
      </w:r>
      <w:r w:rsidRPr="0084352F">
        <w:tab/>
      </w:r>
      <w:r w:rsidR="005A3A33">
        <w:t>8</w:t>
      </w:r>
    </w:p>
    <w:p w:rsidR="00D629EC" w:rsidRDefault="00D629EC" w:rsidP="005A3A33">
      <w:pPr>
        <w:pStyle w:val="PointManual"/>
        <w:tabs>
          <w:tab w:val="left" w:leader="dot" w:pos="9639"/>
        </w:tabs>
      </w:pPr>
      <w:r w:rsidRPr="0084352F">
        <w:t>8.</w:t>
      </w:r>
      <w:r w:rsidRPr="0084352F">
        <w:tab/>
        <w:t>Any other business</w:t>
      </w:r>
      <w:r w:rsidRPr="0084352F">
        <w:tab/>
      </w:r>
      <w:r w:rsidR="005A3A33">
        <w:t>9</w:t>
      </w:r>
    </w:p>
    <w:p w:rsidR="00D629EC" w:rsidRDefault="00D629EC" w:rsidP="00FA04E0">
      <w:pPr>
        <w:pStyle w:val="PointManual1"/>
        <w:spacing w:before="120"/>
        <w:rPr>
          <w:rFonts w:asciiTheme="majorBidi" w:hAnsiTheme="majorBidi" w:cstheme="majorBidi"/>
        </w:rPr>
      </w:pPr>
      <w:r w:rsidRPr="0084352F">
        <w:t>(a)</w:t>
      </w:r>
      <w:r w:rsidRPr="0084352F">
        <w:tab/>
      </w:r>
      <w:r w:rsidRPr="009B3174">
        <w:rPr>
          <w:rFonts w:asciiTheme="majorBidi" w:hAnsiTheme="majorBidi" w:cstheme="majorBidi"/>
        </w:rPr>
        <w:t>Current legislative proposal</w:t>
      </w:r>
    </w:p>
    <w:p w:rsidR="00FA04E0" w:rsidRPr="00FA04E0" w:rsidRDefault="00FA04E0" w:rsidP="00C90421">
      <w:pPr>
        <w:pStyle w:val="Bullet2"/>
        <w:numPr>
          <w:ilvl w:val="0"/>
          <w:numId w:val="1"/>
        </w:numPr>
      </w:pPr>
      <w:r w:rsidRPr="00FA04E0">
        <w:t xml:space="preserve">Trade mark Package </w:t>
      </w:r>
      <w:r w:rsidRPr="00FA04E0">
        <w:rPr>
          <w:rFonts w:asciiTheme="majorBidi" w:hAnsiTheme="majorBidi" w:cstheme="majorBidi"/>
        </w:rPr>
        <w:t>[First reading]</w:t>
      </w:r>
    </w:p>
    <w:p w:rsidR="00FA04E0" w:rsidRPr="0084352F" w:rsidRDefault="00FA04E0" w:rsidP="00FA04E0">
      <w:pPr>
        <w:pStyle w:val="PointManual3"/>
        <w:spacing w:before="60"/>
      </w:pPr>
      <w:r w:rsidRPr="0084352F">
        <w:t>i)</w:t>
      </w:r>
      <w:r w:rsidRPr="0084352F">
        <w:tab/>
        <w:t>Proposal for a Regulation of the</w:t>
      </w:r>
      <w:r w:rsidR="001659EF">
        <w:t xml:space="preserve"> European Parliament and of the</w:t>
      </w:r>
      <w:r w:rsidR="001659EF">
        <w:br/>
      </w:r>
      <w:r w:rsidRPr="0084352F">
        <w:t xml:space="preserve">Council amending Council Regulation (EC) </w:t>
      </w:r>
      <w:r>
        <w:t>No </w:t>
      </w:r>
      <w:r w:rsidRPr="0084352F">
        <w:t>207/2009 on the Community trade mark</w:t>
      </w:r>
    </w:p>
    <w:p w:rsidR="00FA04E0" w:rsidRPr="00FA04E0" w:rsidRDefault="00FA04E0" w:rsidP="001659EF">
      <w:pPr>
        <w:pStyle w:val="PointManual3"/>
      </w:pPr>
      <w:r w:rsidRPr="0084352F">
        <w:t>ii)</w:t>
      </w:r>
      <w:r w:rsidRPr="0084352F">
        <w:tab/>
        <w:t>Proposal for a Directive of the</w:t>
      </w:r>
      <w:r w:rsidR="001659EF">
        <w:t xml:space="preserve"> European Parliament and of the</w:t>
      </w:r>
      <w:r w:rsidR="001659EF">
        <w:br/>
      </w:r>
      <w:r w:rsidRPr="0084352F">
        <w:t>Council to approximate the laws of the Member States relating to trade marks (Recast)</w:t>
      </w:r>
    </w:p>
    <w:p w:rsidR="00000330" w:rsidRPr="00D32D27" w:rsidRDefault="00000330" w:rsidP="00000330">
      <w:pPr>
        <w:pStyle w:val="NormalCentered"/>
        <w:spacing w:before="480"/>
      </w:pPr>
      <w:r w:rsidRPr="00D32D27">
        <w:t>*</w:t>
      </w:r>
    </w:p>
    <w:p w:rsidR="00000330" w:rsidRPr="00D32D27" w:rsidRDefault="00000330" w:rsidP="00000330">
      <w:pPr>
        <w:pStyle w:val="NormalCentered"/>
        <w:spacing w:before="120"/>
      </w:pPr>
      <w:r w:rsidRPr="00D32D27">
        <w:t>*</w:t>
      </w:r>
      <w:r w:rsidRPr="00D32D27">
        <w:tab/>
        <w:t>*</w:t>
      </w:r>
    </w:p>
    <w:p w:rsidR="00000330" w:rsidRPr="00F15B25" w:rsidRDefault="00E86101" w:rsidP="00E86101">
      <w:pPr>
        <w:rPr>
          <w:b/>
          <w:u w:val="single"/>
        </w:rPr>
      </w:pPr>
      <w:r>
        <w:rPr>
          <w:b/>
          <w:u w:val="single"/>
        </w:rPr>
        <w:br w:type="page"/>
      </w:r>
      <w:r w:rsidR="00000330" w:rsidRPr="00F15B25">
        <w:rPr>
          <w:b/>
          <w:u w:val="single"/>
        </w:rPr>
        <w:lastRenderedPageBreak/>
        <w:t>LEGISLATIVE DELIBERATIONS</w:t>
      </w:r>
    </w:p>
    <w:p w:rsidR="00000330" w:rsidRDefault="00000330" w:rsidP="00000330">
      <w:pPr>
        <w:rPr>
          <w:b/>
          <w:i/>
          <w:iCs/>
        </w:rPr>
      </w:pPr>
      <w:r w:rsidRPr="00C72B1E">
        <w:rPr>
          <w:b/>
          <w:i/>
          <w:iCs/>
        </w:rPr>
        <w:t>(Public deliberation in accordance with Ar</w:t>
      </w:r>
      <w:r>
        <w:rPr>
          <w:b/>
          <w:i/>
          <w:iCs/>
        </w:rPr>
        <w:t>ticle </w:t>
      </w:r>
      <w:r w:rsidRPr="00C72B1E">
        <w:rPr>
          <w:b/>
          <w:i/>
          <w:iCs/>
        </w:rPr>
        <w:t>16(8) of the Treaty on European Union)</w:t>
      </w:r>
    </w:p>
    <w:p w:rsidR="00000330" w:rsidRPr="00D32D27" w:rsidRDefault="00000330" w:rsidP="005F0E6A">
      <w:pPr>
        <w:spacing w:before="160"/>
        <w:rPr>
          <w:bCs/>
        </w:rPr>
      </w:pPr>
      <w:r w:rsidRPr="00D32D27">
        <w:rPr>
          <w:bCs/>
          <w:u w:val="single"/>
        </w:rPr>
        <w:t>"</w:t>
      </w:r>
      <w:r>
        <w:rPr>
          <w:bCs/>
          <w:u w:val="single"/>
        </w:rPr>
        <w:t>A</w:t>
      </w:r>
      <w:r w:rsidRPr="00D32D27">
        <w:rPr>
          <w:bCs/>
          <w:u w:val="single"/>
        </w:rPr>
        <w:t>" ITEMS</w:t>
      </w:r>
    </w:p>
    <w:p w:rsidR="00000330" w:rsidRPr="004339F1" w:rsidRDefault="00000330" w:rsidP="005F0E6A">
      <w:pPr>
        <w:pStyle w:val="PointManual"/>
        <w:spacing w:before="160"/>
        <w:rPr>
          <w:b/>
          <w:bCs/>
        </w:rPr>
      </w:pPr>
      <w:r w:rsidRPr="004339F1">
        <w:rPr>
          <w:b/>
          <w:bCs/>
        </w:rPr>
        <w:t>1.</w:t>
      </w:r>
      <w:r w:rsidRPr="004339F1">
        <w:rPr>
          <w:b/>
          <w:bCs/>
        </w:rPr>
        <w:tab/>
        <w:t xml:space="preserve">Regulation of the European Parliament and of the Council </w:t>
      </w:r>
      <w:r w:rsidRPr="004339F1">
        <w:rPr>
          <w:b/>
          <w:bCs/>
          <w:lang w:eastAsia="fr-FR"/>
        </w:rPr>
        <w:t>on the safeguard measures provided for in the Agreement between the European Economic Community and the Kingdom of Norway (codification)</w:t>
      </w:r>
      <w:r w:rsidRPr="004339F1">
        <w:rPr>
          <w:b/>
          <w:bCs/>
        </w:rPr>
        <w:t xml:space="preserve"> </w:t>
      </w:r>
      <w:r w:rsidR="00D629EC" w:rsidRPr="004339F1">
        <w:rPr>
          <w:b/>
          <w:bCs/>
        </w:rPr>
        <w:t>[First reading] (LA)</w:t>
      </w:r>
    </w:p>
    <w:p w:rsidR="00000330" w:rsidRDefault="00000330" w:rsidP="00000330">
      <w:pPr>
        <w:pStyle w:val="Text3"/>
        <w:rPr>
          <w:lang w:val="it-IT"/>
        </w:rPr>
      </w:pPr>
      <w:r w:rsidRPr="00F856E0">
        <w:rPr>
          <w:lang w:val="it-IT"/>
        </w:rPr>
        <w:t>PE-CONS 14/15 CODIF 42 ECO 35 INST 89 MI 185 CODEC 402</w:t>
      </w:r>
    </w:p>
    <w:p w:rsidR="00D629EC" w:rsidRPr="006F6BE8" w:rsidRDefault="00D629EC" w:rsidP="00D629EC">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00330" w:rsidRPr="004339F1" w:rsidRDefault="00000330" w:rsidP="005F0E6A">
      <w:pPr>
        <w:pStyle w:val="PointManual"/>
        <w:spacing w:before="480"/>
        <w:rPr>
          <w:b/>
          <w:bCs/>
        </w:rPr>
      </w:pPr>
      <w:r w:rsidRPr="004339F1">
        <w:rPr>
          <w:b/>
          <w:bCs/>
        </w:rPr>
        <w:t>2.</w:t>
      </w:r>
      <w:r w:rsidRPr="004339F1">
        <w:rPr>
          <w:b/>
          <w:bCs/>
        </w:rPr>
        <w:tab/>
        <w:t xml:space="preserve">Regulation of the European Parliament and of the Council </w:t>
      </w:r>
      <w:r w:rsidRPr="004339F1">
        <w:rPr>
          <w:b/>
          <w:bCs/>
          <w:lang w:eastAsia="fr-FR"/>
        </w:rPr>
        <w:t>on certain procedures for applying the Stabilisation and Association Agreement between the European Communities and their Member States, of the one part, and the Republic of Albania, of the other part (codification)</w:t>
      </w:r>
      <w:r w:rsidRPr="004339F1">
        <w:rPr>
          <w:b/>
          <w:bCs/>
        </w:rPr>
        <w:t xml:space="preserve"> </w:t>
      </w:r>
      <w:r w:rsidR="00D629EC" w:rsidRPr="004339F1">
        <w:rPr>
          <w:b/>
          <w:bCs/>
        </w:rPr>
        <w:t>[First reading] (LA)</w:t>
      </w:r>
    </w:p>
    <w:p w:rsidR="00000330" w:rsidRPr="00F856E0" w:rsidRDefault="00000330" w:rsidP="00000330">
      <w:pPr>
        <w:pStyle w:val="Text3"/>
        <w:rPr>
          <w:lang w:val="it-IT"/>
        </w:rPr>
      </w:pPr>
      <w:r w:rsidRPr="00F856E0">
        <w:rPr>
          <w:lang w:val="it-IT"/>
        </w:rPr>
        <w:t>PE-CONS 16/15 CODIF 44 ECO 37 INST 91 MI 187 CODEC 405</w:t>
      </w:r>
    </w:p>
    <w:p w:rsidR="00D629EC" w:rsidRPr="006F6BE8" w:rsidRDefault="00D629EC" w:rsidP="00D629EC">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00330" w:rsidRPr="004339F1" w:rsidRDefault="00000330" w:rsidP="005F0E6A">
      <w:pPr>
        <w:pStyle w:val="PointManual"/>
        <w:spacing w:before="480"/>
        <w:rPr>
          <w:b/>
          <w:bCs/>
        </w:rPr>
      </w:pPr>
      <w:r w:rsidRPr="004339F1">
        <w:rPr>
          <w:b/>
          <w:bCs/>
        </w:rPr>
        <w:t>3.</w:t>
      </w:r>
      <w:r w:rsidRPr="004339F1">
        <w:rPr>
          <w:b/>
          <w:bCs/>
        </w:rPr>
        <w:tab/>
        <w:t>Regulation of the European Parliament and of the Council on certain procedures for</w:t>
      </w:r>
      <w:r w:rsidRPr="004339F1">
        <w:rPr>
          <w:b/>
          <w:bCs/>
          <w:lang w:eastAsia="fr-FR"/>
        </w:rPr>
        <w:t xml:space="preserve"> applying the Stabilisation and Association Agreement between the European Communities and their Member States, of the one part, and Bosnia and Herzegovina, of the other part, and for applying the Interim Agreement on trade and trade</w:t>
      </w:r>
      <w:r w:rsidRPr="004339F1">
        <w:rPr>
          <w:b/>
          <w:bCs/>
          <w:lang w:eastAsia="fr-FR"/>
        </w:rPr>
        <w:noBreakHyphen/>
        <w:t>related matters between the European Community, of the one part, and Bosnia and Herzegovina, of the other part (codification)</w:t>
      </w:r>
      <w:r w:rsidRPr="004339F1">
        <w:rPr>
          <w:b/>
          <w:bCs/>
        </w:rPr>
        <w:t xml:space="preserve"> </w:t>
      </w:r>
      <w:r w:rsidR="00D629EC" w:rsidRPr="004339F1">
        <w:rPr>
          <w:b/>
          <w:bCs/>
        </w:rPr>
        <w:t>[First reading] (LA)</w:t>
      </w:r>
    </w:p>
    <w:p w:rsidR="00000330" w:rsidRPr="00F856E0" w:rsidRDefault="00000330" w:rsidP="00000330">
      <w:pPr>
        <w:pStyle w:val="Text3"/>
        <w:rPr>
          <w:bCs/>
          <w:lang w:val="it-IT"/>
        </w:rPr>
      </w:pPr>
      <w:r w:rsidRPr="00F856E0">
        <w:rPr>
          <w:bCs/>
          <w:lang w:val="it-IT"/>
        </w:rPr>
        <w:t>PE-CONS 17/15 CODIF 45 ECO 38 INST 92 MI 188 CODEC 406</w:t>
      </w:r>
    </w:p>
    <w:p w:rsidR="00D629EC" w:rsidRPr="00A3227B" w:rsidRDefault="00D629EC" w:rsidP="00D629EC">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00330" w:rsidRPr="004339F1" w:rsidRDefault="00000330" w:rsidP="001659EF">
      <w:pPr>
        <w:pStyle w:val="PointManual"/>
        <w:pageBreakBefore/>
        <w:spacing w:before="600"/>
        <w:rPr>
          <w:b/>
          <w:bCs/>
        </w:rPr>
      </w:pPr>
      <w:r w:rsidRPr="004339F1">
        <w:rPr>
          <w:b/>
          <w:bCs/>
        </w:rPr>
        <w:lastRenderedPageBreak/>
        <w:t>4.</w:t>
      </w:r>
      <w:r w:rsidRPr="004339F1">
        <w:rPr>
          <w:b/>
          <w:bCs/>
        </w:rPr>
        <w:tab/>
        <w:t xml:space="preserve">Regulation of the European Parliament and of the Council </w:t>
      </w:r>
      <w:r w:rsidRPr="004339F1">
        <w:rPr>
          <w:b/>
          <w:bCs/>
          <w:lang w:eastAsia="fr-FR"/>
        </w:rPr>
        <w:t>on certain procedures for applying the Stabilisation and Association Agreement between the European Communities and their Member States, of the one part, and the Former Yugoslav Republic of Macedonia, of the other part (codification)</w:t>
      </w:r>
      <w:r w:rsidRPr="004339F1">
        <w:rPr>
          <w:b/>
          <w:bCs/>
        </w:rPr>
        <w:t xml:space="preserve"> </w:t>
      </w:r>
      <w:r w:rsidR="00D629EC" w:rsidRPr="004339F1">
        <w:rPr>
          <w:b/>
          <w:bCs/>
        </w:rPr>
        <w:t>[First reading] (LA)</w:t>
      </w:r>
    </w:p>
    <w:p w:rsidR="00000330" w:rsidRPr="00F856E0" w:rsidRDefault="00000330" w:rsidP="00000330">
      <w:pPr>
        <w:pStyle w:val="Text3"/>
        <w:rPr>
          <w:lang w:val="it-IT"/>
        </w:rPr>
      </w:pPr>
      <w:r w:rsidRPr="00F856E0">
        <w:rPr>
          <w:lang w:val="it-IT"/>
        </w:rPr>
        <w:t>PE-CONS 18/15 CODIF 46 ECO 40 INST 98 MI 192 CODEC 419</w:t>
      </w:r>
    </w:p>
    <w:p w:rsidR="00D629EC" w:rsidRPr="006F6BE8" w:rsidRDefault="00D629EC" w:rsidP="00D629EC">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00330" w:rsidRPr="004339F1" w:rsidRDefault="00000330" w:rsidP="00526DE5">
      <w:pPr>
        <w:pStyle w:val="PointManual"/>
        <w:spacing w:before="600"/>
        <w:rPr>
          <w:b/>
          <w:bCs/>
        </w:rPr>
      </w:pPr>
      <w:r w:rsidRPr="004339F1">
        <w:rPr>
          <w:b/>
          <w:bCs/>
        </w:rPr>
        <w:t>5.</w:t>
      </w:r>
      <w:r w:rsidRPr="004339F1">
        <w:rPr>
          <w:b/>
          <w:bCs/>
        </w:rPr>
        <w:tab/>
        <w:t xml:space="preserve">Regulation of the European Parliament and of the Council </w:t>
      </w:r>
      <w:r w:rsidRPr="004339F1">
        <w:rPr>
          <w:b/>
          <w:bCs/>
          <w:lang w:eastAsia="fr-FR"/>
        </w:rPr>
        <w:t>on common rules for imports of textile products from certain third countries not covered by bilateral agreements, protocols or other arrangements, or by other specific Union import rules (recast)</w:t>
      </w:r>
      <w:r w:rsidRPr="004339F1">
        <w:rPr>
          <w:b/>
          <w:bCs/>
        </w:rPr>
        <w:t xml:space="preserve"> </w:t>
      </w:r>
      <w:r w:rsidR="00D629EC" w:rsidRPr="004339F1">
        <w:rPr>
          <w:b/>
          <w:bCs/>
        </w:rPr>
        <w:t>[First reading] (LA)</w:t>
      </w:r>
    </w:p>
    <w:p w:rsidR="00000330" w:rsidRPr="00F856E0" w:rsidRDefault="00000330" w:rsidP="00000330">
      <w:pPr>
        <w:pStyle w:val="Text3"/>
        <w:rPr>
          <w:lang w:val="fr-BE"/>
        </w:rPr>
      </w:pPr>
      <w:r w:rsidRPr="00F856E0">
        <w:rPr>
          <w:lang w:val="fr-BE"/>
        </w:rPr>
        <w:t>PE-CONS 12/15 STIS 7 TEXT 2 WTO 53 CODIF 27 CODEC 248</w:t>
      </w:r>
    </w:p>
    <w:p w:rsidR="00D629EC" w:rsidRPr="006F6BE8" w:rsidRDefault="00D629EC" w:rsidP="00D629EC">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00330" w:rsidRPr="004339F1" w:rsidRDefault="00000330" w:rsidP="00526DE5">
      <w:pPr>
        <w:pStyle w:val="PointManual"/>
        <w:spacing w:before="600"/>
        <w:rPr>
          <w:b/>
          <w:bCs/>
        </w:rPr>
      </w:pPr>
      <w:r w:rsidRPr="004339F1">
        <w:rPr>
          <w:b/>
          <w:bCs/>
        </w:rPr>
        <w:t>6.</w:t>
      </w:r>
      <w:r w:rsidRPr="004339F1">
        <w:rPr>
          <w:b/>
          <w:bCs/>
        </w:rPr>
        <w:tab/>
        <w:t>Regulation of the European Parliament and of the Council repealing Council Regulation</w:t>
      </w:r>
      <w:r w:rsidRPr="004339F1">
        <w:rPr>
          <w:b/>
          <w:bCs/>
          <w:lang w:eastAsia="fr-FR"/>
        </w:rPr>
        <w:t xml:space="preserve"> (EEC) No 3030/93 on common rules for imports of certain textile products from third countries</w:t>
      </w:r>
      <w:r w:rsidRPr="004339F1">
        <w:rPr>
          <w:b/>
          <w:bCs/>
        </w:rPr>
        <w:t xml:space="preserve"> </w:t>
      </w:r>
      <w:r w:rsidR="00D629EC" w:rsidRPr="004339F1">
        <w:rPr>
          <w:b/>
          <w:bCs/>
        </w:rPr>
        <w:t>[First reading] (LA)</w:t>
      </w:r>
    </w:p>
    <w:p w:rsidR="00000330" w:rsidRPr="00F856E0" w:rsidRDefault="00000330" w:rsidP="00000330">
      <w:pPr>
        <w:pStyle w:val="Text3"/>
        <w:rPr>
          <w:lang w:val="fr-BE"/>
        </w:rPr>
      </w:pPr>
      <w:r w:rsidRPr="00F856E0">
        <w:rPr>
          <w:lang w:val="fr-BE"/>
        </w:rPr>
        <w:t>PE-CONS 13/15 STIS 9 TEXT 5 WTO 66 CODEC 325</w:t>
      </w:r>
    </w:p>
    <w:p w:rsidR="004339F1" w:rsidRDefault="00D629EC" w:rsidP="00D629EC">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B86C52" w:rsidRPr="00D32D27" w:rsidRDefault="004339F1" w:rsidP="005A3A33">
      <w:pPr>
        <w:spacing w:before="400"/>
        <w:rPr>
          <w:bCs/>
        </w:rPr>
      </w:pPr>
      <w:r>
        <w:br w:type="page"/>
      </w:r>
      <w:r w:rsidR="00B86C52" w:rsidRPr="00D32D27">
        <w:rPr>
          <w:bCs/>
          <w:u w:val="single"/>
        </w:rPr>
        <w:lastRenderedPageBreak/>
        <w:t>"</w:t>
      </w:r>
      <w:r w:rsidR="004A68F2">
        <w:rPr>
          <w:bCs/>
          <w:u w:val="single"/>
        </w:rPr>
        <w:t>B</w:t>
      </w:r>
      <w:r w:rsidR="00B86C52" w:rsidRPr="00D32D27">
        <w:rPr>
          <w:bCs/>
          <w:u w:val="single"/>
        </w:rPr>
        <w:t>" ITEMS</w:t>
      </w:r>
    </w:p>
    <w:p w:rsidR="00D22AFD" w:rsidRPr="0084352F" w:rsidRDefault="00D22AFD" w:rsidP="00B86C52">
      <w:pPr>
        <w:pStyle w:val="HeadingCentered"/>
        <w:spacing w:before="120" w:after="400"/>
        <w:rPr>
          <w:b w:val="0"/>
          <w:bCs/>
        </w:rPr>
      </w:pPr>
      <w:r w:rsidRPr="0084352F">
        <w:rPr>
          <w:b w:val="0"/>
          <w:bCs/>
        </w:rPr>
        <w:t>INTERNAL MARKET AND INDUSTRY</w:t>
      </w:r>
    </w:p>
    <w:p w:rsidR="00D22AFD" w:rsidRPr="00D22AFD" w:rsidRDefault="00D22AFD" w:rsidP="005A3A33">
      <w:pPr>
        <w:pStyle w:val="PointManual"/>
        <w:spacing w:before="0"/>
        <w:rPr>
          <w:rFonts w:asciiTheme="majorBidi" w:hAnsiTheme="majorBidi" w:cstheme="majorBidi"/>
          <w:b/>
          <w:bCs/>
        </w:rPr>
      </w:pPr>
      <w:r w:rsidRPr="00D22AFD">
        <w:rPr>
          <w:rFonts w:asciiTheme="majorBidi" w:hAnsiTheme="majorBidi" w:cstheme="majorBidi"/>
          <w:b/>
          <w:bCs/>
        </w:rPr>
        <w:t>4.</w:t>
      </w:r>
      <w:r w:rsidRPr="00D22AFD">
        <w:rPr>
          <w:rFonts w:asciiTheme="majorBidi" w:hAnsiTheme="majorBidi" w:cstheme="majorBidi"/>
          <w:b/>
          <w:bCs/>
        </w:rPr>
        <w:tab/>
        <w:t>Proposal for a Directive of the European Parliament and of the Council on package travel and assisted travel arrangements, amending Regulation (EC) No 2006/2004, Directive 2011/83/EU and repealing Council Directive 90/314/EEC [First reading]</w:t>
      </w:r>
    </w:p>
    <w:p w:rsidR="00D22AFD" w:rsidRPr="0084352F" w:rsidRDefault="00D22AFD" w:rsidP="00D22AFD">
      <w:pPr>
        <w:pStyle w:val="Text1"/>
        <w:rPr>
          <w:rFonts w:asciiTheme="majorBidi" w:hAnsiTheme="majorBidi" w:cstheme="majorBidi"/>
          <w:i/>
          <w:iCs/>
        </w:rPr>
      </w:pPr>
      <w:r w:rsidRPr="0084352F">
        <w:rPr>
          <w:rFonts w:asciiTheme="majorBidi" w:hAnsiTheme="majorBidi" w:cstheme="majorBidi"/>
          <w:i/>
          <w:iCs/>
        </w:rPr>
        <w:t xml:space="preserve">(Legal </w:t>
      </w:r>
      <w:r w:rsidRPr="0084352F">
        <w:rPr>
          <w:i/>
          <w:iCs/>
        </w:rPr>
        <w:t>basis</w:t>
      </w:r>
      <w:r w:rsidRPr="0084352F">
        <w:rPr>
          <w:rFonts w:asciiTheme="majorBidi" w:hAnsiTheme="majorBidi" w:cstheme="majorBidi"/>
          <w:i/>
          <w:iCs/>
        </w:rPr>
        <w:t xml:space="preserve"> proposed by the Commission: Article 114 TFEU)</w:t>
      </w:r>
    </w:p>
    <w:p w:rsidR="00D22AFD" w:rsidRPr="0084352F" w:rsidRDefault="00D22AFD" w:rsidP="00D22AFD">
      <w:pPr>
        <w:pStyle w:val="Text1"/>
        <w:rPr>
          <w:i/>
          <w:iCs/>
        </w:rPr>
      </w:pPr>
      <w:r w:rsidRPr="0084352F">
        <w:rPr>
          <w:i/>
          <w:iCs/>
        </w:rPr>
        <w:t xml:space="preserve">Interinstitutional file: </w:t>
      </w:r>
      <w:r w:rsidRPr="0084352F">
        <w:rPr>
          <w:rFonts w:eastAsia="Calibri"/>
          <w:i/>
          <w:iCs/>
        </w:rPr>
        <w:t>2013/0246 (COD)</w:t>
      </w:r>
    </w:p>
    <w:p w:rsidR="00D22AFD" w:rsidRPr="0084352F" w:rsidRDefault="00D22AFD" w:rsidP="00C90421">
      <w:pPr>
        <w:pStyle w:val="Dash1"/>
        <w:numPr>
          <w:ilvl w:val="0"/>
          <w:numId w:val="24"/>
        </w:numPr>
        <w:rPr>
          <w:rFonts w:asciiTheme="majorBidi" w:hAnsiTheme="majorBidi" w:cstheme="majorBidi"/>
        </w:rPr>
      </w:pPr>
      <w:r w:rsidRPr="0084352F">
        <w:rPr>
          <w:rFonts w:asciiTheme="majorBidi" w:hAnsiTheme="majorBidi" w:cstheme="majorBidi"/>
        </w:rPr>
        <w:t>Political agreement</w:t>
      </w:r>
    </w:p>
    <w:p w:rsidR="00D22AFD" w:rsidRPr="000B7BB4" w:rsidRDefault="00D22AFD" w:rsidP="00D22AFD">
      <w:pPr>
        <w:pStyle w:val="Text3"/>
        <w:tabs>
          <w:tab w:val="right" w:pos="9356"/>
        </w:tabs>
        <w:rPr>
          <w:lang w:val="fr-BE"/>
        </w:rPr>
      </w:pPr>
      <w:r w:rsidRPr="000B7BB4">
        <w:rPr>
          <w:lang w:val="fr-BE"/>
        </w:rPr>
        <w:t>12257/13 CONSOM 140 MI 635 TOUR 3 JUSTCIV 167 CODEC 1764</w:t>
      </w:r>
    </w:p>
    <w:p w:rsidR="00D22AFD" w:rsidRPr="000B7BB4" w:rsidRDefault="00D22AFD" w:rsidP="00D22AFD">
      <w:pPr>
        <w:pStyle w:val="Text4"/>
        <w:tabs>
          <w:tab w:val="right" w:pos="9356"/>
        </w:tabs>
        <w:rPr>
          <w:lang w:val="fr-BE"/>
        </w:rPr>
      </w:pPr>
      <w:r w:rsidRPr="000B7BB4">
        <w:rPr>
          <w:lang w:val="fr-BE"/>
        </w:rPr>
        <w:t>+ REV 1 (de)</w:t>
      </w:r>
    </w:p>
    <w:p w:rsidR="00D22AFD" w:rsidRPr="000B7BB4" w:rsidRDefault="00D22AFD" w:rsidP="00D22AFD">
      <w:pPr>
        <w:pStyle w:val="Text4"/>
        <w:tabs>
          <w:tab w:val="right" w:pos="9356"/>
        </w:tabs>
        <w:rPr>
          <w:lang w:val="fr-BE"/>
        </w:rPr>
      </w:pPr>
      <w:r w:rsidRPr="000B7BB4">
        <w:rPr>
          <w:lang w:val="fr-BE"/>
        </w:rPr>
        <w:t>+ COR 1</w:t>
      </w:r>
    </w:p>
    <w:p w:rsidR="00D22AFD" w:rsidRPr="0084352F" w:rsidRDefault="00D22AFD" w:rsidP="00D22AFD">
      <w:pPr>
        <w:pStyle w:val="Text3"/>
        <w:rPr>
          <w:lang w:val="fr-BE"/>
        </w:rPr>
      </w:pPr>
      <w:r w:rsidRPr="0084352F">
        <w:rPr>
          <w:lang w:val="fr-BE"/>
        </w:rPr>
        <w:t xml:space="preserve">8537/15 CONSOM 74 MI 286 TOUR 5 JUSTCIV 95 CODEC 6448969/15 </w:t>
      </w:r>
    </w:p>
    <w:p w:rsidR="00D22AFD" w:rsidRPr="000B7BB4" w:rsidRDefault="00D22AFD" w:rsidP="00D22AFD">
      <w:pPr>
        <w:pStyle w:val="Text5"/>
        <w:rPr>
          <w:lang w:val="fr-BE"/>
        </w:rPr>
      </w:pPr>
      <w:r w:rsidRPr="000B7BB4">
        <w:rPr>
          <w:lang w:val="fr-BE"/>
        </w:rPr>
        <w:t>CONSOM 82 MI 319 TOUR 7 JUSTCIV 119 CODEC 732</w:t>
      </w:r>
    </w:p>
    <w:p w:rsidR="00D22AFD" w:rsidRPr="000B7BB4" w:rsidRDefault="00D22AFD" w:rsidP="00D22AFD">
      <w:pPr>
        <w:pStyle w:val="Text3"/>
        <w:rPr>
          <w:lang w:val="fr-BE"/>
        </w:rPr>
      </w:pPr>
      <w:r w:rsidRPr="000B7BB4">
        <w:rPr>
          <w:lang w:val="fr-BE"/>
        </w:rPr>
        <w:t>8969/15 CONSOM 82 MI 319 TOUR 7 JUSTCIV 119 CODEC 732</w:t>
      </w:r>
    </w:p>
    <w:p w:rsidR="00D22AFD" w:rsidRPr="0084352F" w:rsidRDefault="00D22AFD" w:rsidP="00D22AFD">
      <w:pPr>
        <w:pStyle w:val="Text4"/>
        <w:tabs>
          <w:tab w:val="right" w:pos="9356"/>
        </w:tabs>
      </w:pPr>
      <w:r w:rsidRPr="0084352F">
        <w:t>+ COR 1</w:t>
      </w:r>
    </w:p>
    <w:p w:rsidR="00B86C52" w:rsidRPr="002A1C98" w:rsidRDefault="00B86C52" w:rsidP="004A68F2">
      <w:pPr>
        <w:pStyle w:val="Text1"/>
        <w:spacing w:before="240" w:line="360" w:lineRule="auto"/>
      </w:pPr>
      <w:r w:rsidRPr="002A1C98">
        <w:rPr>
          <w:u w:val="single"/>
        </w:rPr>
        <w:t>The Council</w:t>
      </w:r>
      <w:r w:rsidRPr="002A1C98">
        <w:t xml:space="preserve"> by qualified majority adopted the political agreement set out in doc</w:t>
      </w:r>
      <w:r w:rsidR="004A68F2">
        <w:t>. </w:t>
      </w:r>
      <w:r w:rsidRPr="002A1C98">
        <w:t xml:space="preserve">8969/15. </w:t>
      </w:r>
    </w:p>
    <w:p w:rsidR="00B86C52" w:rsidRDefault="00B86C52" w:rsidP="00475D66">
      <w:pPr>
        <w:pStyle w:val="Text1"/>
        <w:spacing w:before="240" w:line="360" w:lineRule="auto"/>
      </w:pPr>
      <w:r w:rsidRPr="002A1C98">
        <w:rPr>
          <w:u w:val="single"/>
        </w:rPr>
        <w:t>Seven Member States</w:t>
      </w:r>
      <w:r w:rsidRPr="002A1C98">
        <w:t xml:space="preserve"> voted </w:t>
      </w:r>
      <w:r w:rsidRPr="004A68F2">
        <w:rPr>
          <w:rFonts w:asciiTheme="majorBidi" w:hAnsiTheme="majorBidi" w:cstheme="majorBidi"/>
        </w:rPr>
        <w:t>against</w:t>
      </w:r>
      <w:r w:rsidRPr="002A1C98">
        <w:t xml:space="preserve"> (AT, BE, EE, IE, MT, NL and SK) and made the statements as set o</w:t>
      </w:r>
      <w:r w:rsidR="00475D66">
        <w:t>ut</w:t>
      </w:r>
      <w:r w:rsidRPr="002A1C98">
        <w:t xml:space="preserve"> </w:t>
      </w:r>
      <w:r w:rsidR="001A4E0D">
        <w:t>hereafter</w:t>
      </w:r>
      <w:r w:rsidRPr="002A1C98">
        <w:t>.</w:t>
      </w:r>
    </w:p>
    <w:p w:rsidR="001A4E0D" w:rsidRPr="001A4E0D" w:rsidRDefault="001A4E0D" w:rsidP="001A4E0D">
      <w:pPr>
        <w:pStyle w:val="Text1"/>
        <w:spacing w:before="240"/>
        <w:rPr>
          <w:b/>
          <w:bCs/>
          <w:u w:val="single"/>
        </w:rPr>
      </w:pPr>
      <w:r>
        <w:rPr>
          <w:b/>
          <w:bCs/>
          <w:u w:val="single"/>
        </w:rPr>
        <w:t>S</w:t>
      </w:r>
      <w:r w:rsidRPr="001A4E0D">
        <w:rPr>
          <w:b/>
          <w:bCs/>
          <w:u w:val="single"/>
        </w:rPr>
        <w:t xml:space="preserve">tatement by </w:t>
      </w:r>
      <w:r>
        <w:rPr>
          <w:b/>
          <w:bCs/>
          <w:u w:val="single"/>
        </w:rPr>
        <w:t>B</w:t>
      </w:r>
      <w:r w:rsidRPr="001A4E0D">
        <w:rPr>
          <w:b/>
          <w:bCs/>
          <w:u w:val="single"/>
        </w:rPr>
        <w:t xml:space="preserve">elgium, </w:t>
      </w:r>
      <w:r>
        <w:rPr>
          <w:b/>
          <w:bCs/>
          <w:u w:val="single"/>
        </w:rPr>
        <w:t>E</w:t>
      </w:r>
      <w:r w:rsidRPr="001A4E0D">
        <w:rPr>
          <w:b/>
          <w:bCs/>
          <w:u w:val="single"/>
        </w:rPr>
        <w:t xml:space="preserve">stonia, </w:t>
      </w:r>
      <w:r>
        <w:rPr>
          <w:b/>
          <w:bCs/>
          <w:u w:val="single"/>
        </w:rPr>
        <w:t>I</w:t>
      </w:r>
      <w:r w:rsidRPr="001A4E0D">
        <w:rPr>
          <w:b/>
          <w:bCs/>
          <w:u w:val="single"/>
        </w:rPr>
        <w:t xml:space="preserve">reland, </w:t>
      </w:r>
      <w:r>
        <w:rPr>
          <w:b/>
          <w:bCs/>
          <w:u w:val="single"/>
        </w:rPr>
        <w:t>M</w:t>
      </w:r>
      <w:r w:rsidRPr="001A4E0D">
        <w:rPr>
          <w:b/>
          <w:bCs/>
          <w:u w:val="single"/>
        </w:rPr>
        <w:t xml:space="preserve">alta, </w:t>
      </w:r>
      <w:r>
        <w:rPr>
          <w:b/>
          <w:bCs/>
          <w:u w:val="single"/>
        </w:rPr>
        <w:t>T</w:t>
      </w:r>
      <w:r w:rsidRPr="001A4E0D">
        <w:rPr>
          <w:b/>
          <w:bCs/>
          <w:u w:val="single"/>
        </w:rPr>
        <w:t xml:space="preserve">he </w:t>
      </w:r>
      <w:r>
        <w:rPr>
          <w:b/>
          <w:bCs/>
          <w:u w:val="single"/>
        </w:rPr>
        <w:t>N</w:t>
      </w:r>
      <w:r w:rsidRPr="001A4E0D">
        <w:rPr>
          <w:b/>
          <w:bCs/>
          <w:u w:val="single"/>
        </w:rPr>
        <w:t xml:space="preserve">etherlands and </w:t>
      </w:r>
      <w:r>
        <w:rPr>
          <w:b/>
          <w:bCs/>
          <w:u w:val="single"/>
        </w:rPr>
        <w:t>S</w:t>
      </w:r>
      <w:r w:rsidRPr="001A4E0D">
        <w:rPr>
          <w:b/>
          <w:bCs/>
          <w:u w:val="single"/>
        </w:rPr>
        <w:t>lovakia</w:t>
      </w:r>
    </w:p>
    <w:p w:rsidR="001A4E0D" w:rsidRPr="00A15562" w:rsidRDefault="001A4E0D" w:rsidP="00C90421">
      <w:pPr>
        <w:pStyle w:val="Point1231"/>
        <w:numPr>
          <w:ilvl w:val="2"/>
          <w:numId w:val="25"/>
        </w:numPr>
        <w:spacing w:before="160"/>
      </w:pPr>
      <w:r w:rsidRPr="00A15562">
        <w:t>We do acknowledge that the old package travel directive is in need of revision due to enormous changes in the travel market. We support the improvement of consumer protection, where needed, e.g. in the field of dynamic packages. We also support insolvency protection where packages are concerned.</w:t>
      </w:r>
    </w:p>
    <w:p w:rsidR="001A4E0D" w:rsidRPr="00A15562" w:rsidRDefault="001A4E0D" w:rsidP="001A4E0D">
      <w:pPr>
        <w:pStyle w:val="Point1231"/>
        <w:spacing w:before="160"/>
      </w:pPr>
      <w:r w:rsidRPr="00A15562">
        <w:t>However, we do have questions regarding the way this revision has worked out. Regulation needs to be smart and self-explanatory and must be enforceable. We have strong doubts whether this is the case with this proposal.</w:t>
      </w:r>
    </w:p>
    <w:p w:rsidR="001A4E0D" w:rsidRPr="00A15562" w:rsidRDefault="001A4E0D" w:rsidP="001A4E0D">
      <w:pPr>
        <w:pStyle w:val="Point1231"/>
        <w:spacing w:before="160"/>
      </w:pPr>
      <w:r w:rsidRPr="00A15562">
        <w:t xml:space="preserve">A first point we want to raise regards the level of harmonization. The directive states that the target is maximum harmonization. In reality however there are numerous enabling clauses inserted allowing all kinds of derogations or choices. This is not the way forward to create an internal market for package travels. </w:t>
      </w:r>
    </w:p>
    <w:p w:rsidR="001A4E0D" w:rsidRPr="00A15562" w:rsidRDefault="001A4E0D" w:rsidP="005A3A33">
      <w:pPr>
        <w:pStyle w:val="Point1231"/>
        <w:spacing w:before="160"/>
      </w:pPr>
      <w:r w:rsidRPr="00A15562">
        <w:t>A second point is that, although we acknowledge that there is a difference between a package, a linked travel arrangement (LTA) and single travel services, the real problem is that providers and/or consumers might not be aware of the fact that they are selling/buying a package, a LTA or none or both. However, in the two former cases all kinds of legal rights and obligations are becoming applicable and in those cases a provider has to take out insolvency protection. To make things more complicated, different protections apply depending on the product sold which in the end might even result in the same protection being taken out twice, which has of course a bearing on the price the traveller has to pay.</w:t>
      </w:r>
    </w:p>
    <w:p w:rsidR="001A4E0D" w:rsidRPr="00A15562" w:rsidRDefault="001A4E0D" w:rsidP="005A3A33">
      <w:pPr>
        <w:pStyle w:val="Point1231"/>
        <w:pageBreakBefore/>
        <w:spacing w:before="160"/>
      </w:pPr>
      <w:r w:rsidRPr="00A15562">
        <w:lastRenderedPageBreak/>
        <w:t>Another point is that the tourist industry consists mainly of a great number of small and medium sized enterprises (SMEs. These SMEs will bear the brunt of the problems connected with packages, LTAs and travel services sold separately. In special cases they might even be obliged to take out insolvency protection on behalf of a far larger provider than themselves. Regarding this point, a level playing field with third country operators is also important. Yet the mandatory insolvency protection requirement for third country operators is unenforceable and consequently may distort competition. Furthermore, the proposal’s potential for negative impact on airline services is also a concern, in particular for Member States whose tourism sector is more dependent on air transport. Given all this we fear that this proposal will not contribute to a more thriving tourist industry.</w:t>
      </w:r>
    </w:p>
    <w:p w:rsidR="001A4E0D" w:rsidRPr="00A15562" w:rsidRDefault="001A4E0D" w:rsidP="001A4E0D">
      <w:pPr>
        <w:pStyle w:val="Point1231"/>
        <w:spacing w:before="160"/>
      </w:pPr>
      <w:r w:rsidRPr="00A15562">
        <w:t>In our view, aspects of this proposal are at odds with the aims of the Digital Single Market Strategy which seeks to overcome barriers to the full utilization of the internet and digital technologies for the benefit of consumers and businesses alike. The proposal risks stifling innovation and hindering the competitiveness of our tourism sector, ultimately creating higher prices and less choice for consumers.</w:t>
      </w:r>
    </w:p>
    <w:p w:rsidR="001A4E0D" w:rsidRPr="00A15562" w:rsidRDefault="001A4E0D" w:rsidP="001A4E0D">
      <w:pPr>
        <w:pStyle w:val="Point1231"/>
        <w:spacing w:before="160"/>
      </w:pPr>
      <w:r w:rsidRPr="00A15562">
        <w:t>All the above indicates that the compromise proposals do not contribute to a workable and enforceable solution. Nor is it contributing to a thriving and flourishing tourist industry, an industry dominated by SMEs. Therefore we cannot support this proposal."</w:t>
      </w:r>
    </w:p>
    <w:p w:rsidR="001A4E0D" w:rsidRPr="001A4E0D" w:rsidRDefault="001A4E0D" w:rsidP="001A4E0D">
      <w:pPr>
        <w:pStyle w:val="Text1"/>
        <w:spacing w:before="480"/>
        <w:rPr>
          <w:b/>
          <w:bCs/>
          <w:u w:val="single"/>
        </w:rPr>
      </w:pPr>
      <w:r>
        <w:rPr>
          <w:b/>
          <w:bCs/>
          <w:u w:val="single"/>
        </w:rPr>
        <w:t>S</w:t>
      </w:r>
      <w:r w:rsidRPr="001A4E0D">
        <w:rPr>
          <w:b/>
          <w:bCs/>
          <w:u w:val="single"/>
        </w:rPr>
        <w:t xml:space="preserve">tatement by </w:t>
      </w:r>
      <w:r>
        <w:rPr>
          <w:b/>
          <w:bCs/>
          <w:u w:val="single"/>
        </w:rPr>
        <w:t>A</w:t>
      </w:r>
      <w:r w:rsidRPr="001A4E0D">
        <w:rPr>
          <w:b/>
          <w:bCs/>
          <w:u w:val="single"/>
        </w:rPr>
        <w:t>ustria</w:t>
      </w:r>
    </w:p>
    <w:p w:rsidR="001A4E0D" w:rsidRPr="00A15562" w:rsidRDefault="001A4E0D" w:rsidP="001A4E0D">
      <w:pPr>
        <w:pStyle w:val="Text1"/>
        <w:spacing w:before="160"/>
        <w:rPr>
          <w:rFonts w:eastAsia="Calibri"/>
        </w:rPr>
      </w:pPr>
      <w:r w:rsidRPr="00A15562">
        <w:rPr>
          <w:rFonts w:eastAsia="Calibri"/>
        </w:rPr>
        <w:t>"Clear, simple, practical and necessary legislation should lie at the core of EU policy making. This is especially important for small and medium sized enterprises which usually do not have the means for an advanced legal expertise and therefore often struggle to keep track of legislative changes. In that sense, smart regulation plays a crucial role for our economic framework conditions.</w:t>
      </w:r>
    </w:p>
    <w:p w:rsidR="001A4E0D" w:rsidRPr="00A15562" w:rsidRDefault="001A4E0D" w:rsidP="001A4E0D">
      <w:pPr>
        <w:pStyle w:val="Text1"/>
        <w:spacing w:before="160"/>
        <w:rPr>
          <w:rFonts w:asciiTheme="majorBidi" w:eastAsia="Calibri" w:hAnsiTheme="majorBidi" w:cstheme="majorBidi"/>
          <w:bCs/>
        </w:rPr>
      </w:pPr>
      <w:r w:rsidRPr="00A15562">
        <w:rPr>
          <w:rFonts w:asciiTheme="majorBidi" w:eastAsia="Calibri" w:hAnsiTheme="majorBidi" w:cstheme="majorBidi"/>
        </w:rPr>
        <w:t xml:space="preserve">The tourism sector contributes a substantial share to the Austrian GDP and is therefore of utmost </w:t>
      </w:r>
      <w:r w:rsidRPr="001A4E0D">
        <w:rPr>
          <w:rFonts w:eastAsia="Calibri"/>
        </w:rPr>
        <w:t>economical</w:t>
      </w:r>
      <w:r w:rsidRPr="00A15562">
        <w:rPr>
          <w:rFonts w:asciiTheme="majorBidi" w:eastAsia="Calibri" w:hAnsiTheme="majorBidi" w:cstheme="majorBidi"/>
        </w:rPr>
        <w:t xml:space="preserve"> importance. We still have severe doubts on the final text and we fear that it </w:t>
      </w:r>
      <w:r w:rsidRPr="00A15562">
        <w:rPr>
          <w:rFonts w:asciiTheme="majorBidi" w:eastAsia="Calibri" w:hAnsiTheme="majorBidi" w:cstheme="majorBidi"/>
          <w:bCs/>
        </w:rPr>
        <w:t>provides severe ramifications for small and medium sized accommodation providers.</w:t>
      </w:r>
    </w:p>
    <w:p w:rsidR="001A4E0D" w:rsidRPr="00A15562" w:rsidRDefault="001A4E0D" w:rsidP="001A4E0D">
      <w:pPr>
        <w:pStyle w:val="Text1"/>
        <w:spacing w:before="160"/>
        <w:rPr>
          <w:rFonts w:asciiTheme="majorBidi" w:eastAsia="Calibri" w:hAnsiTheme="majorBidi" w:cstheme="majorBidi"/>
          <w:bCs/>
        </w:rPr>
      </w:pPr>
      <w:r w:rsidRPr="00A15562">
        <w:rPr>
          <w:rFonts w:asciiTheme="majorBidi" w:eastAsia="Calibri" w:hAnsiTheme="majorBidi" w:cstheme="majorBidi"/>
          <w:bCs/>
        </w:rPr>
        <w:t xml:space="preserve">Service providers offering accommodation often deal with customer decisions for certain separate services </w:t>
      </w:r>
      <w:r w:rsidRPr="001A4E0D">
        <w:rPr>
          <w:rFonts w:eastAsia="Calibri"/>
        </w:rPr>
        <w:t>after</w:t>
      </w:r>
      <w:r w:rsidRPr="00A15562">
        <w:rPr>
          <w:rFonts w:asciiTheme="majorBidi" w:eastAsia="Calibri" w:hAnsiTheme="majorBidi" w:cstheme="majorBidi"/>
          <w:bCs/>
        </w:rPr>
        <w:t xml:space="preserve"> the customer has already agreed to pay the accommodation without a certain offer by the service provider. </w:t>
      </w:r>
      <w:r w:rsidRPr="00A15562">
        <w:rPr>
          <w:rFonts w:asciiTheme="majorBidi" w:eastAsia="Calibri" w:hAnsiTheme="majorBidi" w:cstheme="majorBidi"/>
        </w:rPr>
        <w:t>These issues have frequently been raised by AT on a technical and political level, also in writing. H</w:t>
      </w:r>
      <w:r w:rsidRPr="00A15562">
        <w:rPr>
          <w:rFonts w:asciiTheme="majorBidi" w:eastAsia="Calibri" w:hAnsiTheme="majorBidi" w:cstheme="majorBidi"/>
          <w:bCs/>
        </w:rPr>
        <w:t>owever, the final wording still not clear enough.</w:t>
      </w:r>
    </w:p>
    <w:p w:rsidR="001A4E0D" w:rsidRPr="001A4E0D" w:rsidRDefault="001A4E0D" w:rsidP="001A4E0D">
      <w:pPr>
        <w:pStyle w:val="Text1"/>
        <w:spacing w:before="160"/>
        <w:rPr>
          <w:rFonts w:asciiTheme="majorBidi" w:eastAsia="Calibri" w:hAnsiTheme="majorBidi" w:cstheme="majorBidi"/>
        </w:rPr>
      </w:pPr>
      <w:r w:rsidRPr="00A15562">
        <w:rPr>
          <w:rFonts w:asciiTheme="majorBidi" w:eastAsia="Calibri" w:hAnsiTheme="majorBidi" w:cstheme="majorBidi"/>
        </w:rPr>
        <w:t xml:space="preserve">Therefore </w:t>
      </w:r>
      <w:r w:rsidRPr="001A4E0D">
        <w:rPr>
          <w:rFonts w:eastAsia="Calibri"/>
        </w:rPr>
        <w:t>Austria</w:t>
      </w:r>
      <w:r w:rsidRPr="00A15562">
        <w:rPr>
          <w:rFonts w:asciiTheme="majorBidi" w:eastAsia="Calibri" w:hAnsiTheme="majorBidi" w:cstheme="majorBidi"/>
        </w:rPr>
        <w:t xml:space="preserve"> cannot support today’s political agreement."</w:t>
      </w:r>
    </w:p>
    <w:p w:rsidR="00D22AFD" w:rsidRPr="00D22AFD" w:rsidRDefault="00D22AFD" w:rsidP="00D22AFD">
      <w:pPr>
        <w:pStyle w:val="PointManual"/>
        <w:pageBreakBefore/>
        <w:rPr>
          <w:rFonts w:asciiTheme="majorBidi" w:hAnsiTheme="majorBidi" w:cstheme="majorBidi"/>
          <w:b/>
          <w:bCs/>
        </w:rPr>
      </w:pPr>
      <w:r w:rsidRPr="00D22AFD">
        <w:rPr>
          <w:rFonts w:asciiTheme="majorBidi" w:hAnsiTheme="majorBidi" w:cstheme="majorBidi"/>
          <w:b/>
          <w:bCs/>
        </w:rPr>
        <w:lastRenderedPageBreak/>
        <w:t>5.</w:t>
      </w:r>
      <w:r w:rsidRPr="00D22AFD">
        <w:rPr>
          <w:rFonts w:asciiTheme="majorBidi" w:hAnsiTheme="majorBidi" w:cstheme="majorBidi"/>
          <w:b/>
          <w:bCs/>
        </w:rPr>
        <w:tab/>
        <w:t>Product Safety Package</w:t>
      </w:r>
    </w:p>
    <w:p w:rsidR="00D22AFD" w:rsidRPr="0084352F" w:rsidRDefault="00D22AFD" w:rsidP="00C90421">
      <w:pPr>
        <w:pStyle w:val="Pointabc1"/>
        <w:numPr>
          <w:ilvl w:val="3"/>
          <w:numId w:val="3"/>
        </w:numPr>
      </w:pPr>
      <w:r w:rsidRPr="00A72BE6">
        <w:rPr>
          <w:b/>
          <w:bCs/>
        </w:rPr>
        <w:t>Proposal for a Regulation of the European Parliament and of the Council on consumer product safety and repealing Council Directive 87/357/EEC and Directive 2001/95/EC</w:t>
      </w:r>
      <w:r w:rsidRPr="0084352F">
        <w:t xml:space="preserve"> </w:t>
      </w:r>
      <w:r>
        <w:rPr>
          <w:rFonts w:asciiTheme="majorBidi" w:hAnsiTheme="majorBidi" w:cstheme="majorBidi"/>
          <w:b/>
          <w:bCs/>
        </w:rPr>
        <w:t>[</w:t>
      </w:r>
      <w:r w:rsidRPr="0084352F">
        <w:rPr>
          <w:rFonts w:asciiTheme="majorBidi" w:hAnsiTheme="majorBidi" w:cstheme="majorBidi"/>
          <w:b/>
          <w:bCs/>
        </w:rPr>
        <w:t>First</w:t>
      </w:r>
      <w:r>
        <w:rPr>
          <w:rFonts w:asciiTheme="majorBidi" w:hAnsiTheme="majorBidi" w:cstheme="majorBidi"/>
          <w:b/>
          <w:bCs/>
        </w:rPr>
        <w:t> </w:t>
      </w:r>
      <w:r w:rsidRPr="0084352F">
        <w:rPr>
          <w:rFonts w:asciiTheme="majorBidi" w:hAnsiTheme="majorBidi" w:cstheme="majorBidi"/>
          <w:b/>
          <w:bCs/>
        </w:rPr>
        <w:t>reading</w:t>
      </w:r>
      <w:r>
        <w:rPr>
          <w:rFonts w:asciiTheme="majorBidi" w:hAnsiTheme="majorBidi" w:cstheme="majorBidi"/>
          <w:b/>
          <w:bCs/>
        </w:rPr>
        <w:t>]</w:t>
      </w:r>
    </w:p>
    <w:p w:rsidR="00D22AFD" w:rsidRPr="0084352F" w:rsidRDefault="00D22AFD" w:rsidP="00D22AFD">
      <w:pPr>
        <w:pStyle w:val="Text2"/>
        <w:rPr>
          <w:i/>
          <w:iCs/>
        </w:rPr>
      </w:pPr>
      <w:r w:rsidRPr="0084352F">
        <w:rPr>
          <w:i/>
          <w:iCs/>
        </w:rPr>
        <w:t>(Legal basis proposed by the Commission: Article 114 TFEU)</w:t>
      </w:r>
    </w:p>
    <w:p w:rsidR="00D22AFD" w:rsidRPr="000B7BB4" w:rsidRDefault="00D22AFD" w:rsidP="00D22AFD">
      <w:pPr>
        <w:pStyle w:val="Text2"/>
        <w:rPr>
          <w:i/>
          <w:iCs/>
          <w:lang w:val="fr-BE"/>
        </w:rPr>
      </w:pPr>
      <w:r w:rsidRPr="000B7BB4">
        <w:rPr>
          <w:i/>
          <w:iCs/>
          <w:lang w:val="fr-BE"/>
        </w:rPr>
        <w:t>Interinstitutional file: 2013/0049 (COD)</w:t>
      </w:r>
    </w:p>
    <w:p w:rsidR="00D22AFD" w:rsidRPr="000B7BB4" w:rsidRDefault="00D22AFD" w:rsidP="00D22AFD">
      <w:pPr>
        <w:pStyle w:val="Text3"/>
        <w:rPr>
          <w:lang w:val="fr-BE"/>
        </w:rPr>
      </w:pPr>
      <w:r w:rsidRPr="000B7BB4">
        <w:rPr>
          <w:lang w:val="fr-BE"/>
        </w:rPr>
        <w:t>5892/13 ENT 30 MI 66 CONSOM 1</w:t>
      </w:r>
      <w:r w:rsidR="00B86C52">
        <w:rPr>
          <w:lang w:val="fr-BE"/>
        </w:rPr>
        <w:t>5 COMPET 89 CODEC 191 UD 48</w:t>
      </w:r>
    </w:p>
    <w:p w:rsidR="00D22AFD" w:rsidRPr="000B7BB4" w:rsidRDefault="00D22AFD" w:rsidP="00D22AFD">
      <w:pPr>
        <w:pStyle w:val="Text5"/>
        <w:tabs>
          <w:tab w:val="right" w:pos="9356"/>
        </w:tabs>
        <w:rPr>
          <w:lang w:val="fr-BE"/>
        </w:rPr>
      </w:pPr>
      <w:r w:rsidRPr="000B7BB4">
        <w:rPr>
          <w:lang w:val="fr-BE"/>
        </w:rPr>
        <w:t>CHIMIE 22 COMER 45</w:t>
      </w:r>
    </w:p>
    <w:p w:rsidR="00D22AFD" w:rsidRPr="000B7BB4" w:rsidRDefault="00B86C52" w:rsidP="00D22AFD">
      <w:pPr>
        <w:pStyle w:val="Text4"/>
        <w:tabs>
          <w:tab w:val="right" w:pos="9356"/>
        </w:tabs>
        <w:rPr>
          <w:lang w:val="fr-BE"/>
        </w:rPr>
      </w:pPr>
      <w:r>
        <w:rPr>
          <w:lang w:val="fr-BE"/>
        </w:rPr>
        <w:t>+ COR 1</w:t>
      </w:r>
    </w:p>
    <w:p w:rsidR="00D22AFD" w:rsidRPr="000B7BB4" w:rsidRDefault="00D22AFD" w:rsidP="00D22AFD">
      <w:pPr>
        <w:pStyle w:val="Text3"/>
        <w:rPr>
          <w:lang w:val="fr-BE"/>
        </w:rPr>
      </w:pPr>
      <w:r w:rsidRPr="000B7BB4">
        <w:rPr>
          <w:lang w:val="fr-BE"/>
        </w:rPr>
        <w:t xml:space="preserve">9096/15 ENT 91 MI 337 CONSOM 87 COMPET 242 CODEC 760 UD 119 </w:t>
      </w:r>
    </w:p>
    <w:p w:rsidR="00D22AFD" w:rsidRPr="0084352F" w:rsidRDefault="00D22AFD" w:rsidP="00D22AFD">
      <w:pPr>
        <w:pStyle w:val="Text5"/>
      </w:pPr>
      <w:r w:rsidRPr="0084352F">
        <w:t>CHIMIE 28 COMER 72</w:t>
      </w:r>
    </w:p>
    <w:p w:rsidR="00D22AFD" w:rsidRPr="00A72BE6" w:rsidRDefault="00D22AFD" w:rsidP="00D22AFD">
      <w:pPr>
        <w:pStyle w:val="Pointabc1"/>
        <w:rPr>
          <w:b/>
          <w:bCs/>
        </w:rPr>
      </w:pPr>
      <w:r w:rsidRPr="00A72BE6">
        <w:rPr>
          <w:b/>
          <w:bCs/>
        </w:rPr>
        <w:t xml:space="preserve">Proposal for a Regulation of the European Parliament and of the Council on market surveillance of products and amending Council Directives 89/686/EEC and 93/15/EEC, and Directives 94/9/EC, 94/25/EC, 95/16/EC, 97/23/EC, 1999/5/EC, 2000/9/EC, 2000/14/EC, 2001/95/EC, 2004/108/EC, 2006/42/EC, 2006/95/EC, 2007/23/EC, 2008/57/EC, 2009/48/EC, 2009/105/EC, 2009/142/EC, 2011/65/EU, Regulation (EU) </w:t>
      </w:r>
      <w:r>
        <w:rPr>
          <w:b/>
          <w:bCs/>
        </w:rPr>
        <w:t>No </w:t>
      </w:r>
      <w:r w:rsidRPr="00A72BE6">
        <w:rPr>
          <w:b/>
          <w:bCs/>
        </w:rPr>
        <w:t xml:space="preserve">305/2011, Regulation (EU) </w:t>
      </w:r>
      <w:r>
        <w:rPr>
          <w:b/>
          <w:bCs/>
        </w:rPr>
        <w:t>No </w:t>
      </w:r>
      <w:r w:rsidRPr="00A72BE6">
        <w:rPr>
          <w:b/>
          <w:bCs/>
        </w:rPr>
        <w:t xml:space="preserve">764/2008 and Regulation (EC) </w:t>
      </w:r>
      <w:r>
        <w:rPr>
          <w:b/>
          <w:bCs/>
        </w:rPr>
        <w:t>No </w:t>
      </w:r>
      <w:r w:rsidRPr="00A72BE6">
        <w:rPr>
          <w:b/>
          <w:bCs/>
        </w:rPr>
        <w:t xml:space="preserve">765/2008 of the European Parliament and of the Council </w:t>
      </w:r>
      <w:r w:rsidRPr="00A72BE6">
        <w:rPr>
          <w:rFonts w:asciiTheme="majorBidi" w:hAnsiTheme="majorBidi" w:cstheme="majorBidi"/>
          <w:b/>
          <w:bCs/>
        </w:rPr>
        <w:t>[First reading]</w:t>
      </w:r>
    </w:p>
    <w:p w:rsidR="00D22AFD" w:rsidRPr="0084352F" w:rsidRDefault="00D22AFD" w:rsidP="00D22AFD">
      <w:pPr>
        <w:pStyle w:val="Text2"/>
        <w:rPr>
          <w:rFonts w:asciiTheme="majorBidi" w:hAnsiTheme="majorBidi" w:cstheme="majorBidi"/>
          <w:i/>
          <w:iCs/>
        </w:rPr>
      </w:pPr>
      <w:r w:rsidRPr="0084352F">
        <w:rPr>
          <w:rFonts w:asciiTheme="majorBidi" w:hAnsiTheme="majorBidi" w:cstheme="majorBidi"/>
          <w:i/>
          <w:iCs/>
          <w:color w:val="363636"/>
        </w:rPr>
        <w:t>(Legal basis proposed by the Commission: Articles 114 and 207 TFEU</w:t>
      </w:r>
    </w:p>
    <w:p w:rsidR="00D22AFD" w:rsidRPr="000B7BB4" w:rsidRDefault="00D22AFD" w:rsidP="00D22AFD">
      <w:pPr>
        <w:pStyle w:val="Text2"/>
        <w:rPr>
          <w:i/>
          <w:iCs/>
          <w:lang w:val="fr-BE"/>
        </w:rPr>
      </w:pPr>
      <w:r w:rsidRPr="000B7BB4">
        <w:rPr>
          <w:i/>
          <w:iCs/>
          <w:lang w:val="fr-BE"/>
        </w:rPr>
        <w:t>Interinstitutional file: 2013/0048 (COD)</w:t>
      </w:r>
    </w:p>
    <w:p w:rsidR="00D22AFD" w:rsidRPr="000B7BB4" w:rsidRDefault="00D22AFD" w:rsidP="00D22AFD">
      <w:pPr>
        <w:pStyle w:val="Text3"/>
        <w:tabs>
          <w:tab w:val="right" w:pos="9356"/>
        </w:tabs>
        <w:rPr>
          <w:lang w:val="fr-BE"/>
        </w:rPr>
      </w:pPr>
      <w:r w:rsidRPr="000B7BB4">
        <w:rPr>
          <w:lang w:val="fr-BE"/>
        </w:rPr>
        <w:t>5890/13 ENT 29 MI 65 CONSOM 14 COMPET 88 CODEC 190 UD 46</w:t>
      </w:r>
    </w:p>
    <w:p w:rsidR="00D22AFD" w:rsidRPr="0084352F" w:rsidRDefault="00D22AFD" w:rsidP="00D22AFD">
      <w:pPr>
        <w:pStyle w:val="Text5"/>
      </w:pPr>
      <w:r w:rsidRPr="0084352F">
        <w:t>CHIMIE 21 COMER 44</w:t>
      </w:r>
    </w:p>
    <w:p w:rsidR="00D22AFD" w:rsidRPr="0084352F" w:rsidRDefault="00D22AFD" w:rsidP="00D22AFD">
      <w:pPr>
        <w:pStyle w:val="Text4"/>
        <w:tabs>
          <w:tab w:val="right" w:pos="9356"/>
        </w:tabs>
      </w:pPr>
      <w:r w:rsidRPr="0084352F">
        <w:t>+ COR 1 (ro)</w:t>
      </w:r>
    </w:p>
    <w:p w:rsidR="00D22AFD" w:rsidRPr="0084352F" w:rsidRDefault="00D22AFD" w:rsidP="00D22AFD">
      <w:pPr>
        <w:pStyle w:val="Text4"/>
        <w:tabs>
          <w:tab w:val="right" w:pos="9356"/>
        </w:tabs>
      </w:pPr>
      <w:r w:rsidRPr="0084352F">
        <w:t>+ COR 2</w:t>
      </w:r>
    </w:p>
    <w:p w:rsidR="00D22AFD" w:rsidRPr="0084352F" w:rsidRDefault="00D22AFD" w:rsidP="00D22AFD">
      <w:pPr>
        <w:pStyle w:val="Text4"/>
        <w:tabs>
          <w:tab w:val="right" w:pos="9356"/>
        </w:tabs>
      </w:pPr>
      <w:r w:rsidRPr="0084352F">
        <w:t>+ REV 1 (pt)</w:t>
      </w:r>
    </w:p>
    <w:p w:rsidR="00D22AFD" w:rsidRPr="0084352F" w:rsidRDefault="00D22AFD" w:rsidP="00D22AFD">
      <w:pPr>
        <w:pStyle w:val="Text3"/>
      </w:pPr>
      <w:r w:rsidRPr="0084352F">
        <w:t xml:space="preserve">9095/15 ENT 90 MI 336 CONSOM 86 COMPET 241 CODEC 759 UD 118 </w:t>
      </w:r>
    </w:p>
    <w:p w:rsidR="00D22AFD" w:rsidRPr="0084352F" w:rsidRDefault="00D22AFD" w:rsidP="00D22AFD">
      <w:pPr>
        <w:pStyle w:val="Text5"/>
      </w:pPr>
      <w:r w:rsidRPr="0084352F">
        <w:t>CHIMIE 27 COMER 71</w:t>
      </w:r>
    </w:p>
    <w:p w:rsidR="00D22AFD" w:rsidRPr="0084352F" w:rsidRDefault="004A68F2" w:rsidP="00C90421">
      <w:pPr>
        <w:pStyle w:val="Dash1"/>
        <w:numPr>
          <w:ilvl w:val="0"/>
          <w:numId w:val="2"/>
        </w:numPr>
      </w:pPr>
      <w:r>
        <w:t>General approach</w:t>
      </w:r>
    </w:p>
    <w:p w:rsidR="00D22AFD" w:rsidRPr="0084352F" w:rsidRDefault="00D22AFD" w:rsidP="00D22AFD">
      <w:pPr>
        <w:pStyle w:val="Text3"/>
      </w:pPr>
      <w:r w:rsidRPr="0084352F">
        <w:t xml:space="preserve">9101/15 ENT 92 MI 338 CONSOM 88 COMPET 243 CODEC 761 UD 120 </w:t>
      </w:r>
    </w:p>
    <w:p w:rsidR="00D22AFD" w:rsidRPr="0084352F" w:rsidRDefault="00D22AFD" w:rsidP="00D22AFD">
      <w:pPr>
        <w:pStyle w:val="Text5"/>
      </w:pPr>
      <w:r w:rsidRPr="0084352F">
        <w:t>CHIMIE 29 COMER 73</w:t>
      </w:r>
    </w:p>
    <w:p w:rsidR="00B86C52" w:rsidRPr="002A1C98" w:rsidRDefault="00B86C52" w:rsidP="004A68F2">
      <w:pPr>
        <w:pStyle w:val="Text1"/>
        <w:spacing w:before="240" w:line="360" w:lineRule="auto"/>
        <w:rPr>
          <w:rFonts w:asciiTheme="majorBidi" w:hAnsiTheme="majorBidi" w:cstheme="majorBidi"/>
        </w:rPr>
      </w:pPr>
      <w:r w:rsidRPr="002A1C98">
        <w:rPr>
          <w:bCs/>
          <w:u w:val="single"/>
        </w:rPr>
        <w:t>The Council</w:t>
      </w:r>
      <w:r w:rsidRPr="002A1C98">
        <w:rPr>
          <w:bCs/>
        </w:rPr>
        <w:t xml:space="preserve"> </w:t>
      </w:r>
      <w:r w:rsidRPr="002A1C98">
        <w:rPr>
          <w:rFonts w:asciiTheme="majorBidi" w:hAnsiTheme="majorBidi" w:cstheme="majorBidi"/>
        </w:rPr>
        <w:t xml:space="preserve">had an </w:t>
      </w:r>
      <w:r w:rsidRPr="004A68F2">
        <w:t>exchange</w:t>
      </w:r>
      <w:r w:rsidRPr="002A1C98">
        <w:rPr>
          <w:rFonts w:asciiTheme="majorBidi" w:hAnsiTheme="majorBidi" w:cstheme="majorBidi"/>
        </w:rPr>
        <w:t xml:space="preserve"> of views, but did not agree a </w:t>
      </w:r>
      <w:r w:rsidR="004A68F2">
        <w:rPr>
          <w:rFonts w:asciiTheme="majorBidi" w:hAnsiTheme="majorBidi" w:cstheme="majorBidi"/>
        </w:rPr>
        <w:t>g</w:t>
      </w:r>
      <w:r w:rsidRPr="002A1C98">
        <w:rPr>
          <w:rFonts w:asciiTheme="majorBidi" w:hAnsiTheme="majorBidi" w:cstheme="majorBidi"/>
        </w:rPr>
        <w:t xml:space="preserve">eneral </w:t>
      </w:r>
      <w:r w:rsidR="004A68F2">
        <w:rPr>
          <w:rFonts w:asciiTheme="majorBidi" w:hAnsiTheme="majorBidi" w:cstheme="majorBidi"/>
        </w:rPr>
        <w:t>a</w:t>
      </w:r>
      <w:r w:rsidRPr="002A1C98">
        <w:rPr>
          <w:rFonts w:asciiTheme="majorBidi" w:hAnsiTheme="majorBidi" w:cstheme="majorBidi"/>
        </w:rPr>
        <w:t>pproach.</w:t>
      </w:r>
    </w:p>
    <w:p w:rsidR="00D22AFD" w:rsidRPr="00D22AFD" w:rsidRDefault="00D22AFD" w:rsidP="00B86C52">
      <w:pPr>
        <w:pStyle w:val="PointManual"/>
        <w:spacing w:before="840"/>
        <w:rPr>
          <w:b/>
          <w:bCs/>
        </w:rPr>
      </w:pPr>
      <w:r w:rsidRPr="00D22AFD">
        <w:rPr>
          <w:b/>
          <w:bCs/>
        </w:rPr>
        <w:t>6.</w:t>
      </w:r>
      <w:r w:rsidRPr="00D22AFD">
        <w:rPr>
          <w:b/>
          <w:bCs/>
        </w:rPr>
        <w:tab/>
        <w:t xml:space="preserve">Proposal for a Directive of the European Parliament and of the Council on single-member private limited liability companies </w:t>
      </w:r>
      <w:r w:rsidRPr="00D22AFD">
        <w:rPr>
          <w:rFonts w:asciiTheme="majorBidi" w:hAnsiTheme="majorBidi" w:cstheme="majorBidi"/>
          <w:b/>
          <w:bCs/>
        </w:rPr>
        <w:t>[First reading]</w:t>
      </w:r>
    </w:p>
    <w:p w:rsidR="00D22AFD" w:rsidRPr="0084352F" w:rsidRDefault="00D22AFD" w:rsidP="00D22AFD">
      <w:pPr>
        <w:pStyle w:val="Text1"/>
        <w:rPr>
          <w:rFonts w:asciiTheme="majorBidi" w:hAnsiTheme="majorBidi" w:cstheme="majorBidi"/>
          <w:i/>
          <w:iCs/>
        </w:rPr>
      </w:pPr>
      <w:r w:rsidRPr="0084352F">
        <w:rPr>
          <w:rFonts w:asciiTheme="majorBidi" w:hAnsiTheme="majorBidi" w:cstheme="majorBidi"/>
          <w:i/>
          <w:iCs/>
        </w:rPr>
        <w:t xml:space="preserve">(Legal </w:t>
      </w:r>
      <w:r w:rsidRPr="0084352F">
        <w:rPr>
          <w:i/>
          <w:iCs/>
        </w:rPr>
        <w:t>basis</w:t>
      </w:r>
      <w:r w:rsidRPr="0084352F">
        <w:rPr>
          <w:rFonts w:asciiTheme="majorBidi" w:hAnsiTheme="majorBidi" w:cstheme="majorBidi"/>
          <w:i/>
          <w:iCs/>
        </w:rPr>
        <w:t xml:space="preserve"> proposed by the Commission: Article 50 TFEU)</w:t>
      </w:r>
    </w:p>
    <w:p w:rsidR="00D22AFD" w:rsidRPr="0084352F" w:rsidRDefault="00D22AFD" w:rsidP="00D22AFD">
      <w:pPr>
        <w:pStyle w:val="PointManual1"/>
        <w:rPr>
          <w:rFonts w:asciiTheme="majorBidi" w:hAnsiTheme="majorBidi" w:cstheme="majorBidi"/>
          <w:i/>
          <w:iCs/>
        </w:rPr>
      </w:pPr>
      <w:r w:rsidRPr="0084352F">
        <w:rPr>
          <w:rFonts w:asciiTheme="majorBidi" w:hAnsiTheme="majorBidi" w:cstheme="majorBidi"/>
          <w:i/>
          <w:iCs/>
        </w:rPr>
        <w:t>Interinstitutional file: 2014/0120 (COD)</w:t>
      </w:r>
    </w:p>
    <w:p w:rsidR="00D22AFD" w:rsidRPr="0084352F" w:rsidRDefault="00D22AFD" w:rsidP="00D22AFD">
      <w:pPr>
        <w:pStyle w:val="Dash1"/>
        <w:rPr>
          <w:rFonts w:asciiTheme="majorBidi" w:hAnsiTheme="majorBidi" w:cstheme="majorBidi"/>
        </w:rPr>
      </w:pPr>
      <w:r w:rsidRPr="0084352F">
        <w:rPr>
          <w:rFonts w:asciiTheme="majorBidi" w:hAnsiTheme="majorBidi" w:cstheme="majorBidi"/>
        </w:rPr>
        <w:t>General approach</w:t>
      </w:r>
    </w:p>
    <w:p w:rsidR="00D22AFD" w:rsidRPr="0084352F" w:rsidRDefault="00D22AFD" w:rsidP="00D22AFD">
      <w:pPr>
        <w:pStyle w:val="Text3"/>
        <w:tabs>
          <w:tab w:val="right" w:pos="9356"/>
        </w:tabs>
      </w:pPr>
      <w:r w:rsidRPr="0084352F">
        <w:t>8842/14 DRS 52 CODEC 1088</w:t>
      </w:r>
    </w:p>
    <w:p w:rsidR="00D22AFD" w:rsidRPr="0084352F" w:rsidRDefault="00D22AFD" w:rsidP="00D22AFD">
      <w:pPr>
        <w:pStyle w:val="Text4"/>
        <w:tabs>
          <w:tab w:val="right" w:pos="9356"/>
        </w:tabs>
      </w:pPr>
      <w:r w:rsidRPr="0084352F">
        <w:t>+ ADD 1</w:t>
      </w:r>
    </w:p>
    <w:p w:rsidR="00D22AFD" w:rsidRPr="0084352F" w:rsidRDefault="00D22AFD" w:rsidP="00D22AFD">
      <w:pPr>
        <w:pStyle w:val="Text4"/>
        <w:tabs>
          <w:tab w:val="right" w:pos="9356"/>
        </w:tabs>
      </w:pPr>
      <w:r w:rsidRPr="0084352F">
        <w:t>+ ADD 2</w:t>
      </w:r>
    </w:p>
    <w:p w:rsidR="00D22AFD" w:rsidRDefault="00D22AFD" w:rsidP="00D22AFD">
      <w:pPr>
        <w:pStyle w:val="Text3"/>
      </w:pPr>
      <w:r w:rsidRPr="0084352F">
        <w:t>8811/15 DRS 39 CODEC 706</w:t>
      </w:r>
    </w:p>
    <w:p w:rsidR="00B86C52" w:rsidRPr="002A1C98" w:rsidRDefault="00B86C52" w:rsidP="004A68F2">
      <w:pPr>
        <w:pStyle w:val="Text1"/>
        <w:spacing w:before="240" w:line="360" w:lineRule="auto"/>
        <w:rPr>
          <w:rFonts w:asciiTheme="majorBidi" w:hAnsiTheme="majorBidi" w:cstheme="majorBidi"/>
        </w:rPr>
      </w:pPr>
      <w:r w:rsidRPr="002A1C98">
        <w:rPr>
          <w:rFonts w:asciiTheme="majorBidi" w:hAnsiTheme="majorBidi" w:cstheme="majorBidi"/>
          <w:u w:val="single"/>
        </w:rPr>
        <w:t>The Council</w:t>
      </w:r>
      <w:r w:rsidRPr="004A68F2">
        <w:rPr>
          <w:rFonts w:asciiTheme="majorBidi" w:hAnsiTheme="majorBidi" w:cstheme="majorBidi"/>
        </w:rPr>
        <w:t xml:space="preserve"> </w:t>
      </w:r>
      <w:r w:rsidRPr="002A1C98">
        <w:rPr>
          <w:rFonts w:asciiTheme="majorBidi" w:hAnsiTheme="majorBidi" w:cstheme="majorBidi"/>
        </w:rPr>
        <w:t xml:space="preserve">agreed on </w:t>
      </w:r>
      <w:r w:rsidRPr="004A68F2">
        <w:t>the</w:t>
      </w:r>
      <w:r w:rsidRPr="002A1C98">
        <w:rPr>
          <w:rFonts w:asciiTheme="majorBidi" w:hAnsiTheme="majorBidi" w:cstheme="majorBidi"/>
        </w:rPr>
        <w:t xml:space="preserve"> general approach as set out in doc. 9050/15.</w:t>
      </w:r>
    </w:p>
    <w:p w:rsidR="00024B98" w:rsidRPr="00024B98" w:rsidRDefault="00024B98" w:rsidP="00B86C52">
      <w:pPr>
        <w:pStyle w:val="PointManual"/>
        <w:pageBreakBefore/>
        <w:spacing w:before="840"/>
        <w:rPr>
          <w:rFonts w:asciiTheme="majorBidi" w:hAnsiTheme="majorBidi" w:cstheme="majorBidi"/>
          <w:b/>
          <w:bCs/>
        </w:rPr>
      </w:pPr>
      <w:bookmarkStart w:id="2" w:name="ControlPages"/>
      <w:bookmarkEnd w:id="2"/>
      <w:r w:rsidRPr="00024B98">
        <w:rPr>
          <w:rFonts w:asciiTheme="majorBidi" w:hAnsiTheme="majorBidi" w:cstheme="majorBidi"/>
          <w:b/>
          <w:bCs/>
        </w:rPr>
        <w:lastRenderedPageBreak/>
        <w:t>8.</w:t>
      </w:r>
      <w:r w:rsidRPr="00024B98">
        <w:rPr>
          <w:rFonts w:asciiTheme="majorBidi" w:hAnsiTheme="majorBidi" w:cstheme="majorBidi"/>
          <w:b/>
          <w:bCs/>
        </w:rPr>
        <w:tab/>
        <w:t>Any other business</w:t>
      </w:r>
    </w:p>
    <w:p w:rsidR="00024B98" w:rsidRPr="00A72BE6" w:rsidRDefault="00024B98" w:rsidP="00024B98">
      <w:pPr>
        <w:pStyle w:val="PointManual1"/>
        <w:spacing w:before="120"/>
        <w:rPr>
          <w:b/>
          <w:bCs/>
        </w:rPr>
      </w:pPr>
      <w:r w:rsidRPr="00A72BE6">
        <w:rPr>
          <w:b/>
          <w:bCs/>
        </w:rPr>
        <w:t>a)</w:t>
      </w:r>
      <w:r w:rsidRPr="00A72BE6">
        <w:rPr>
          <w:b/>
          <w:bCs/>
        </w:rPr>
        <w:tab/>
        <w:t>Current legislative proposal</w:t>
      </w:r>
    </w:p>
    <w:p w:rsidR="00024B98" w:rsidRPr="0084352F" w:rsidRDefault="00024B98" w:rsidP="00024B98">
      <w:pPr>
        <w:pStyle w:val="PointManual2"/>
        <w:rPr>
          <w:i/>
          <w:iCs/>
        </w:rPr>
      </w:pPr>
      <w:r w:rsidRPr="0084352F">
        <w:rPr>
          <w:i/>
          <w:iCs/>
        </w:rPr>
        <w:t>(Public deliberation in accordance with Article 16(8) of the Treaty on European Union)</w:t>
      </w:r>
    </w:p>
    <w:p w:rsidR="00024B98" w:rsidRPr="00A72BE6" w:rsidRDefault="00024B98" w:rsidP="00C90421">
      <w:pPr>
        <w:pStyle w:val="Bullet2"/>
        <w:numPr>
          <w:ilvl w:val="0"/>
          <w:numId w:val="1"/>
        </w:numPr>
        <w:spacing w:before="120"/>
        <w:rPr>
          <w:b/>
          <w:bCs/>
        </w:rPr>
      </w:pPr>
      <w:r w:rsidRPr="00A72BE6">
        <w:rPr>
          <w:b/>
          <w:bCs/>
        </w:rPr>
        <w:t xml:space="preserve">Trade mark Package </w:t>
      </w:r>
      <w:r w:rsidRPr="00A72BE6">
        <w:rPr>
          <w:rFonts w:asciiTheme="majorBidi" w:hAnsiTheme="majorBidi" w:cstheme="majorBidi"/>
          <w:b/>
          <w:bCs/>
        </w:rPr>
        <w:t>[First reading]</w:t>
      </w:r>
    </w:p>
    <w:p w:rsidR="00024B98" w:rsidRPr="0084352F" w:rsidRDefault="00024B98" w:rsidP="00024B98">
      <w:pPr>
        <w:pStyle w:val="PointManual3"/>
        <w:spacing w:before="60"/>
      </w:pPr>
      <w:r w:rsidRPr="0084352F">
        <w:t>i)</w:t>
      </w:r>
      <w:r w:rsidRPr="0084352F">
        <w:tab/>
        <w:t xml:space="preserve">Proposal for a Regulation of the European Parliament and of the Council amending Council Regulation (EC) </w:t>
      </w:r>
      <w:r>
        <w:t>No </w:t>
      </w:r>
      <w:r w:rsidRPr="0084352F">
        <w:t>207/2009 on the Community trade mark</w:t>
      </w:r>
    </w:p>
    <w:p w:rsidR="00024B98" w:rsidRPr="000B7BB4" w:rsidRDefault="00024B98" w:rsidP="00024B98">
      <w:pPr>
        <w:pStyle w:val="PointManual4"/>
        <w:rPr>
          <w:i/>
          <w:iCs/>
          <w:lang w:val="fr-BE"/>
        </w:rPr>
      </w:pPr>
      <w:r w:rsidRPr="000B7BB4">
        <w:rPr>
          <w:i/>
          <w:iCs/>
          <w:lang w:val="fr-BE"/>
        </w:rPr>
        <w:t>Interinstitutional file: 2013/0088 (COD)</w:t>
      </w:r>
    </w:p>
    <w:p w:rsidR="00024B98" w:rsidRPr="000B7BB4" w:rsidRDefault="00024B98" w:rsidP="00024B98">
      <w:pPr>
        <w:pStyle w:val="Text4"/>
        <w:tabs>
          <w:tab w:val="right" w:pos="9356"/>
        </w:tabs>
        <w:rPr>
          <w:lang w:val="fr-BE"/>
        </w:rPr>
      </w:pPr>
      <w:r w:rsidRPr="000B7BB4">
        <w:rPr>
          <w:lang w:val="fr-BE"/>
        </w:rPr>
        <w:t>8065/13 PI 51 CODEC 710</w:t>
      </w:r>
    </w:p>
    <w:p w:rsidR="00024B98" w:rsidRPr="0084352F" w:rsidRDefault="00024B98" w:rsidP="00024B98">
      <w:pPr>
        <w:pStyle w:val="Text5"/>
        <w:tabs>
          <w:tab w:val="right" w:pos="9356"/>
        </w:tabs>
      </w:pPr>
      <w:r w:rsidRPr="0084352F">
        <w:t>+ REV 1 (es)</w:t>
      </w:r>
    </w:p>
    <w:p w:rsidR="00024B98" w:rsidRPr="0084352F" w:rsidRDefault="00024B98" w:rsidP="00024B98">
      <w:pPr>
        <w:pStyle w:val="PointManual3"/>
      </w:pPr>
      <w:r w:rsidRPr="0084352F">
        <w:t>ii)</w:t>
      </w:r>
      <w:r w:rsidRPr="0084352F">
        <w:tab/>
        <w:t>Proposal for a Directive of the European Parliament and of the Council to approximate the laws of the Member States relating to trade marks  (Recast)</w:t>
      </w:r>
    </w:p>
    <w:p w:rsidR="00024B98" w:rsidRPr="000B7BB4" w:rsidRDefault="00024B98" w:rsidP="00024B98">
      <w:pPr>
        <w:pStyle w:val="PointManual4"/>
        <w:rPr>
          <w:i/>
          <w:iCs/>
          <w:lang w:val="fr-BE"/>
        </w:rPr>
      </w:pPr>
      <w:r w:rsidRPr="000B7BB4">
        <w:rPr>
          <w:i/>
          <w:iCs/>
          <w:lang w:val="fr-BE"/>
        </w:rPr>
        <w:t>Interinstitutional file: 2013/0089 (COD)</w:t>
      </w:r>
    </w:p>
    <w:p w:rsidR="00024B98" w:rsidRPr="000B7BB4" w:rsidRDefault="00024B98" w:rsidP="00024B98">
      <w:pPr>
        <w:pStyle w:val="Text4"/>
        <w:tabs>
          <w:tab w:val="right" w:pos="9356"/>
        </w:tabs>
        <w:rPr>
          <w:lang w:val="fr-BE"/>
        </w:rPr>
      </w:pPr>
      <w:r w:rsidRPr="000B7BB4">
        <w:rPr>
          <w:lang w:val="fr-BE"/>
        </w:rPr>
        <w:t>8066/13 RI 52 CODEC 711</w:t>
      </w:r>
    </w:p>
    <w:p w:rsidR="00024B98" w:rsidRPr="0084352F" w:rsidRDefault="00024B98" w:rsidP="00024B98">
      <w:pPr>
        <w:pStyle w:val="Text5"/>
        <w:tabs>
          <w:tab w:val="right" w:pos="9356"/>
        </w:tabs>
      </w:pPr>
      <w:r w:rsidRPr="0084352F">
        <w:t>+ REV 1 (de)</w:t>
      </w:r>
    </w:p>
    <w:p w:rsidR="00024B98" w:rsidRPr="0084352F" w:rsidRDefault="00024B98" w:rsidP="00C90421">
      <w:pPr>
        <w:pStyle w:val="Dash3"/>
        <w:numPr>
          <w:ilvl w:val="0"/>
          <w:numId w:val="4"/>
        </w:numPr>
      </w:pPr>
      <w:r w:rsidRPr="0084352F">
        <w:t>Information from the Presidency</w:t>
      </w:r>
    </w:p>
    <w:p w:rsidR="00B86C52" w:rsidRPr="002A1C98" w:rsidRDefault="00B86C52" w:rsidP="004A68F2">
      <w:pPr>
        <w:pStyle w:val="Text1"/>
        <w:spacing w:before="240" w:line="360" w:lineRule="auto"/>
      </w:pPr>
      <w:r w:rsidRPr="002A1C98">
        <w:rPr>
          <w:u w:val="single"/>
        </w:rPr>
        <w:t>The Council</w:t>
      </w:r>
      <w:r w:rsidRPr="004A68F2">
        <w:t xml:space="preserve"> </w:t>
      </w:r>
      <w:r w:rsidRPr="002A1C98">
        <w:t xml:space="preserve">took note of </w:t>
      </w:r>
      <w:r w:rsidRPr="004A68F2">
        <w:t>information</w:t>
      </w:r>
      <w:r w:rsidRPr="002A1C98">
        <w:t xml:space="preserve"> provided orally by the Presidency. </w:t>
      </w:r>
    </w:p>
    <w:p w:rsidR="00FC4670" w:rsidRPr="007A5277" w:rsidRDefault="00FC4670" w:rsidP="00963238">
      <w:pPr>
        <w:pStyle w:val="FinalLine"/>
      </w:pPr>
    </w:p>
    <w:sectPr w:rsidR="00FC4670" w:rsidRPr="007A5277" w:rsidSect="007A5277">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38" w:rsidRDefault="00963238" w:rsidP="00963238">
      <w:r>
        <w:separator/>
      </w:r>
    </w:p>
  </w:endnote>
  <w:endnote w:type="continuationSeparator" w:id="0">
    <w:p w:rsidR="00963238" w:rsidRDefault="00963238" w:rsidP="0096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77" w:rsidRPr="007A5277" w:rsidRDefault="007A5277" w:rsidP="007A5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A5277" w:rsidRPr="00D94637" w:rsidTr="007A5277">
      <w:trPr>
        <w:jc w:val="center"/>
      </w:trPr>
      <w:tc>
        <w:tcPr>
          <w:tcW w:w="5000" w:type="pct"/>
          <w:gridSpan w:val="7"/>
          <w:shd w:val="clear" w:color="auto" w:fill="auto"/>
          <w:tcMar>
            <w:top w:w="57" w:type="dxa"/>
          </w:tcMar>
        </w:tcPr>
        <w:p w:rsidR="007A5277" w:rsidRPr="00D94637" w:rsidRDefault="007A5277" w:rsidP="00D94637">
          <w:pPr>
            <w:pStyle w:val="FooterText"/>
            <w:pBdr>
              <w:top w:val="single" w:sz="4" w:space="1" w:color="auto"/>
            </w:pBdr>
            <w:spacing w:before="200"/>
            <w:rPr>
              <w:sz w:val="2"/>
              <w:szCs w:val="2"/>
            </w:rPr>
          </w:pPr>
          <w:bookmarkStart w:id="3" w:name="FOOTER_STANDARD"/>
        </w:p>
      </w:tc>
    </w:tr>
    <w:tr w:rsidR="007A5277" w:rsidRPr="00B310DC" w:rsidTr="007A5277">
      <w:trPr>
        <w:jc w:val="center"/>
      </w:trPr>
      <w:tc>
        <w:tcPr>
          <w:tcW w:w="2500" w:type="pct"/>
          <w:gridSpan w:val="2"/>
          <w:shd w:val="clear" w:color="auto" w:fill="auto"/>
          <w:tcMar>
            <w:top w:w="0" w:type="dxa"/>
          </w:tcMar>
        </w:tcPr>
        <w:p w:rsidR="007A5277" w:rsidRPr="00AD7BF2" w:rsidRDefault="007A5277" w:rsidP="004F54B2">
          <w:pPr>
            <w:pStyle w:val="FooterText"/>
          </w:pPr>
          <w:r>
            <w:t>9352/15</w:t>
          </w:r>
          <w:r w:rsidRPr="002511D8">
            <w:t xml:space="preserve"> </w:t>
          </w:r>
          <w:r>
            <w:t>ADD 1</w:t>
          </w:r>
        </w:p>
      </w:tc>
      <w:tc>
        <w:tcPr>
          <w:tcW w:w="625" w:type="pct"/>
          <w:shd w:val="clear" w:color="auto" w:fill="auto"/>
          <w:tcMar>
            <w:top w:w="0" w:type="dxa"/>
          </w:tcMar>
        </w:tcPr>
        <w:p w:rsidR="007A5277" w:rsidRPr="00AD7BF2" w:rsidRDefault="007A5277" w:rsidP="00D94637">
          <w:pPr>
            <w:pStyle w:val="FooterText"/>
            <w:jc w:val="center"/>
          </w:pPr>
        </w:p>
      </w:tc>
      <w:tc>
        <w:tcPr>
          <w:tcW w:w="1287" w:type="pct"/>
          <w:gridSpan w:val="3"/>
          <w:shd w:val="clear" w:color="auto" w:fill="auto"/>
          <w:tcMar>
            <w:top w:w="0" w:type="dxa"/>
          </w:tcMar>
        </w:tcPr>
        <w:p w:rsidR="007A5277" w:rsidRPr="002511D8" w:rsidRDefault="007A5277" w:rsidP="00D94637">
          <w:pPr>
            <w:pStyle w:val="FooterText"/>
            <w:jc w:val="center"/>
          </w:pPr>
        </w:p>
      </w:tc>
      <w:tc>
        <w:tcPr>
          <w:tcW w:w="588" w:type="pct"/>
          <w:shd w:val="clear" w:color="auto" w:fill="auto"/>
          <w:tcMar>
            <w:top w:w="0" w:type="dxa"/>
          </w:tcMar>
        </w:tcPr>
        <w:p w:rsidR="007A5277" w:rsidRPr="00B310DC" w:rsidRDefault="007A5277" w:rsidP="00D94637">
          <w:pPr>
            <w:pStyle w:val="FooterText"/>
            <w:jc w:val="right"/>
          </w:pPr>
          <w:r>
            <w:fldChar w:fldCharType="begin"/>
          </w:r>
          <w:r>
            <w:instrText xml:space="preserve"> PAGE  \* MERGEFORMAT </w:instrText>
          </w:r>
          <w:r>
            <w:fldChar w:fldCharType="separate"/>
          </w:r>
          <w:r w:rsidR="00384451">
            <w:rPr>
              <w:noProof/>
            </w:rPr>
            <w:t>2</w:t>
          </w:r>
          <w:r>
            <w:fldChar w:fldCharType="end"/>
          </w:r>
        </w:p>
      </w:tc>
    </w:tr>
    <w:tr w:rsidR="007A5277" w:rsidRPr="00D94637" w:rsidTr="007A5277">
      <w:trPr>
        <w:jc w:val="center"/>
      </w:trPr>
      <w:tc>
        <w:tcPr>
          <w:tcW w:w="1774" w:type="pct"/>
          <w:shd w:val="clear" w:color="auto" w:fill="auto"/>
        </w:tcPr>
        <w:p w:rsidR="007A5277" w:rsidRPr="00AD7BF2" w:rsidRDefault="007A5277" w:rsidP="00D94637">
          <w:pPr>
            <w:pStyle w:val="FooterText"/>
            <w:spacing w:before="40"/>
          </w:pPr>
        </w:p>
      </w:tc>
      <w:tc>
        <w:tcPr>
          <w:tcW w:w="1455" w:type="pct"/>
          <w:gridSpan w:val="3"/>
          <w:shd w:val="clear" w:color="auto" w:fill="auto"/>
        </w:tcPr>
        <w:p w:rsidR="007A5277" w:rsidRPr="00AD7BF2" w:rsidRDefault="007A5277" w:rsidP="00D204D6">
          <w:pPr>
            <w:pStyle w:val="FooterText"/>
            <w:spacing w:before="40"/>
            <w:jc w:val="center"/>
          </w:pPr>
          <w:r>
            <w:t>DPG</w:t>
          </w:r>
        </w:p>
      </w:tc>
      <w:tc>
        <w:tcPr>
          <w:tcW w:w="1147" w:type="pct"/>
          <w:shd w:val="clear" w:color="auto" w:fill="auto"/>
        </w:tcPr>
        <w:p w:rsidR="007A5277" w:rsidRPr="00D94637" w:rsidRDefault="007A5277" w:rsidP="00D94637">
          <w:pPr>
            <w:pStyle w:val="FooterText"/>
            <w:jc w:val="right"/>
            <w:rPr>
              <w:b/>
              <w:position w:val="-4"/>
              <w:sz w:val="36"/>
            </w:rPr>
          </w:pPr>
        </w:p>
      </w:tc>
      <w:tc>
        <w:tcPr>
          <w:tcW w:w="625" w:type="pct"/>
          <w:gridSpan w:val="2"/>
          <w:shd w:val="clear" w:color="auto" w:fill="auto"/>
        </w:tcPr>
        <w:p w:rsidR="007A5277" w:rsidRPr="00D94637" w:rsidRDefault="007A5277" w:rsidP="00D94637">
          <w:pPr>
            <w:pStyle w:val="FooterText"/>
            <w:jc w:val="right"/>
            <w:rPr>
              <w:sz w:val="16"/>
            </w:rPr>
          </w:pPr>
          <w:r>
            <w:rPr>
              <w:b/>
              <w:position w:val="-4"/>
              <w:sz w:val="36"/>
            </w:rPr>
            <w:t>EN</w:t>
          </w:r>
        </w:p>
      </w:tc>
    </w:tr>
    <w:bookmarkEnd w:id="3"/>
  </w:tbl>
  <w:p w:rsidR="00963238" w:rsidRPr="007A5277" w:rsidRDefault="00963238" w:rsidP="007A527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A5277" w:rsidRPr="00D94637" w:rsidTr="007A5277">
      <w:trPr>
        <w:jc w:val="center"/>
      </w:trPr>
      <w:tc>
        <w:tcPr>
          <w:tcW w:w="5000" w:type="pct"/>
          <w:gridSpan w:val="7"/>
          <w:shd w:val="clear" w:color="auto" w:fill="auto"/>
          <w:tcMar>
            <w:top w:w="57" w:type="dxa"/>
          </w:tcMar>
        </w:tcPr>
        <w:p w:rsidR="007A5277" w:rsidRPr="00D94637" w:rsidRDefault="007A5277" w:rsidP="00D94637">
          <w:pPr>
            <w:pStyle w:val="FooterText"/>
            <w:pBdr>
              <w:top w:val="single" w:sz="4" w:space="1" w:color="auto"/>
            </w:pBdr>
            <w:spacing w:before="200"/>
            <w:rPr>
              <w:sz w:val="2"/>
              <w:szCs w:val="2"/>
            </w:rPr>
          </w:pPr>
        </w:p>
      </w:tc>
    </w:tr>
    <w:tr w:rsidR="007A5277" w:rsidRPr="00B310DC" w:rsidTr="007A5277">
      <w:trPr>
        <w:jc w:val="center"/>
      </w:trPr>
      <w:tc>
        <w:tcPr>
          <w:tcW w:w="2500" w:type="pct"/>
          <w:gridSpan w:val="2"/>
          <w:shd w:val="clear" w:color="auto" w:fill="auto"/>
          <w:tcMar>
            <w:top w:w="0" w:type="dxa"/>
          </w:tcMar>
        </w:tcPr>
        <w:p w:rsidR="007A5277" w:rsidRPr="00AD7BF2" w:rsidRDefault="007A5277" w:rsidP="004F54B2">
          <w:pPr>
            <w:pStyle w:val="FooterText"/>
          </w:pPr>
          <w:r>
            <w:t>9352/15</w:t>
          </w:r>
          <w:r w:rsidRPr="002511D8">
            <w:t xml:space="preserve"> </w:t>
          </w:r>
          <w:r>
            <w:t>ADD 1</w:t>
          </w:r>
        </w:p>
      </w:tc>
      <w:tc>
        <w:tcPr>
          <w:tcW w:w="625" w:type="pct"/>
          <w:shd w:val="clear" w:color="auto" w:fill="auto"/>
          <w:tcMar>
            <w:top w:w="0" w:type="dxa"/>
          </w:tcMar>
        </w:tcPr>
        <w:p w:rsidR="007A5277" w:rsidRPr="00AD7BF2" w:rsidRDefault="007A5277" w:rsidP="00D94637">
          <w:pPr>
            <w:pStyle w:val="FooterText"/>
            <w:jc w:val="center"/>
          </w:pPr>
        </w:p>
      </w:tc>
      <w:tc>
        <w:tcPr>
          <w:tcW w:w="1287" w:type="pct"/>
          <w:gridSpan w:val="3"/>
          <w:shd w:val="clear" w:color="auto" w:fill="auto"/>
          <w:tcMar>
            <w:top w:w="0" w:type="dxa"/>
          </w:tcMar>
        </w:tcPr>
        <w:p w:rsidR="007A5277" w:rsidRPr="002511D8" w:rsidRDefault="007A5277" w:rsidP="00D94637">
          <w:pPr>
            <w:pStyle w:val="FooterText"/>
            <w:jc w:val="center"/>
          </w:pPr>
        </w:p>
      </w:tc>
      <w:tc>
        <w:tcPr>
          <w:tcW w:w="588" w:type="pct"/>
          <w:shd w:val="clear" w:color="auto" w:fill="auto"/>
          <w:tcMar>
            <w:top w:w="0" w:type="dxa"/>
          </w:tcMar>
        </w:tcPr>
        <w:p w:rsidR="007A5277" w:rsidRPr="00B310DC" w:rsidRDefault="007A5277" w:rsidP="00D94637">
          <w:pPr>
            <w:pStyle w:val="FooterText"/>
            <w:jc w:val="right"/>
          </w:pPr>
          <w:r>
            <w:fldChar w:fldCharType="begin"/>
          </w:r>
          <w:r>
            <w:instrText xml:space="preserve"> PAGE  \* MERGEFORMAT </w:instrText>
          </w:r>
          <w:r>
            <w:fldChar w:fldCharType="separate"/>
          </w:r>
          <w:r w:rsidR="00384451">
            <w:rPr>
              <w:noProof/>
            </w:rPr>
            <w:t>1</w:t>
          </w:r>
          <w:r>
            <w:fldChar w:fldCharType="end"/>
          </w:r>
        </w:p>
      </w:tc>
    </w:tr>
    <w:tr w:rsidR="007A5277" w:rsidRPr="00D94637" w:rsidTr="007A5277">
      <w:trPr>
        <w:jc w:val="center"/>
      </w:trPr>
      <w:tc>
        <w:tcPr>
          <w:tcW w:w="1774" w:type="pct"/>
          <w:shd w:val="clear" w:color="auto" w:fill="auto"/>
        </w:tcPr>
        <w:p w:rsidR="007A5277" w:rsidRPr="00AD7BF2" w:rsidRDefault="007A5277" w:rsidP="00D94637">
          <w:pPr>
            <w:pStyle w:val="FooterText"/>
            <w:spacing w:before="40"/>
          </w:pPr>
        </w:p>
      </w:tc>
      <w:tc>
        <w:tcPr>
          <w:tcW w:w="1455" w:type="pct"/>
          <w:gridSpan w:val="3"/>
          <w:shd w:val="clear" w:color="auto" w:fill="auto"/>
        </w:tcPr>
        <w:p w:rsidR="007A5277" w:rsidRPr="00AD7BF2" w:rsidRDefault="007A5277" w:rsidP="00D204D6">
          <w:pPr>
            <w:pStyle w:val="FooterText"/>
            <w:spacing w:before="40"/>
            <w:jc w:val="center"/>
          </w:pPr>
          <w:r>
            <w:t>DPG</w:t>
          </w:r>
        </w:p>
      </w:tc>
      <w:tc>
        <w:tcPr>
          <w:tcW w:w="1147" w:type="pct"/>
          <w:shd w:val="clear" w:color="auto" w:fill="auto"/>
        </w:tcPr>
        <w:p w:rsidR="007A5277" w:rsidRPr="00D94637" w:rsidRDefault="007A5277" w:rsidP="00D94637">
          <w:pPr>
            <w:pStyle w:val="FooterText"/>
            <w:jc w:val="right"/>
            <w:rPr>
              <w:b/>
              <w:position w:val="-4"/>
              <w:sz w:val="36"/>
            </w:rPr>
          </w:pPr>
        </w:p>
      </w:tc>
      <w:tc>
        <w:tcPr>
          <w:tcW w:w="625" w:type="pct"/>
          <w:gridSpan w:val="2"/>
          <w:shd w:val="clear" w:color="auto" w:fill="auto"/>
        </w:tcPr>
        <w:p w:rsidR="007A5277" w:rsidRPr="00D94637" w:rsidRDefault="007A5277" w:rsidP="00D94637">
          <w:pPr>
            <w:pStyle w:val="FooterText"/>
            <w:jc w:val="right"/>
            <w:rPr>
              <w:sz w:val="16"/>
            </w:rPr>
          </w:pPr>
          <w:r>
            <w:rPr>
              <w:b/>
              <w:position w:val="-4"/>
              <w:sz w:val="36"/>
            </w:rPr>
            <w:t>EN</w:t>
          </w:r>
        </w:p>
      </w:tc>
    </w:tr>
  </w:tbl>
  <w:p w:rsidR="00963238" w:rsidRPr="007A5277" w:rsidRDefault="00963238" w:rsidP="007A527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38" w:rsidRDefault="00963238" w:rsidP="00963238">
      <w:r>
        <w:separator/>
      </w:r>
    </w:p>
  </w:footnote>
  <w:footnote w:type="continuationSeparator" w:id="0">
    <w:p w:rsidR="00963238" w:rsidRDefault="00963238" w:rsidP="00963238">
      <w:r>
        <w:continuationSeparator/>
      </w:r>
    </w:p>
  </w:footnote>
  <w:footnote w:id="1">
    <w:p w:rsidR="00000330" w:rsidRPr="00555D80" w:rsidRDefault="00000330" w:rsidP="00000330">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77" w:rsidRPr="007A5277" w:rsidRDefault="007A5277" w:rsidP="007A5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77" w:rsidRPr="007A5277" w:rsidRDefault="007A5277" w:rsidP="007A527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77" w:rsidRPr="007A5277" w:rsidRDefault="007A5277" w:rsidP="007A527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8"/>
    <w:lvlOverride w:ilvl="0">
      <w:startOverride w:val="1"/>
    </w:lvlOverride>
  </w:num>
  <w:num w:numId="2">
    <w:abstractNumId w:val="17"/>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1"/>
  </w:num>
  <w:num w:numId="6">
    <w:abstractNumId w:val="17"/>
  </w:num>
  <w:num w:numId="7">
    <w:abstractNumId w:val="5"/>
  </w:num>
  <w:num w:numId="8">
    <w:abstractNumId w:val="13"/>
  </w:num>
  <w:num w:numId="9">
    <w:abstractNumId w:val="3"/>
  </w:num>
  <w:num w:numId="10">
    <w:abstractNumId w:val="18"/>
  </w:num>
  <w:num w:numId="11">
    <w:abstractNumId w:val="10"/>
  </w:num>
  <w:num w:numId="12">
    <w:abstractNumId w:val="12"/>
  </w:num>
  <w:num w:numId="13">
    <w:abstractNumId w:val="14"/>
  </w:num>
  <w:num w:numId="14">
    <w:abstractNumId w:val="9"/>
  </w:num>
  <w:num w:numId="15">
    <w:abstractNumId w:val="1"/>
  </w:num>
  <w:num w:numId="16">
    <w:abstractNumId w:val="15"/>
  </w:num>
  <w:num w:numId="17">
    <w:abstractNumId w:val="8"/>
  </w:num>
  <w:num w:numId="18">
    <w:abstractNumId w:val="4"/>
  </w:num>
  <w:num w:numId="19">
    <w:abstractNumId w:val="16"/>
  </w:num>
  <w:num w:numId="20">
    <w:abstractNumId w:val="6"/>
  </w:num>
  <w:num w:numId="21">
    <w:abstractNumId w:val="0"/>
  </w:num>
  <w:num w:numId="22">
    <w:abstractNumId w:val="2"/>
  </w:num>
  <w:num w:numId="23">
    <w:abstractNumId w:val="7"/>
  </w:num>
  <w:num w:numId="24">
    <w:abstractNumId w:val="17"/>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799e3c17-fcb0-4ca0-8ae2-f7925d3a335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22&lt;/text&gt;_x000d__x000a_  &lt;/metadata&gt;_x000d__x000a_  &lt;metadata key=&quot;md_Prefix&quot;&gt;_x000d__x000a_    &lt;text&gt;&lt;/text&gt;_x000d__x000a_  &lt;/metadata&gt;_x000d__x000a_  &lt;metadata key=&quot;md_DocumentNumber&quot;&gt;_x000d__x000a_    &lt;text&gt;9352&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29&lt;/text&gt;_x000d__x000a_      &lt;text&gt;COMPET 287&lt;/text&gt;_x000d__x000a_      &lt;text&gt;RECH 182&lt;/text&gt;_x000d__x000a_      &lt;text&gt;ESPACE 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2nd meeting of the Council of the European Union (COMPETITIVENESS (Internal Market, Industry, Research and Space)) held in Brussels on 28 and 29 May 2015&quot;&gt;&amp;lt;FlowDocument FontFamily=&quot;Arial Unicode MS&quot; FontSize=&quot;12&quot; PageWidth=&quot;329&quot; PagePadding=&quot;5,0,5,0&quot; AllowDrop=&quot;False&quot; xmlns=&quot;http://schemas.microsoft.com/winfx/2006/xaml/presentation&quot;&amp;gt;&amp;lt;Paragraph&amp;gt;&amp;lt;Run FontWeight=&quot;Bold&quot;&amp;gt;3392nd&amp;lt;/Run&amp;gt; meeting of the Council of the European Union &amp;lt;Run FontWeight=&quot;Bold&quot;&amp;gt;(COMPETITIVENESS (Internal Market, Industry, Research and Space))&amp;lt;/Run&amp;gt; held in Brussels on 28 and 29 May 2015&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963238"/>
    <w:rsid w:val="00000330"/>
    <w:rsid w:val="00010C1D"/>
    <w:rsid w:val="00024B98"/>
    <w:rsid w:val="00075737"/>
    <w:rsid w:val="0009656C"/>
    <w:rsid w:val="0011235A"/>
    <w:rsid w:val="00165755"/>
    <w:rsid w:val="001659EF"/>
    <w:rsid w:val="00182F2F"/>
    <w:rsid w:val="001A4E0D"/>
    <w:rsid w:val="001C1958"/>
    <w:rsid w:val="00213F1F"/>
    <w:rsid w:val="002A2AE8"/>
    <w:rsid w:val="00384451"/>
    <w:rsid w:val="003C6E8B"/>
    <w:rsid w:val="004339F1"/>
    <w:rsid w:val="00475D66"/>
    <w:rsid w:val="004A68F2"/>
    <w:rsid w:val="005157F5"/>
    <w:rsid w:val="00526DE5"/>
    <w:rsid w:val="005A3A33"/>
    <w:rsid w:val="005F0E6A"/>
    <w:rsid w:val="00625A26"/>
    <w:rsid w:val="0063379B"/>
    <w:rsid w:val="0065631F"/>
    <w:rsid w:val="006A38C5"/>
    <w:rsid w:val="006C1AD4"/>
    <w:rsid w:val="006E33E2"/>
    <w:rsid w:val="006F4741"/>
    <w:rsid w:val="0075756A"/>
    <w:rsid w:val="00790351"/>
    <w:rsid w:val="007A5277"/>
    <w:rsid w:val="00822F51"/>
    <w:rsid w:val="00825503"/>
    <w:rsid w:val="008606F7"/>
    <w:rsid w:val="008826F8"/>
    <w:rsid w:val="00963238"/>
    <w:rsid w:val="00A0590A"/>
    <w:rsid w:val="00A469D7"/>
    <w:rsid w:val="00AD39E3"/>
    <w:rsid w:val="00B86C52"/>
    <w:rsid w:val="00BE1373"/>
    <w:rsid w:val="00C90421"/>
    <w:rsid w:val="00C93DD4"/>
    <w:rsid w:val="00D22AFD"/>
    <w:rsid w:val="00D451E4"/>
    <w:rsid w:val="00D629EC"/>
    <w:rsid w:val="00E86101"/>
    <w:rsid w:val="00FA04E0"/>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7A52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5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2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52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63238"/>
    <w:pPr>
      <w:spacing w:after="440"/>
      <w:ind w:left="-1134" w:right="-1134"/>
    </w:pPr>
    <w:rPr>
      <w:sz w:val="2"/>
    </w:rPr>
  </w:style>
  <w:style w:type="character" w:customStyle="1" w:styleId="TechnicalBlockChar">
    <w:name w:val="Technical Block Char"/>
    <w:basedOn w:val="DefaultParagraphFont"/>
    <w:rsid w:val="00963238"/>
    <w:rPr>
      <w:sz w:val="24"/>
      <w:szCs w:val="24"/>
      <w:lang w:val="en-GB" w:eastAsia="en-US"/>
    </w:rPr>
  </w:style>
  <w:style w:type="character" w:customStyle="1" w:styleId="HeaderCouncilLargeChar">
    <w:name w:val="Header Council Large Char"/>
    <w:basedOn w:val="TechnicalBlockChar"/>
    <w:link w:val="HeaderCouncilLarge"/>
    <w:rsid w:val="00963238"/>
    <w:rPr>
      <w:sz w:val="2"/>
      <w:szCs w:val="24"/>
      <w:lang w:val="en-GB" w:eastAsia="en-US"/>
    </w:rPr>
  </w:style>
  <w:style w:type="paragraph" w:customStyle="1" w:styleId="FooterText">
    <w:name w:val="Footer Text"/>
    <w:basedOn w:val="Normal"/>
    <w:rsid w:val="00963238"/>
  </w:style>
  <w:style w:type="character" w:customStyle="1" w:styleId="FootnoteTextChar">
    <w:name w:val="Footnote Text Char"/>
    <w:basedOn w:val="DefaultParagraphFont"/>
    <w:rsid w:val="00000330"/>
    <w:rPr>
      <w:sz w:val="24"/>
      <w:lang w:val="en-GB" w:eastAsia="en-US"/>
    </w:rPr>
  </w:style>
  <w:style w:type="character" w:customStyle="1" w:styleId="PointManualChar">
    <w:name w:val="Point Manual Char"/>
    <w:locked/>
    <w:rsid w:val="00000330"/>
    <w:rPr>
      <w:sz w:val="24"/>
      <w:szCs w:val="24"/>
      <w:lang w:val="en-GB" w:eastAsia="en-US"/>
    </w:rPr>
  </w:style>
  <w:style w:type="character" w:customStyle="1" w:styleId="Text3Char">
    <w:name w:val="Text 3 Char"/>
    <w:locked/>
    <w:rsid w:val="00000330"/>
    <w:rPr>
      <w:sz w:val="24"/>
      <w:szCs w:val="24"/>
      <w:lang w:val="en-GB" w:eastAsia="en-US"/>
    </w:rPr>
  </w:style>
  <w:style w:type="character" w:customStyle="1" w:styleId="Dash1Char">
    <w:name w:val="Dash 1 Char"/>
    <w:locked/>
    <w:rsid w:val="00000330"/>
    <w:rPr>
      <w:sz w:val="24"/>
      <w:szCs w:val="24"/>
      <w:lang w:val="en-GB" w:eastAsia="en-US"/>
    </w:rPr>
  </w:style>
  <w:style w:type="character" w:customStyle="1" w:styleId="PointManual1Char">
    <w:name w:val="Point Manual (1) Char"/>
    <w:rsid w:val="00D629EC"/>
    <w:rPr>
      <w:sz w:val="24"/>
      <w:szCs w:val="24"/>
      <w:lang w:val="en-GB" w:eastAsia="en-US"/>
    </w:rPr>
  </w:style>
  <w:style w:type="character" w:customStyle="1" w:styleId="Text1Char">
    <w:name w:val="Text 1 Char"/>
    <w:rsid w:val="00D22AFD"/>
    <w:rPr>
      <w:sz w:val="24"/>
      <w:szCs w:val="24"/>
      <w:lang w:val="en-GB" w:eastAsia="en-US"/>
    </w:rPr>
  </w:style>
  <w:style w:type="character" w:styleId="CommentReference">
    <w:name w:val="annotation reference"/>
    <w:basedOn w:val="DefaultParagraphFont"/>
    <w:uiPriority w:val="99"/>
    <w:semiHidden/>
    <w:unhideWhenUsed/>
    <w:rsid w:val="004A68F2"/>
    <w:rPr>
      <w:sz w:val="16"/>
      <w:szCs w:val="16"/>
    </w:rPr>
  </w:style>
  <w:style w:type="paragraph" w:styleId="CommentText">
    <w:name w:val="annotation text"/>
    <w:basedOn w:val="Normal"/>
    <w:link w:val="CommentTextChar"/>
    <w:uiPriority w:val="99"/>
    <w:semiHidden/>
    <w:unhideWhenUsed/>
    <w:rsid w:val="004A68F2"/>
    <w:rPr>
      <w:sz w:val="20"/>
      <w:szCs w:val="20"/>
    </w:rPr>
  </w:style>
  <w:style w:type="character" w:customStyle="1" w:styleId="CommentTextChar">
    <w:name w:val="Comment Text Char"/>
    <w:basedOn w:val="DefaultParagraphFont"/>
    <w:link w:val="CommentText"/>
    <w:uiPriority w:val="99"/>
    <w:semiHidden/>
    <w:rsid w:val="004A68F2"/>
    <w:rPr>
      <w:lang w:val="en-GB" w:eastAsia="en-US"/>
    </w:rPr>
  </w:style>
  <w:style w:type="paragraph" w:styleId="CommentSubject">
    <w:name w:val="annotation subject"/>
    <w:basedOn w:val="CommentText"/>
    <w:next w:val="CommentText"/>
    <w:link w:val="CommentSubjectChar"/>
    <w:uiPriority w:val="99"/>
    <w:semiHidden/>
    <w:unhideWhenUsed/>
    <w:rsid w:val="004A68F2"/>
    <w:rPr>
      <w:b/>
      <w:bCs/>
    </w:rPr>
  </w:style>
  <w:style w:type="character" w:customStyle="1" w:styleId="CommentSubjectChar">
    <w:name w:val="Comment Subject Char"/>
    <w:basedOn w:val="CommentTextChar"/>
    <w:link w:val="CommentSubject"/>
    <w:uiPriority w:val="99"/>
    <w:semiHidden/>
    <w:rsid w:val="004A68F2"/>
    <w:rPr>
      <w:b/>
      <w:bCs/>
      <w:lang w:val="en-GB" w:eastAsia="en-US"/>
    </w:rPr>
  </w:style>
  <w:style w:type="character" w:styleId="Hyperlink">
    <w:name w:val="Hyperlink"/>
    <w:basedOn w:val="DefaultParagraphFont"/>
    <w:uiPriority w:val="99"/>
    <w:unhideWhenUsed/>
    <w:rsid w:val="004A68F2"/>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semiHidden/>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semiHidden/>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0"/>
      </w:numPr>
      <w:spacing w:before="200"/>
    </w:pPr>
  </w:style>
  <w:style w:type="paragraph" w:customStyle="1" w:styleId="Pointabc1">
    <w:name w:val="Point abc (1)"/>
    <w:basedOn w:val="Normal"/>
    <w:rsid w:val="006E33E2"/>
    <w:pPr>
      <w:numPr>
        <w:ilvl w:val="3"/>
        <w:numId w:val="20"/>
      </w:numPr>
      <w:outlineLvl w:val="0"/>
    </w:pPr>
  </w:style>
  <w:style w:type="paragraph" w:customStyle="1" w:styleId="Pointabc2">
    <w:name w:val="Point abc (2)"/>
    <w:basedOn w:val="Normal"/>
    <w:rsid w:val="006E33E2"/>
    <w:pPr>
      <w:numPr>
        <w:ilvl w:val="5"/>
        <w:numId w:val="20"/>
      </w:numPr>
      <w:outlineLvl w:val="1"/>
    </w:pPr>
  </w:style>
  <w:style w:type="paragraph" w:customStyle="1" w:styleId="Pointabc3">
    <w:name w:val="Point abc (3)"/>
    <w:basedOn w:val="Normal"/>
    <w:rsid w:val="006E33E2"/>
    <w:pPr>
      <w:numPr>
        <w:ilvl w:val="7"/>
        <w:numId w:val="20"/>
      </w:numPr>
      <w:outlineLvl w:val="2"/>
    </w:pPr>
  </w:style>
  <w:style w:type="paragraph" w:customStyle="1" w:styleId="Pointabc4">
    <w:name w:val="Point abc (4)"/>
    <w:basedOn w:val="Normal"/>
    <w:rsid w:val="006E33E2"/>
    <w:pPr>
      <w:numPr>
        <w:ilvl w:val="8"/>
        <w:numId w:val="20"/>
      </w:numPr>
      <w:outlineLvl w:val="3"/>
    </w:pPr>
  </w:style>
  <w:style w:type="paragraph" w:customStyle="1" w:styleId="Point123">
    <w:name w:val="Point 123"/>
    <w:basedOn w:val="Normal"/>
    <w:rsid w:val="006E33E2"/>
    <w:pPr>
      <w:numPr>
        <w:numId w:val="20"/>
      </w:numPr>
      <w:spacing w:before="200"/>
    </w:pPr>
  </w:style>
  <w:style w:type="paragraph" w:customStyle="1" w:styleId="Point1231">
    <w:name w:val="Point 123 (1)"/>
    <w:basedOn w:val="Normal"/>
    <w:rsid w:val="006E33E2"/>
    <w:pPr>
      <w:numPr>
        <w:ilvl w:val="2"/>
        <w:numId w:val="20"/>
      </w:numPr>
      <w:outlineLvl w:val="0"/>
    </w:pPr>
  </w:style>
  <w:style w:type="paragraph" w:customStyle="1" w:styleId="Point1232">
    <w:name w:val="Point 123 (2)"/>
    <w:basedOn w:val="Normal"/>
    <w:rsid w:val="006E33E2"/>
    <w:pPr>
      <w:numPr>
        <w:ilvl w:val="4"/>
        <w:numId w:val="20"/>
      </w:numPr>
      <w:outlineLvl w:val="1"/>
    </w:pPr>
  </w:style>
  <w:style w:type="paragraph" w:customStyle="1" w:styleId="Point1233">
    <w:name w:val="Point 123 (3)"/>
    <w:basedOn w:val="Normal"/>
    <w:rsid w:val="006E33E2"/>
    <w:pPr>
      <w:numPr>
        <w:ilvl w:val="6"/>
        <w:numId w:val="20"/>
      </w:numPr>
      <w:outlineLvl w:val="2"/>
    </w:pPr>
  </w:style>
  <w:style w:type="paragraph" w:customStyle="1" w:styleId="Pointivx">
    <w:name w:val="Point ivx"/>
    <w:basedOn w:val="Normal"/>
    <w:rsid w:val="006E33E2"/>
    <w:pPr>
      <w:numPr>
        <w:numId w:val="21"/>
      </w:numPr>
      <w:spacing w:before="200"/>
    </w:pPr>
  </w:style>
  <w:style w:type="paragraph" w:customStyle="1" w:styleId="Pointivx1">
    <w:name w:val="Point ivx (1)"/>
    <w:basedOn w:val="Normal"/>
    <w:rsid w:val="006E33E2"/>
    <w:pPr>
      <w:numPr>
        <w:ilvl w:val="1"/>
        <w:numId w:val="21"/>
      </w:numPr>
      <w:outlineLvl w:val="0"/>
    </w:pPr>
  </w:style>
  <w:style w:type="paragraph" w:customStyle="1" w:styleId="Pointivx2">
    <w:name w:val="Point ivx (2)"/>
    <w:basedOn w:val="Normal"/>
    <w:rsid w:val="006E33E2"/>
    <w:pPr>
      <w:numPr>
        <w:ilvl w:val="2"/>
        <w:numId w:val="21"/>
      </w:numPr>
      <w:outlineLvl w:val="1"/>
    </w:pPr>
  </w:style>
  <w:style w:type="paragraph" w:customStyle="1" w:styleId="Pointivx3">
    <w:name w:val="Point ivx (3)"/>
    <w:basedOn w:val="Normal"/>
    <w:rsid w:val="006E33E2"/>
    <w:pPr>
      <w:numPr>
        <w:ilvl w:val="3"/>
        <w:numId w:val="21"/>
      </w:numPr>
      <w:outlineLvl w:val="2"/>
    </w:pPr>
  </w:style>
  <w:style w:type="paragraph" w:customStyle="1" w:styleId="Pointivx4">
    <w:name w:val="Point ivx (4)"/>
    <w:basedOn w:val="Normal"/>
    <w:rsid w:val="006E33E2"/>
    <w:pPr>
      <w:numPr>
        <w:ilvl w:val="4"/>
        <w:numId w:val="21"/>
      </w:numPr>
      <w:outlineLvl w:val="3"/>
    </w:pPr>
  </w:style>
  <w:style w:type="paragraph" w:customStyle="1" w:styleId="Bullet">
    <w:name w:val="Bullet"/>
    <w:basedOn w:val="Normal"/>
    <w:rsid w:val="006E33E2"/>
    <w:pPr>
      <w:numPr>
        <w:numId w:val="15"/>
      </w:numPr>
      <w:spacing w:before="200"/>
    </w:pPr>
  </w:style>
  <w:style w:type="paragraph" w:customStyle="1" w:styleId="Bullet1">
    <w:name w:val="Bullet 1"/>
    <w:basedOn w:val="Normal"/>
    <w:rsid w:val="006E33E2"/>
    <w:pPr>
      <w:numPr>
        <w:numId w:val="16"/>
      </w:numPr>
      <w:outlineLvl w:val="0"/>
    </w:pPr>
  </w:style>
  <w:style w:type="paragraph" w:customStyle="1" w:styleId="Bullet2">
    <w:name w:val="Bullet 2"/>
    <w:basedOn w:val="Normal"/>
    <w:rsid w:val="006E33E2"/>
    <w:pPr>
      <w:numPr>
        <w:numId w:val="17"/>
      </w:numPr>
      <w:outlineLvl w:val="1"/>
    </w:pPr>
  </w:style>
  <w:style w:type="paragraph" w:customStyle="1" w:styleId="Bullet3">
    <w:name w:val="Bullet 3"/>
    <w:basedOn w:val="Normal"/>
    <w:rsid w:val="006E33E2"/>
    <w:pPr>
      <w:numPr>
        <w:numId w:val="18"/>
      </w:numPr>
      <w:outlineLvl w:val="2"/>
    </w:pPr>
  </w:style>
  <w:style w:type="paragraph" w:customStyle="1" w:styleId="Bullet4">
    <w:name w:val="Bullet 4"/>
    <w:basedOn w:val="Normal"/>
    <w:rsid w:val="006E33E2"/>
    <w:pPr>
      <w:numPr>
        <w:numId w:val="19"/>
      </w:numPr>
      <w:outlineLvl w:val="3"/>
    </w:pPr>
  </w:style>
  <w:style w:type="paragraph" w:customStyle="1" w:styleId="Dash">
    <w:name w:val="Dash"/>
    <w:basedOn w:val="Normal"/>
    <w:rsid w:val="006E33E2"/>
    <w:pPr>
      <w:numPr>
        <w:numId w:val="5"/>
      </w:numPr>
      <w:spacing w:before="200"/>
    </w:pPr>
  </w:style>
  <w:style w:type="paragraph" w:customStyle="1" w:styleId="Dash1">
    <w:name w:val="Dash 1"/>
    <w:basedOn w:val="Normal"/>
    <w:rsid w:val="006E33E2"/>
    <w:pPr>
      <w:numPr>
        <w:numId w:val="6"/>
      </w:numPr>
      <w:outlineLvl w:val="0"/>
    </w:pPr>
  </w:style>
  <w:style w:type="paragraph" w:customStyle="1" w:styleId="Dash2">
    <w:name w:val="Dash 2"/>
    <w:basedOn w:val="Normal"/>
    <w:rsid w:val="006E33E2"/>
    <w:pPr>
      <w:numPr>
        <w:numId w:val="7"/>
      </w:numPr>
      <w:outlineLvl w:val="1"/>
    </w:pPr>
  </w:style>
  <w:style w:type="paragraph" w:customStyle="1" w:styleId="Dash3">
    <w:name w:val="Dash 3"/>
    <w:basedOn w:val="Normal"/>
    <w:rsid w:val="006E33E2"/>
    <w:pPr>
      <w:numPr>
        <w:numId w:val="8"/>
      </w:numPr>
      <w:outlineLvl w:val="2"/>
    </w:pPr>
  </w:style>
  <w:style w:type="paragraph" w:customStyle="1" w:styleId="Dash4">
    <w:name w:val="Dash 4"/>
    <w:basedOn w:val="Normal"/>
    <w:rsid w:val="006E33E2"/>
    <w:pPr>
      <w:numPr>
        <w:numId w:val="9"/>
      </w:numPr>
      <w:outlineLvl w:val="3"/>
    </w:pPr>
  </w:style>
  <w:style w:type="paragraph" w:customStyle="1" w:styleId="DashEqual">
    <w:name w:val="Dash Equal"/>
    <w:basedOn w:val="Dash"/>
    <w:rsid w:val="006E33E2"/>
    <w:pPr>
      <w:numPr>
        <w:numId w:val="10"/>
      </w:numPr>
    </w:pPr>
  </w:style>
  <w:style w:type="paragraph" w:customStyle="1" w:styleId="DashEqual1">
    <w:name w:val="Dash Equal 1"/>
    <w:basedOn w:val="Dash1"/>
    <w:rsid w:val="006E33E2"/>
    <w:pPr>
      <w:numPr>
        <w:numId w:val="11"/>
      </w:numPr>
    </w:pPr>
  </w:style>
  <w:style w:type="paragraph" w:customStyle="1" w:styleId="DashEqual2">
    <w:name w:val="Dash Equal 2"/>
    <w:basedOn w:val="Dash2"/>
    <w:rsid w:val="006E33E2"/>
    <w:pPr>
      <w:numPr>
        <w:numId w:val="12"/>
      </w:numPr>
    </w:pPr>
  </w:style>
  <w:style w:type="paragraph" w:customStyle="1" w:styleId="DashEqual3">
    <w:name w:val="Dash Equal 3"/>
    <w:basedOn w:val="Dash3"/>
    <w:rsid w:val="006E33E2"/>
    <w:pPr>
      <w:numPr>
        <w:numId w:val="13"/>
      </w:numPr>
    </w:pPr>
  </w:style>
  <w:style w:type="paragraph" w:customStyle="1" w:styleId="DashEqual4">
    <w:name w:val="Dash Equal 4"/>
    <w:basedOn w:val="Dash4"/>
    <w:rsid w:val="006E33E2"/>
    <w:pPr>
      <w:numPr>
        <w:numId w:val="14"/>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2"/>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3"/>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7A527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7A5277"/>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7A5277"/>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7A5277"/>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7A52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5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2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52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63238"/>
    <w:pPr>
      <w:spacing w:after="440"/>
      <w:ind w:left="-1134" w:right="-1134"/>
    </w:pPr>
    <w:rPr>
      <w:sz w:val="2"/>
    </w:rPr>
  </w:style>
  <w:style w:type="character" w:customStyle="1" w:styleId="TechnicalBlockChar">
    <w:name w:val="Technical Block Char"/>
    <w:basedOn w:val="DefaultParagraphFont"/>
    <w:rsid w:val="00963238"/>
    <w:rPr>
      <w:sz w:val="24"/>
      <w:szCs w:val="24"/>
      <w:lang w:val="en-GB" w:eastAsia="en-US"/>
    </w:rPr>
  </w:style>
  <w:style w:type="character" w:customStyle="1" w:styleId="HeaderCouncilLargeChar">
    <w:name w:val="Header Council Large Char"/>
    <w:basedOn w:val="TechnicalBlockChar"/>
    <w:link w:val="HeaderCouncilLarge"/>
    <w:rsid w:val="00963238"/>
    <w:rPr>
      <w:sz w:val="2"/>
      <w:szCs w:val="24"/>
      <w:lang w:val="en-GB" w:eastAsia="en-US"/>
    </w:rPr>
  </w:style>
  <w:style w:type="paragraph" w:customStyle="1" w:styleId="FooterText">
    <w:name w:val="Footer Text"/>
    <w:basedOn w:val="Normal"/>
    <w:rsid w:val="00963238"/>
  </w:style>
  <w:style w:type="character" w:customStyle="1" w:styleId="FootnoteTextChar">
    <w:name w:val="Footnote Text Char"/>
    <w:basedOn w:val="DefaultParagraphFont"/>
    <w:rsid w:val="00000330"/>
    <w:rPr>
      <w:sz w:val="24"/>
      <w:lang w:val="en-GB" w:eastAsia="en-US"/>
    </w:rPr>
  </w:style>
  <w:style w:type="character" w:customStyle="1" w:styleId="PointManualChar">
    <w:name w:val="Point Manual Char"/>
    <w:locked/>
    <w:rsid w:val="00000330"/>
    <w:rPr>
      <w:sz w:val="24"/>
      <w:szCs w:val="24"/>
      <w:lang w:val="en-GB" w:eastAsia="en-US"/>
    </w:rPr>
  </w:style>
  <w:style w:type="character" w:customStyle="1" w:styleId="Text3Char">
    <w:name w:val="Text 3 Char"/>
    <w:locked/>
    <w:rsid w:val="00000330"/>
    <w:rPr>
      <w:sz w:val="24"/>
      <w:szCs w:val="24"/>
      <w:lang w:val="en-GB" w:eastAsia="en-US"/>
    </w:rPr>
  </w:style>
  <w:style w:type="character" w:customStyle="1" w:styleId="Dash1Char">
    <w:name w:val="Dash 1 Char"/>
    <w:locked/>
    <w:rsid w:val="00000330"/>
    <w:rPr>
      <w:sz w:val="24"/>
      <w:szCs w:val="24"/>
      <w:lang w:val="en-GB" w:eastAsia="en-US"/>
    </w:rPr>
  </w:style>
  <w:style w:type="character" w:customStyle="1" w:styleId="PointManual1Char">
    <w:name w:val="Point Manual (1) Char"/>
    <w:rsid w:val="00D629EC"/>
    <w:rPr>
      <w:sz w:val="24"/>
      <w:szCs w:val="24"/>
      <w:lang w:val="en-GB" w:eastAsia="en-US"/>
    </w:rPr>
  </w:style>
  <w:style w:type="character" w:customStyle="1" w:styleId="Text1Char">
    <w:name w:val="Text 1 Char"/>
    <w:rsid w:val="00D22AFD"/>
    <w:rPr>
      <w:sz w:val="24"/>
      <w:szCs w:val="24"/>
      <w:lang w:val="en-GB" w:eastAsia="en-US"/>
    </w:rPr>
  </w:style>
  <w:style w:type="character" w:styleId="CommentReference">
    <w:name w:val="annotation reference"/>
    <w:basedOn w:val="DefaultParagraphFont"/>
    <w:uiPriority w:val="99"/>
    <w:semiHidden/>
    <w:unhideWhenUsed/>
    <w:rsid w:val="004A68F2"/>
    <w:rPr>
      <w:sz w:val="16"/>
      <w:szCs w:val="16"/>
    </w:rPr>
  </w:style>
  <w:style w:type="paragraph" w:styleId="CommentText">
    <w:name w:val="annotation text"/>
    <w:basedOn w:val="Normal"/>
    <w:link w:val="CommentTextChar"/>
    <w:uiPriority w:val="99"/>
    <w:semiHidden/>
    <w:unhideWhenUsed/>
    <w:rsid w:val="004A68F2"/>
    <w:rPr>
      <w:sz w:val="20"/>
      <w:szCs w:val="20"/>
    </w:rPr>
  </w:style>
  <w:style w:type="character" w:customStyle="1" w:styleId="CommentTextChar">
    <w:name w:val="Comment Text Char"/>
    <w:basedOn w:val="DefaultParagraphFont"/>
    <w:link w:val="CommentText"/>
    <w:uiPriority w:val="99"/>
    <w:semiHidden/>
    <w:rsid w:val="004A68F2"/>
    <w:rPr>
      <w:lang w:val="en-GB" w:eastAsia="en-US"/>
    </w:rPr>
  </w:style>
  <w:style w:type="paragraph" w:styleId="CommentSubject">
    <w:name w:val="annotation subject"/>
    <w:basedOn w:val="CommentText"/>
    <w:next w:val="CommentText"/>
    <w:link w:val="CommentSubjectChar"/>
    <w:uiPriority w:val="99"/>
    <w:semiHidden/>
    <w:unhideWhenUsed/>
    <w:rsid w:val="004A68F2"/>
    <w:rPr>
      <w:b/>
      <w:bCs/>
    </w:rPr>
  </w:style>
  <w:style w:type="character" w:customStyle="1" w:styleId="CommentSubjectChar">
    <w:name w:val="Comment Subject Char"/>
    <w:basedOn w:val="CommentTextChar"/>
    <w:link w:val="CommentSubject"/>
    <w:uiPriority w:val="99"/>
    <w:semiHidden/>
    <w:rsid w:val="004A68F2"/>
    <w:rPr>
      <w:b/>
      <w:bCs/>
      <w:lang w:val="en-GB" w:eastAsia="en-US"/>
    </w:rPr>
  </w:style>
  <w:style w:type="character" w:styleId="Hyperlink">
    <w:name w:val="Hyperlink"/>
    <w:basedOn w:val="DefaultParagraphFont"/>
    <w:uiPriority w:val="99"/>
    <w:unhideWhenUsed/>
    <w:rsid w:val="004A68F2"/>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semiHidden/>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semiHidden/>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0"/>
      </w:numPr>
      <w:spacing w:before="200"/>
    </w:pPr>
  </w:style>
  <w:style w:type="paragraph" w:customStyle="1" w:styleId="Pointabc1">
    <w:name w:val="Point abc (1)"/>
    <w:basedOn w:val="Normal"/>
    <w:rsid w:val="006E33E2"/>
    <w:pPr>
      <w:numPr>
        <w:ilvl w:val="3"/>
        <w:numId w:val="20"/>
      </w:numPr>
      <w:outlineLvl w:val="0"/>
    </w:pPr>
  </w:style>
  <w:style w:type="paragraph" w:customStyle="1" w:styleId="Pointabc2">
    <w:name w:val="Point abc (2)"/>
    <w:basedOn w:val="Normal"/>
    <w:rsid w:val="006E33E2"/>
    <w:pPr>
      <w:numPr>
        <w:ilvl w:val="5"/>
        <w:numId w:val="20"/>
      </w:numPr>
      <w:outlineLvl w:val="1"/>
    </w:pPr>
  </w:style>
  <w:style w:type="paragraph" w:customStyle="1" w:styleId="Pointabc3">
    <w:name w:val="Point abc (3)"/>
    <w:basedOn w:val="Normal"/>
    <w:rsid w:val="006E33E2"/>
    <w:pPr>
      <w:numPr>
        <w:ilvl w:val="7"/>
        <w:numId w:val="20"/>
      </w:numPr>
      <w:outlineLvl w:val="2"/>
    </w:pPr>
  </w:style>
  <w:style w:type="paragraph" w:customStyle="1" w:styleId="Pointabc4">
    <w:name w:val="Point abc (4)"/>
    <w:basedOn w:val="Normal"/>
    <w:rsid w:val="006E33E2"/>
    <w:pPr>
      <w:numPr>
        <w:ilvl w:val="8"/>
        <w:numId w:val="20"/>
      </w:numPr>
      <w:outlineLvl w:val="3"/>
    </w:pPr>
  </w:style>
  <w:style w:type="paragraph" w:customStyle="1" w:styleId="Point123">
    <w:name w:val="Point 123"/>
    <w:basedOn w:val="Normal"/>
    <w:rsid w:val="006E33E2"/>
    <w:pPr>
      <w:numPr>
        <w:numId w:val="20"/>
      </w:numPr>
      <w:spacing w:before="200"/>
    </w:pPr>
  </w:style>
  <w:style w:type="paragraph" w:customStyle="1" w:styleId="Point1231">
    <w:name w:val="Point 123 (1)"/>
    <w:basedOn w:val="Normal"/>
    <w:rsid w:val="006E33E2"/>
    <w:pPr>
      <w:numPr>
        <w:ilvl w:val="2"/>
        <w:numId w:val="20"/>
      </w:numPr>
      <w:outlineLvl w:val="0"/>
    </w:pPr>
  </w:style>
  <w:style w:type="paragraph" w:customStyle="1" w:styleId="Point1232">
    <w:name w:val="Point 123 (2)"/>
    <w:basedOn w:val="Normal"/>
    <w:rsid w:val="006E33E2"/>
    <w:pPr>
      <w:numPr>
        <w:ilvl w:val="4"/>
        <w:numId w:val="20"/>
      </w:numPr>
      <w:outlineLvl w:val="1"/>
    </w:pPr>
  </w:style>
  <w:style w:type="paragraph" w:customStyle="1" w:styleId="Point1233">
    <w:name w:val="Point 123 (3)"/>
    <w:basedOn w:val="Normal"/>
    <w:rsid w:val="006E33E2"/>
    <w:pPr>
      <w:numPr>
        <w:ilvl w:val="6"/>
        <w:numId w:val="20"/>
      </w:numPr>
      <w:outlineLvl w:val="2"/>
    </w:pPr>
  </w:style>
  <w:style w:type="paragraph" w:customStyle="1" w:styleId="Pointivx">
    <w:name w:val="Point ivx"/>
    <w:basedOn w:val="Normal"/>
    <w:rsid w:val="006E33E2"/>
    <w:pPr>
      <w:numPr>
        <w:numId w:val="21"/>
      </w:numPr>
      <w:spacing w:before="200"/>
    </w:pPr>
  </w:style>
  <w:style w:type="paragraph" w:customStyle="1" w:styleId="Pointivx1">
    <w:name w:val="Point ivx (1)"/>
    <w:basedOn w:val="Normal"/>
    <w:rsid w:val="006E33E2"/>
    <w:pPr>
      <w:numPr>
        <w:ilvl w:val="1"/>
        <w:numId w:val="21"/>
      </w:numPr>
      <w:outlineLvl w:val="0"/>
    </w:pPr>
  </w:style>
  <w:style w:type="paragraph" w:customStyle="1" w:styleId="Pointivx2">
    <w:name w:val="Point ivx (2)"/>
    <w:basedOn w:val="Normal"/>
    <w:rsid w:val="006E33E2"/>
    <w:pPr>
      <w:numPr>
        <w:ilvl w:val="2"/>
        <w:numId w:val="21"/>
      </w:numPr>
      <w:outlineLvl w:val="1"/>
    </w:pPr>
  </w:style>
  <w:style w:type="paragraph" w:customStyle="1" w:styleId="Pointivx3">
    <w:name w:val="Point ivx (3)"/>
    <w:basedOn w:val="Normal"/>
    <w:rsid w:val="006E33E2"/>
    <w:pPr>
      <w:numPr>
        <w:ilvl w:val="3"/>
        <w:numId w:val="21"/>
      </w:numPr>
      <w:outlineLvl w:val="2"/>
    </w:pPr>
  </w:style>
  <w:style w:type="paragraph" w:customStyle="1" w:styleId="Pointivx4">
    <w:name w:val="Point ivx (4)"/>
    <w:basedOn w:val="Normal"/>
    <w:rsid w:val="006E33E2"/>
    <w:pPr>
      <w:numPr>
        <w:ilvl w:val="4"/>
        <w:numId w:val="21"/>
      </w:numPr>
      <w:outlineLvl w:val="3"/>
    </w:pPr>
  </w:style>
  <w:style w:type="paragraph" w:customStyle="1" w:styleId="Bullet">
    <w:name w:val="Bullet"/>
    <w:basedOn w:val="Normal"/>
    <w:rsid w:val="006E33E2"/>
    <w:pPr>
      <w:numPr>
        <w:numId w:val="15"/>
      </w:numPr>
      <w:spacing w:before="200"/>
    </w:pPr>
  </w:style>
  <w:style w:type="paragraph" w:customStyle="1" w:styleId="Bullet1">
    <w:name w:val="Bullet 1"/>
    <w:basedOn w:val="Normal"/>
    <w:rsid w:val="006E33E2"/>
    <w:pPr>
      <w:numPr>
        <w:numId w:val="16"/>
      </w:numPr>
      <w:outlineLvl w:val="0"/>
    </w:pPr>
  </w:style>
  <w:style w:type="paragraph" w:customStyle="1" w:styleId="Bullet2">
    <w:name w:val="Bullet 2"/>
    <w:basedOn w:val="Normal"/>
    <w:rsid w:val="006E33E2"/>
    <w:pPr>
      <w:numPr>
        <w:numId w:val="17"/>
      </w:numPr>
      <w:outlineLvl w:val="1"/>
    </w:pPr>
  </w:style>
  <w:style w:type="paragraph" w:customStyle="1" w:styleId="Bullet3">
    <w:name w:val="Bullet 3"/>
    <w:basedOn w:val="Normal"/>
    <w:rsid w:val="006E33E2"/>
    <w:pPr>
      <w:numPr>
        <w:numId w:val="18"/>
      </w:numPr>
      <w:outlineLvl w:val="2"/>
    </w:pPr>
  </w:style>
  <w:style w:type="paragraph" w:customStyle="1" w:styleId="Bullet4">
    <w:name w:val="Bullet 4"/>
    <w:basedOn w:val="Normal"/>
    <w:rsid w:val="006E33E2"/>
    <w:pPr>
      <w:numPr>
        <w:numId w:val="19"/>
      </w:numPr>
      <w:outlineLvl w:val="3"/>
    </w:pPr>
  </w:style>
  <w:style w:type="paragraph" w:customStyle="1" w:styleId="Dash">
    <w:name w:val="Dash"/>
    <w:basedOn w:val="Normal"/>
    <w:rsid w:val="006E33E2"/>
    <w:pPr>
      <w:numPr>
        <w:numId w:val="5"/>
      </w:numPr>
      <w:spacing w:before="200"/>
    </w:pPr>
  </w:style>
  <w:style w:type="paragraph" w:customStyle="1" w:styleId="Dash1">
    <w:name w:val="Dash 1"/>
    <w:basedOn w:val="Normal"/>
    <w:rsid w:val="006E33E2"/>
    <w:pPr>
      <w:numPr>
        <w:numId w:val="6"/>
      </w:numPr>
      <w:outlineLvl w:val="0"/>
    </w:pPr>
  </w:style>
  <w:style w:type="paragraph" w:customStyle="1" w:styleId="Dash2">
    <w:name w:val="Dash 2"/>
    <w:basedOn w:val="Normal"/>
    <w:rsid w:val="006E33E2"/>
    <w:pPr>
      <w:numPr>
        <w:numId w:val="7"/>
      </w:numPr>
      <w:outlineLvl w:val="1"/>
    </w:pPr>
  </w:style>
  <w:style w:type="paragraph" w:customStyle="1" w:styleId="Dash3">
    <w:name w:val="Dash 3"/>
    <w:basedOn w:val="Normal"/>
    <w:rsid w:val="006E33E2"/>
    <w:pPr>
      <w:numPr>
        <w:numId w:val="8"/>
      </w:numPr>
      <w:outlineLvl w:val="2"/>
    </w:pPr>
  </w:style>
  <w:style w:type="paragraph" w:customStyle="1" w:styleId="Dash4">
    <w:name w:val="Dash 4"/>
    <w:basedOn w:val="Normal"/>
    <w:rsid w:val="006E33E2"/>
    <w:pPr>
      <w:numPr>
        <w:numId w:val="9"/>
      </w:numPr>
      <w:outlineLvl w:val="3"/>
    </w:pPr>
  </w:style>
  <w:style w:type="paragraph" w:customStyle="1" w:styleId="DashEqual">
    <w:name w:val="Dash Equal"/>
    <w:basedOn w:val="Dash"/>
    <w:rsid w:val="006E33E2"/>
    <w:pPr>
      <w:numPr>
        <w:numId w:val="10"/>
      </w:numPr>
    </w:pPr>
  </w:style>
  <w:style w:type="paragraph" w:customStyle="1" w:styleId="DashEqual1">
    <w:name w:val="Dash Equal 1"/>
    <w:basedOn w:val="Dash1"/>
    <w:rsid w:val="006E33E2"/>
    <w:pPr>
      <w:numPr>
        <w:numId w:val="11"/>
      </w:numPr>
    </w:pPr>
  </w:style>
  <w:style w:type="paragraph" w:customStyle="1" w:styleId="DashEqual2">
    <w:name w:val="Dash Equal 2"/>
    <w:basedOn w:val="Dash2"/>
    <w:rsid w:val="006E33E2"/>
    <w:pPr>
      <w:numPr>
        <w:numId w:val="12"/>
      </w:numPr>
    </w:pPr>
  </w:style>
  <w:style w:type="paragraph" w:customStyle="1" w:styleId="DashEqual3">
    <w:name w:val="Dash Equal 3"/>
    <w:basedOn w:val="Dash3"/>
    <w:rsid w:val="006E33E2"/>
    <w:pPr>
      <w:numPr>
        <w:numId w:val="13"/>
      </w:numPr>
    </w:pPr>
  </w:style>
  <w:style w:type="paragraph" w:customStyle="1" w:styleId="DashEqual4">
    <w:name w:val="Dash Equal 4"/>
    <w:basedOn w:val="Dash4"/>
    <w:rsid w:val="006E33E2"/>
    <w:pPr>
      <w:numPr>
        <w:numId w:val="14"/>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2"/>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3"/>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7A5277"/>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7A5277"/>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7A5277"/>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7A5277"/>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9</Pages>
  <Words>2356</Words>
  <Characters>12560</Characters>
  <Application>Microsoft Office Word</Application>
  <DocSecurity>0</DocSecurity>
  <Lines>246</Lines>
  <Paragraphs>140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2</cp:revision>
  <cp:lastPrinted>2015-06-16T12:40:00Z</cp:lastPrinted>
  <dcterms:created xsi:type="dcterms:W3CDTF">2015-06-22T10:21:00Z</dcterms:created>
  <dcterms:modified xsi:type="dcterms:W3CDTF">2015-06-22T10:21:00Z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