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FC" w:rsidRPr="000643C0" w:rsidRDefault="00CD5A8F" w:rsidP="000643C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28c4c0c-63c9-43ca-91bb-f9665f81d98f_0" style="width:568.5pt;height:330pt">
            <v:imagedata r:id="rId8" o:title=""/>
          </v:shape>
        </w:pict>
      </w:r>
      <w:bookmarkEnd w:id="0"/>
    </w:p>
    <w:p w:rsidR="00080A9B" w:rsidRPr="00D32D27" w:rsidRDefault="00080A9B" w:rsidP="00080A9B">
      <w:pPr>
        <w:pStyle w:val="HeadingCentered"/>
        <w:spacing w:before="1200" w:after="1080"/>
      </w:pPr>
      <w:r w:rsidRPr="00D32D27">
        <w:br w:type="page"/>
      </w:r>
      <w:r w:rsidRPr="00D32D27">
        <w:lastRenderedPageBreak/>
        <w:t>PUBLIC DELIBERATION ITEMS</w:t>
      </w:r>
      <w:r w:rsidRPr="00D32D27">
        <w:rPr>
          <w:rStyle w:val="FootnoteReference"/>
        </w:rPr>
        <w:footnoteReference w:id="1"/>
      </w:r>
    </w:p>
    <w:p w:rsidR="00080A9B" w:rsidRPr="00D32D27" w:rsidRDefault="00080A9B" w:rsidP="00080A9B">
      <w:pPr>
        <w:pStyle w:val="NormalRight"/>
        <w:spacing w:before="0"/>
        <w:rPr>
          <w:b/>
        </w:rPr>
      </w:pPr>
      <w:r w:rsidRPr="00D32D27">
        <w:rPr>
          <w:b/>
        </w:rPr>
        <w:t>Page</w:t>
      </w:r>
    </w:p>
    <w:p w:rsidR="00080A9B" w:rsidRPr="00D32D27" w:rsidRDefault="00080A9B" w:rsidP="00080A9B">
      <w:pPr>
        <w:pStyle w:val="HeadingLeft"/>
        <w:rPr>
          <w:u w:val="none"/>
          <w:lang w:eastAsia="sl-SI"/>
        </w:rPr>
      </w:pPr>
      <w:r>
        <w:rPr>
          <w:u w:val="none"/>
          <w:lang w:eastAsia="sl-SI"/>
        </w:rPr>
        <w:t>non-</w:t>
      </w:r>
      <w:r w:rsidRPr="00D32D27">
        <w:rPr>
          <w:u w:val="none"/>
          <w:lang w:eastAsia="sl-SI"/>
        </w:rPr>
        <w:t xml:space="preserve">LEGISLATIVE </w:t>
      </w:r>
      <w:r>
        <w:rPr>
          <w:u w:val="none"/>
          <w:lang w:eastAsia="sl-SI"/>
        </w:rPr>
        <w:t>activities  -  public debates</w:t>
      </w:r>
    </w:p>
    <w:p w:rsidR="00080A9B" w:rsidRPr="00D32D27" w:rsidRDefault="00080A9B" w:rsidP="00080A9B">
      <w:pPr>
        <w:spacing w:before="480"/>
        <w:rPr>
          <w:bCs/>
        </w:rPr>
      </w:pPr>
      <w:r w:rsidRPr="00D32D27">
        <w:rPr>
          <w:bCs/>
          <w:u w:val="single"/>
        </w:rPr>
        <w:t>"</w:t>
      </w:r>
      <w:r>
        <w:rPr>
          <w:bCs/>
          <w:u w:val="single"/>
        </w:rPr>
        <w:t>B</w:t>
      </w:r>
      <w:r w:rsidRPr="00D32D27">
        <w:rPr>
          <w:bCs/>
          <w:u w:val="single"/>
        </w:rPr>
        <w:t>" ITEMS</w:t>
      </w:r>
      <w:r w:rsidRPr="00D32D27">
        <w:rPr>
          <w:bCs/>
        </w:rPr>
        <w:t xml:space="preserve"> (doc. </w:t>
      </w:r>
      <w:r>
        <w:rPr>
          <w:bCs/>
        </w:rPr>
        <w:t>8605/15</w:t>
      </w:r>
      <w:r w:rsidRPr="004226B4">
        <w:t xml:space="preserve"> OJ CONS </w:t>
      </w:r>
      <w:r>
        <w:t>25 EDUC 120 JEUN 39 CULT 28 AUDIO 12 SPORT 16</w:t>
      </w:r>
      <w:r w:rsidRPr="00D32D27">
        <w:rPr>
          <w:bCs/>
        </w:rPr>
        <w:t>)</w:t>
      </w:r>
    </w:p>
    <w:p w:rsidR="00080A9B" w:rsidRPr="00BA236C" w:rsidRDefault="00080A9B" w:rsidP="00080A9B">
      <w:pPr>
        <w:pStyle w:val="PointManual"/>
        <w:tabs>
          <w:tab w:val="right" w:leader="dot" w:pos="9639"/>
        </w:tabs>
        <w:spacing w:before="360"/>
      </w:pPr>
      <w:r>
        <w:t>3</w:t>
      </w:r>
      <w:r w:rsidRPr="00BA236C">
        <w:t>.</w:t>
      </w:r>
      <w:r w:rsidRPr="00BA236C">
        <w:tab/>
      </w:r>
      <w:r w:rsidRPr="009A386A">
        <w:rPr>
          <w:lang w:val="en-US"/>
        </w:rPr>
        <w:t>"ET2020" mid-term stocktaking and preparation of the 2015 Joint Report</w:t>
      </w:r>
      <w:r>
        <w:tab/>
        <w:t>3</w:t>
      </w:r>
    </w:p>
    <w:p w:rsidR="00080A9B" w:rsidRPr="00AE79B8" w:rsidRDefault="00080A9B" w:rsidP="00080A9B">
      <w:pPr>
        <w:pStyle w:val="PointManual"/>
        <w:tabs>
          <w:tab w:val="right" w:leader="dot" w:pos="9639"/>
        </w:tabs>
      </w:pPr>
      <w:r>
        <w:t>7.</w:t>
      </w:r>
      <w:r>
        <w:tab/>
      </w:r>
      <w:r w:rsidRPr="006F3877">
        <w:rPr>
          <w:rFonts w:eastAsia="Calibri"/>
          <w:lang w:val="en-US"/>
        </w:rPr>
        <w:t xml:space="preserve">Empowering young people for political participation in the democratic life </w:t>
      </w:r>
      <w:r>
        <w:rPr>
          <w:rFonts w:eastAsia="Calibri"/>
          <w:lang w:val="en-US"/>
        </w:rPr>
        <w:t>in</w:t>
      </w:r>
      <w:r w:rsidRPr="006F3877">
        <w:rPr>
          <w:rFonts w:eastAsia="Calibri"/>
          <w:lang w:val="en-US"/>
        </w:rPr>
        <w:t xml:space="preserve"> Europe</w:t>
      </w:r>
      <w:r w:rsidRPr="00AE79B8">
        <w:tab/>
      </w:r>
      <w:r>
        <w:t>3</w:t>
      </w:r>
    </w:p>
    <w:p w:rsidR="00080A9B" w:rsidRDefault="00080A9B" w:rsidP="00080A9B">
      <w:pPr>
        <w:pStyle w:val="PointManual"/>
        <w:tabs>
          <w:tab w:val="right" w:leader="dot" w:pos="9639"/>
        </w:tabs>
      </w:pPr>
      <w:r>
        <w:t>9.</w:t>
      </w:r>
      <w:r>
        <w:tab/>
      </w:r>
      <w:r w:rsidRPr="006F3877">
        <w:rPr>
          <w:rFonts w:eastAsia="Calibri"/>
          <w:lang w:val="en-US"/>
        </w:rPr>
        <w:t>Future European Audiovisual Policy in the Framewo</w:t>
      </w:r>
      <w:r>
        <w:rPr>
          <w:rFonts w:eastAsia="Calibri"/>
          <w:lang w:val="en-US"/>
        </w:rPr>
        <w:t>rk of the Digital Single Market</w:t>
      </w:r>
      <w:r>
        <w:rPr>
          <w:rFonts w:eastAsia="Calibri"/>
          <w:lang w:val="en-US"/>
        </w:rPr>
        <w:br/>
      </w:r>
      <w:r w:rsidRPr="006F3877">
        <w:rPr>
          <w:rFonts w:eastAsia="Calibri"/>
          <w:lang w:val="en-US"/>
        </w:rPr>
        <w:t>Strategy</w:t>
      </w:r>
      <w:r>
        <w:tab/>
        <w:t>4</w:t>
      </w:r>
    </w:p>
    <w:p w:rsidR="00080A9B" w:rsidRPr="0084352F" w:rsidRDefault="00080A9B" w:rsidP="00080A9B">
      <w:pPr>
        <w:pStyle w:val="PointManual1"/>
        <w:spacing w:before="60"/>
        <w:rPr>
          <w:kern w:val="3"/>
          <w:lang w:eastAsia="zh-CN"/>
        </w:rPr>
      </w:pPr>
      <w:r w:rsidRPr="0084352F">
        <w:t>(a)</w:t>
      </w:r>
      <w:r w:rsidRPr="0084352F">
        <w:tab/>
      </w:r>
      <w:r>
        <w:t>A Digital Single Market Strategy for Europe</w:t>
      </w:r>
    </w:p>
    <w:p w:rsidR="00080A9B" w:rsidRPr="005F3D27" w:rsidRDefault="00080A9B" w:rsidP="00080A9B">
      <w:pPr>
        <w:pStyle w:val="PointManual1"/>
      </w:pPr>
      <w:r w:rsidRPr="005F3D27">
        <w:t>(b)</w:t>
      </w:r>
      <w:r w:rsidRPr="005F3D27">
        <w:tab/>
      </w:r>
      <w:r w:rsidRPr="006F3877">
        <w:rPr>
          <w:lang w:val="en-US"/>
        </w:rPr>
        <w:t>The functioning of the Audiovisual Media Servi</w:t>
      </w:r>
      <w:r>
        <w:rPr>
          <w:lang w:val="en-US"/>
        </w:rPr>
        <w:t>ces Directive in the context of</w:t>
      </w:r>
      <w:r>
        <w:rPr>
          <w:lang w:val="en-US"/>
        </w:rPr>
        <w:br/>
      </w:r>
      <w:r w:rsidRPr="006F3877">
        <w:rPr>
          <w:lang w:val="en-US"/>
        </w:rPr>
        <w:t>the current geopolitical situation</w:t>
      </w:r>
    </w:p>
    <w:p w:rsidR="00080A9B" w:rsidRDefault="00080A9B" w:rsidP="00080A9B">
      <w:pPr>
        <w:pStyle w:val="PointManual"/>
        <w:tabs>
          <w:tab w:val="right" w:leader="dot" w:pos="9639"/>
        </w:tabs>
      </w:pPr>
      <w:r>
        <w:t>13.</w:t>
      </w:r>
      <w:r>
        <w:tab/>
      </w:r>
      <w:r w:rsidRPr="006F3877">
        <w:rPr>
          <w:rFonts w:eastAsia="Calibri"/>
          <w:lang w:val="en-US"/>
        </w:rPr>
        <w:t>Physical activity as an essential element of quality education at all levels – cooperation models with the sport sector</w:t>
      </w:r>
      <w:r>
        <w:tab/>
        <w:t>5</w:t>
      </w:r>
    </w:p>
    <w:p w:rsidR="00080A9B" w:rsidRPr="00D32D27" w:rsidRDefault="00080A9B" w:rsidP="00080A9B">
      <w:pPr>
        <w:pStyle w:val="NormalCentered"/>
        <w:spacing w:before="600"/>
      </w:pPr>
      <w:r w:rsidRPr="00D32D27">
        <w:t>*</w:t>
      </w:r>
    </w:p>
    <w:p w:rsidR="00080A9B" w:rsidRPr="00D32D27" w:rsidRDefault="00080A9B" w:rsidP="00080A9B">
      <w:pPr>
        <w:pStyle w:val="NormalCentered"/>
        <w:spacing w:before="120"/>
      </w:pPr>
      <w:r w:rsidRPr="00D32D27">
        <w:t>*</w:t>
      </w:r>
      <w:r w:rsidRPr="00D32D27">
        <w:tab/>
        <w:t>*</w:t>
      </w:r>
    </w:p>
    <w:p w:rsidR="00080A9B" w:rsidRPr="00080A9B" w:rsidRDefault="00080A9B" w:rsidP="00080A9B">
      <w:pPr>
        <w:pageBreakBefore/>
        <w:rPr>
          <w:b/>
          <w:bCs/>
          <w:u w:val="single"/>
        </w:rPr>
      </w:pPr>
      <w:r w:rsidRPr="00080A9B">
        <w:rPr>
          <w:b/>
          <w:bCs/>
          <w:u w:val="single"/>
          <w:lang w:eastAsia="sl-SI"/>
        </w:rPr>
        <w:lastRenderedPageBreak/>
        <w:t>NON-LEGISLATIVE ACTIVITIES  -  PUBLIC DEBATES</w:t>
      </w:r>
    </w:p>
    <w:p w:rsidR="00080A9B" w:rsidRDefault="00080A9B" w:rsidP="00080A9B">
      <w:pPr>
        <w:rPr>
          <w:b/>
          <w:i/>
          <w:iCs/>
        </w:rPr>
      </w:pPr>
      <w:r w:rsidRPr="00C72B1E">
        <w:rPr>
          <w:b/>
          <w:i/>
          <w:iCs/>
        </w:rPr>
        <w:t>(Public de</w:t>
      </w:r>
      <w:r>
        <w:rPr>
          <w:b/>
          <w:i/>
          <w:iCs/>
        </w:rPr>
        <w:t>bate</w:t>
      </w:r>
      <w:r w:rsidRPr="00C72B1E">
        <w:rPr>
          <w:b/>
          <w:i/>
          <w:iCs/>
        </w:rPr>
        <w:t xml:space="preserve"> in accordance with Ar</w:t>
      </w:r>
      <w:r>
        <w:rPr>
          <w:b/>
          <w:i/>
          <w:iCs/>
        </w:rPr>
        <w:t>ticle </w:t>
      </w:r>
      <w:r w:rsidRPr="00C72B1E">
        <w:rPr>
          <w:b/>
          <w:i/>
          <w:iCs/>
        </w:rPr>
        <w:t>8</w:t>
      </w:r>
      <w:r>
        <w:rPr>
          <w:b/>
          <w:i/>
          <w:iCs/>
        </w:rPr>
        <w:t>(2</w:t>
      </w:r>
      <w:r w:rsidRPr="00C72B1E">
        <w:rPr>
          <w:b/>
          <w:i/>
          <w:iCs/>
        </w:rPr>
        <w:t xml:space="preserve">) of the </w:t>
      </w:r>
      <w:r>
        <w:rPr>
          <w:b/>
          <w:i/>
          <w:iCs/>
        </w:rPr>
        <w:t>Council's Rules of Procedure</w:t>
      </w:r>
      <w:r w:rsidRPr="00C72B1E">
        <w:rPr>
          <w:b/>
          <w:i/>
          <w:iCs/>
        </w:rPr>
        <w:t>)</w:t>
      </w:r>
    </w:p>
    <w:p w:rsidR="00080A9B" w:rsidRPr="00965D63" w:rsidRDefault="00080A9B" w:rsidP="00080A9B">
      <w:pPr>
        <w:pStyle w:val="HeadingCentered"/>
        <w:spacing w:before="360"/>
        <w:rPr>
          <w:b w:val="0"/>
          <w:bCs/>
          <w:lang w:eastAsia="fr-BE"/>
        </w:rPr>
      </w:pPr>
      <w:r w:rsidRPr="00965D63">
        <w:rPr>
          <w:b w:val="0"/>
          <w:bCs/>
          <w:lang w:eastAsia="fr-BE"/>
        </w:rPr>
        <w:t>EDUCATION</w:t>
      </w:r>
    </w:p>
    <w:p w:rsidR="00080A9B" w:rsidRPr="00080A9B" w:rsidRDefault="00080A9B" w:rsidP="00080A9B">
      <w:pPr>
        <w:pStyle w:val="PointManual"/>
        <w:rPr>
          <w:rFonts w:eastAsia="Calibri"/>
          <w:b/>
          <w:bCs/>
          <w:lang w:val="en-US"/>
        </w:rPr>
      </w:pPr>
      <w:r w:rsidRPr="00080A9B">
        <w:rPr>
          <w:rFonts w:eastAsia="Calibri"/>
          <w:b/>
          <w:bCs/>
          <w:lang w:val="en-US"/>
        </w:rPr>
        <w:t>3.</w:t>
      </w:r>
      <w:r w:rsidRPr="00080A9B">
        <w:rPr>
          <w:rFonts w:eastAsia="Calibri"/>
          <w:b/>
          <w:bCs/>
          <w:lang w:val="en-US"/>
        </w:rPr>
        <w:tab/>
        <w:t>"ET2020" mid-term stocktaking and preparation of the 2015 Joint Report</w:t>
      </w:r>
    </w:p>
    <w:p w:rsidR="00080A9B" w:rsidRPr="006F3877" w:rsidRDefault="00080A9B" w:rsidP="00080A9B">
      <w:pPr>
        <w:pStyle w:val="Dash1"/>
        <w:numPr>
          <w:ilvl w:val="0"/>
          <w:numId w:val="30"/>
        </w:numPr>
      </w:pPr>
      <w:r w:rsidRPr="006F3877">
        <w:t>Policy debate</w:t>
      </w:r>
    </w:p>
    <w:p w:rsidR="00080A9B" w:rsidRPr="00F12D16" w:rsidRDefault="00080A9B" w:rsidP="00080A9B">
      <w:pPr>
        <w:pStyle w:val="Text2"/>
        <w:rPr>
          <w:i/>
          <w:iCs/>
        </w:rPr>
      </w:pPr>
      <w:r w:rsidRPr="00F12D16">
        <w:rPr>
          <w:i/>
          <w:iCs/>
        </w:rPr>
        <w:t>(Public debate in accordance with Article 8(2) of the Council's Rules of Procedure)</w:t>
      </w:r>
    </w:p>
    <w:p w:rsidR="00080A9B" w:rsidRPr="00184393" w:rsidRDefault="00080A9B" w:rsidP="00080A9B">
      <w:pPr>
        <w:pStyle w:val="Text3"/>
        <w:rPr>
          <w:rFonts w:eastAsia="Calibri"/>
          <w:lang w:val="es-ES"/>
        </w:rPr>
      </w:pPr>
      <w:r>
        <w:rPr>
          <w:rFonts w:eastAsia="Calibri"/>
          <w:lang w:val="es-ES"/>
        </w:rPr>
        <w:t>8039/15 EDUC 104 JE</w:t>
      </w:r>
      <w:r w:rsidRPr="00184393">
        <w:rPr>
          <w:rFonts w:eastAsia="Calibri"/>
          <w:lang w:val="es-ES"/>
        </w:rPr>
        <w:t xml:space="preserve">UN 28 SOC 240 EMPL 143 RECH 96 MI 235 </w:t>
      </w:r>
    </w:p>
    <w:p w:rsidR="00080A9B" w:rsidRDefault="00080A9B" w:rsidP="00080A9B">
      <w:pPr>
        <w:pStyle w:val="Text5"/>
        <w:rPr>
          <w:rFonts w:eastAsia="Calibri"/>
        </w:rPr>
      </w:pPr>
      <w:r>
        <w:rPr>
          <w:rFonts w:eastAsia="Calibri"/>
        </w:rPr>
        <w:t>COMPET 151</w:t>
      </w:r>
    </w:p>
    <w:p w:rsidR="00080A9B" w:rsidRPr="006F3877" w:rsidRDefault="00080A9B" w:rsidP="00080A9B">
      <w:pPr>
        <w:pStyle w:val="Text4"/>
        <w:rPr>
          <w:rFonts w:eastAsia="Calibri"/>
        </w:rPr>
      </w:pPr>
      <w:r>
        <w:rPr>
          <w:rFonts w:eastAsia="Calibri"/>
        </w:rPr>
        <w:t>+ COR 1 (cs)</w:t>
      </w:r>
    </w:p>
    <w:p w:rsidR="000643C0" w:rsidRDefault="000643C0" w:rsidP="000643C0">
      <w:pPr>
        <w:pStyle w:val="Text1"/>
        <w:spacing w:before="200" w:line="360" w:lineRule="auto"/>
      </w:pPr>
      <w:r w:rsidRPr="00D10A6E">
        <w:t>On the basis of the question paper prepared by the Presidency (see doc.</w:t>
      </w:r>
      <w:r>
        <w:t> </w:t>
      </w:r>
      <w:r>
        <w:rPr>
          <w:bCs/>
          <w:lang w:val="cs-CZ"/>
        </w:rPr>
        <w:t>8039/15</w:t>
      </w:r>
      <w:r w:rsidRPr="00D10A6E">
        <w:t xml:space="preserve">), </w:t>
      </w:r>
      <w:r w:rsidRPr="00482FA3">
        <w:rPr>
          <w:u w:val="single"/>
        </w:rPr>
        <w:t xml:space="preserve">the </w:t>
      </w:r>
      <w:r w:rsidRPr="00D10A6E">
        <w:rPr>
          <w:u w:val="single"/>
        </w:rPr>
        <w:t>Council</w:t>
      </w:r>
      <w:r w:rsidRPr="00D10A6E">
        <w:t xml:space="preserve"> held a policy debate on the above topic</w:t>
      </w:r>
      <w:r>
        <w:t>, in which Ministers broadly reconfirmed the current objectives of the "ET2020" strategic framework, but called for more streamlined governance, working methods and reporting, fewer and more operational priorities, an extension of the work cycle to 5 years, closer collaboration with the employment sector and better dissemination of the results of European cooperation.</w:t>
      </w:r>
    </w:p>
    <w:p w:rsidR="000643C0" w:rsidRPr="00F12D16" w:rsidRDefault="000643C0" w:rsidP="000643C0">
      <w:pPr>
        <w:pStyle w:val="Text1"/>
        <w:spacing w:before="240" w:line="360" w:lineRule="auto"/>
        <w:rPr>
          <w:color w:val="000000"/>
        </w:rPr>
      </w:pPr>
      <w:r>
        <w:t xml:space="preserve">There were also calls </w:t>
      </w:r>
      <w:r w:rsidRPr="0058342E">
        <w:rPr>
          <w:color w:val="000000"/>
        </w:rPr>
        <w:t>for</w:t>
      </w:r>
      <w:r>
        <w:t xml:space="preserve"> greater emphasis on inclusive education, citizenship and the acquisition of common European values. </w:t>
      </w:r>
      <w:r w:rsidRPr="0041700E">
        <w:rPr>
          <w:u w:val="single"/>
        </w:rPr>
        <w:t>The Commission</w:t>
      </w:r>
      <w:r>
        <w:t xml:space="preserve"> indicated that it would take into account the results of the debate in its forthcoming "ET2020" draft Joint Report.</w:t>
      </w:r>
    </w:p>
    <w:p w:rsidR="00080A9B" w:rsidRPr="00080A9B" w:rsidRDefault="00080A9B" w:rsidP="00080A9B">
      <w:pPr>
        <w:pStyle w:val="PointManual"/>
        <w:spacing w:before="600"/>
        <w:rPr>
          <w:rFonts w:eastAsia="Calibri"/>
          <w:b/>
          <w:bCs/>
          <w:lang w:val="en-US"/>
        </w:rPr>
      </w:pPr>
      <w:r w:rsidRPr="00080A9B">
        <w:rPr>
          <w:rFonts w:eastAsia="Calibri"/>
          <w:b/>
          <w:bCs/>
          <w:lang w:val="en-US"/>
        </w:rPr>
        <w:t>7.</w:t>
      </w:r>
      <w:r w:rsidRPr="00080A9B">
        <w:rPr>
          <w:rFonts w:eastAsia="Calibri"/>
          <w:b/>
          <w:bCs/>
          <w:lang w:val="en-US"/>
        </w:rPr>
        <w:tab/>
        <w:t>Empowering young people for political participation in the democratic life in Europe</w:t>
      </w:r>
    </w:p>
    <w:p w:rsidR="00080A9B" w:rsidRPr="006F3877" w:rsidRDefault="00080A9B" w:rsidP="00080A9B">
      <w:pPr>
        <w:pStyle w:val="Dash1"/>
      </w:pPr>
      <w:r w:rsidRPr="006F3877">
        <w:t>Policy debate</w:t>
      </w:r>
    </w:p>
    <w:p w:rsidR="00080A9B" w:rsidRPr="00F12D16" w:rsidRDefault="00080A9B" w:rsidP="00080A9B">
      <w:pPr>
        <w:pStyle w:val="Text2"/>
        <w:rPr>
          <w:i/>
          <w:iCs/>
        </w:rPr>
      </w:pPr>
      <w:r w:rsidRPr="00F12D16">
        <w:rPr>
          <w:i/>
          <w:iCs/>
        </w:rPr>
        <w:t>(Public debate in accordance with Article 8(2) of the Council's Rules of Procedure)</w:t>
      </w:r>
    </w:p>
    <w:p w:rsidR="00080A9B" w:rsidRDefault="00080A9B" w:rsidP="00080A9B">
      <w:pPr>
        <w:pStyle w:val="Text3"/>
      </w:pPr>
      <w:r>
        <w:t>8095/15 JEUN 31 EDUC 107 SOC 243</w:t>
      </w:r>
    </w:p>
    <w:p w:rsidR="000643C0" w:rsidRPr="001776F9" w:rsidRDefault="000643C0" w:rsidP="000643C0">
      <w:pPr>
        <w:pStyle w:val="Text1"/>
        <w:spacing w:before="240" w:line="360" w:lineRule="auto"/>
        <w:rPr>
          <w:color w:val="000000"/>
        </w:rPr>
      </w:pPr>
      <w:r w:rsidRPr="006E1336">
        <w:rPr>
          <w:u w:val="single"/>
        </w:rPr>
        <w:t>The Council</w:t>
      </w:r>
      <w:r>
        <w:t xml:space="preserve"> </w:t>
      </w:r>
      <w:r w:rsidRPr="001776F9">
        <w:rPr>
          <w:color w:val="000000"/>
        </w:rPr>
        <w:t xml:space="preserve">held a </w:t>
      </w:r>
      <w:r w:rsidRPr="00156A7D">
        <w:rPr>
          <w:color w:val="000000"/>
        </w:rPr>
        <w:t>policy</w:t>
      </w:r>
      <w:r w:rsidRPr="001776F9">
        <w:rPr>
          <w:color w:val="000000"/>
        </w:rPr>
        <w:t xml:space="preserve"> debate on the a</w:t>
      </w:r>
      <w:r>
        <w:rPr>
          <w:color w:val="000000"/>
        </w:rPr>
        <w:t>bove topic on the basis of a di</w:t>
      </w:r>
      <w:r w:rsidRPr="001776F9">
        <w:rPr>
          <w:color w:val="000000"/>
        </w:rPr>
        <w:t>scussion paper prepared by the Presidency (doc.</w:t>
      </w:r>
      <w:r>
        <w:rPr>
          <w:color w:val="000000"/>
        </w:rPr>
        <w:t> 8095/15).</w:t>
      </w:r>
    </w:p>
    <w:p w:rsidR="000643C0" w:rsidRPr="00805A06" w:rsidRDefault="000643C0" w:rsidP="000643C0">
      <w:pPr>
        <w:pStyle w:val="Text1"/>
        <w:spacing w:before="240" w:line="360" w:lineRule="auto"/>
        <w:rPr>
          <w:color w:val="000000"/>
        </w:rPr>
      </w:pPr>
      <w:r w:rsidRPr="004D22BE">
        <w:rPr>
          <w:iCs/>
          <w:u w:val="single"/>
        </w:rPr>
        <w:t>Ministers</w:t>
      </w:r>
      <w:r w:rsidRPr="00805A06">
        <w:rPr>
          <w:color w:val="000000"/>
        </w:rPr>
        <w:t xml:space="preserve"> stressed that </w:t>
      </w:r>
      <w:r>
        <w:rPr>
          <w:color w:val="000000"/>
        </w:rPr>
        <w:t xml:space="preserve">whilst </w:t>
      </w:r>
      <w:r w:rsidRPr="00805A06">
        <w:rPr>
          <w:color w:val="000000"/>
        </w:rPr>
        <w:t xml:space="preserve">young people are interested in political participation, </w:t>
      </w:r>
      <w:r>
        <w:rPr>
          <w:color w:val="000000"/>
        </w:rPr>
        <w:t>they</w:t>
      </w:r>
      <w:r w:rsidRPr="00805A06">
        <w:rPr>
          <w:color w:val="000000"/>
        </w:rPr>
        <w:t xml:space="preserve"> are </w:t>
      </w:r>
      <w:r>
        <w:rPr>
          <w:color w:val="000000"/>
        </w:rPr>
        <w:t xml:space="preserve">increasingly </w:t>
      </w:r>
      <w:r w:rsidRPr="00805A06">
        <w:rPr>
          <w:color w:val="000000"/>
        </w:rPr>
        <w:t xml:space="preserve">participating in new and less conventional ways such as social media and internet campaigns. </w:t>
      </w:r>
      <w:r>
        <w:rPr>
          <w:color w:val="000000"/>
        </w:rPr>
        <w:t xml:space="preserve">To enhance the engagement of young people, Ministers highlighted, inter alia, the need to </w:t>
      </w:r>
      <w:r w:rsidRPr="00805A06">
        <w:rPr>
          <w:color w:val="000000"/>
        </w:rPr>
        <w:t>strengthen civic and political education and increase support from families and school in order to combat extremism and radicalisation</w:t>
      </w:r>
      <w:r>
        <w:rPr>
          <w:color w:val="000000"/>
        </w:rPr>
        <w:t xml:space="preserve">, </w:t>
      </w:r>
      <w:r w:rsidRPr="00805A06">
        <w:rPr>
          <w:color w:val="000000"/>
        </w:rPr>
        <w:t xml:space="preserve">make </w:t>
      </w:r>
      <w:r>
        <w:rPr>
          <w:color w:val="000000"/>
        </w:rPr>
        <w:t>better</w:t>
      </w:r>
      <w:r w:rsidRPr="00805A06">
        <w:rPr>
          <w:color w:val="000000"/>
        </w:rPr>
        <w:t xml:space="preserve"> use of new technologies</w:t>
      </w:r>
      <w:r>
        <w:rPr>
          <w:color w:val="000000"/>
        </w:rPr>
        <w:t xml:space="preserve"> in</w:t>
      </w:r>
      <w:r w:rsidRPr="00805A06">
        <w:rPr>
          <w:color w:val="000000"/>
        </w:rPr>
        <w:t xml:space="preserve"> </w:t>
      </w:r>
      <w:r>
        <w:rPr>
          <w:color w:val="000000"/>
        </w:rPr>
        <w:t xml:space="preserve">electoral processes, develop </w:t>
      </w:r>
      <w:r w:rsidRPr="00805A06">
        <w:rPr>
          <w:color w:val="000000"/>
        </w:rPr>
        <w:t>specific projects dedicated to creating more dialogue with and between young people</w:t>
      </w:r>
      <w:r>
        <w:rPr>
          <w:color w:val="000000"/>
        </w:rPr>
        <w:t>, and c</w:t>
      </w:r>
      <w:r w:rsidRPr="00805A06">
        <w:rPr>
          <w:color w:val="000000"/>
        </w:rPr>
        <w:t xml:space="preserve">ontinue to exchange best practices </w:t>
      </w:r>
      <w:r>
        <w:rPr>
          <w:color w:val="000000"/>
        </w:rPr>
        <w:t>at the EU level.</w:t>
      </w:r>
    </w:p>
    <w:p w:rsidR="00080A9B" w:rsidRPr="00D23333" w:rsidRDefault="00080A9B" w:rsidP="00080A9B">
      <w:pPr>
        <w:pStyle w:val="HeadingCentered"/>
        <w:pageBreakBefore/>
        <w:spacing w:before="360"/>
        <w:rPr>
          <w:b w:val="0"/>
          <w:bCs/>
          <w:lang w:eastAsia="fr-BE"/>
        </w:rPr>
      </w:pPr>
      <w:r w:rsidRPr="00D23333">
        <w:rPr>
          <w:b w:val="0"/>
          <w:bCs/>
          <w:lang w:eastAsia="fr-BE"/>
        </w:rPr>
        <w:lastRenderedPageBreak/>
        <w:t>AUDIOVISUAL / CULTURE</w:t>
      </w:r>
    </w:p>
    <w:p w:rsidR="00080A9B" w:rsidRPr="00080A9B" w:rsidRDefault="00080A9B" w:rsidP="00080A9B">
      <w:pPr>
        <w:pStyle w:val="PointManual"/>
        <w:spacing w:before="240"/>
        <w:rPr>
          <w:rFonts w:eastAsia="Calibri"/>
          <w:b/>
          <w:bCs/>
          <w:lang w:val="en-US"/>
        </w:rPr>
      </w:pPr>
      <w:r w:rsidRPr="00080A9B">
        <w:rPr>
          <w:rFonts w:eastAsia="Calibri"/>
          <w:b/>
          <w:bCs/>
          <w:lang w:val="en-US"/>
        </w:rPr>
        <w:t>9.</w:t>
      </w:r>
      <w:r w:rsidRPr="00080A9B">
        <w:rPr>
          <w:rFonts w:eastAsia="Calibri"/>
          <w:b/>
          <w:bCs/>
          <w:lang w:val="en-US"/>
        </w:rPr>
        <w:tab/>
        <w:t>Future European Audiovisual Policy in the Framework of the Digital Single Market Strategy</w:t>
      </w:r>
    </w:p>
    <w:p w:rsidR="00080A9B" w:rsidRPr="00D23333" w:rsidRDefault="00080A9B" w:rsidP="00080A9B">
      <w:pPr>
        <w:pStyle w:val="PointManual1"/>
        <w:spacing w:before="120"/>
        <w:rPr>
          <w:b/>
          <w:bCs/>
          <w:lang w:val="en-US"/>
        </w:rPr>
      </w:pPr>
      <w:r w:rsidRPr="00D23333">
        <w:rPr>
          <w:b/>
          <w:bCs/>
          <w:lang w:val="en-US"/>
        </w:rPr>
        <w:t>(a)</w:t>
      </w:r>
      <w:r w:rsidRPr="00D23333">
        <w:rPr>
          <w:b/>
          <w:bCs/>
          <w:lang w:val="en-US"/>
        </w:rPr>
        <w:tab/>
      </w:r>
      <w:r w:rsidRPr="00D23333">
        <w:rPr>
          <w:b/>
          <w:bCs/>
        </w:rPr>
        <w:t>A Digital Single Market Strategy for Europe</w:t>
      </w:r>
    </w:p>
    <w:p w:rsidR="00080A9B" w:rsidRDefault="00080A9B" w:rsidP="00080A9B">
      <w:pPr>
        <w:pStyle w:val="Dash2"/>
        <w:rPr>
          <w:lang w:val="en-US"/>
        </w:rPr>
      </w:pPr>
      <w:r>
        <w:rPr>
          <w:lang w:val="en-US"/>
        </w:rPr>
        <w:t>Presentation by the Commission</w:t>
      </w:r>
    </w:p>
    <w:p w:rsidR="00080A9B" w:rsidRPr="00D23333" w:rsidRDefault="00080A9B" w:rsidP="00080A9B">
      <w:pPr>
        <w:pStyle w:val="Text3"/>
        <w:rPr>
          <w:i/>
          <w:iCs/>
          <w:lang w:val="en-US"/>
        </w:rPr>
      </w:pPr>
      <w:r w:rsidRPr="00D23333">
        <w:rPr>
          <w:i/>
          <w:iCs/>
          <w:lang w:val="en-US"/>
        </w:rPr>
        <w:t>(Public debate in accordance with Article 8(2) of the Council's Rules of Procedure</w:t>
      </w:r>
      <w:r w:rsidRPr="00D23333">
        <w:rPr>
          <w:i/>
          <w:iCs/>
        </w:rPr>
        <w:t>)</w:t>
      </w:r>
    </w:p>
    <w:p w:rsidR="00080A9B" w:rsidRDefault="00080A9B" w:rsidP="00080A9B">
      <w:pPr>
        <w:pStyle w:val="Text3"/>
        <w:rPr>
          <w:lang w:val="en-US"/>
        </w:rPr>
      </w:pPr>
      <w:r>
        <w:rPr>
          <w:lang w:val="en-US"/>
        </w:rPr>
        <w:t xml:space="preserve">8672/15 COMPET 185 TELECOM 109 AUDIO 11 DIGIT 32 RECH 107 MI 291 </w:t>
      </w:r>
    </w:p>
    <w:p w:rsidR="00080A9B" w:rsidRPr="00C77C8B" w:rsidRDefault="00080A9B" w:rsidP="00080A9B">
      <w:pPr>
        <w:pStyle w:val="Text5"/>
        <w:rPr>
          <w:lang w:val="en-US"/>
        </w:rPr>
      </w:pPr>
      <w:r w:rsidRPr="00C77C8B">
        <w:rPr>
          <w:lang w:val="en-US"/>
        </w:rPr>
        <w:t xml:space="preserve">PI 32 IND 72 ECOFIN 308 ENER 139 DATAPROTECT 70 </w:t>
      </w:r>
    </w:p>
    <w:p w:rsidR="00080A9B" w:rsidRDefault="00080A9B" w:rsidP="00080A9B">
      <w:pPr>
        <w:pStyle w:val="Text5"/>
        <w:rPr>
          <w:lang w:val="en-US"/>
        </w:rPr>
      </w:pPr>
      <w:r>
        <w:rPr>
          <w:lang w:val="en-US"/>
        </w:rPr>
        <w:t>CYBER 31 JUSTCIV 101 EJUSTICE 56 CULT 29 EDUC 122</w:t>
      </w:r>
    </w:p>
    <w:p w:rsidR="00080A9B" w:rsidRPr="0058342E" w:rsidRDefault="00080A9B" w:rsidP="00080A9B">
      <w:pPr>
        <w:pStyle w:val="PointManual1"/>
        <w:rPr>
          <w:b/>
          <w:bCs/>
          <w:lang w:val="en-US"/>
        </w:rPr>
      </w:pPr>
      <w:r w:rsidRPr="0058342E">
        <w:rPr>
          <w:b/>
          <w:bCs/>
          <w:lang w:val="en-US"/>
        </w:rPr>
        <w:t>(b)</w:t>
      </w:r>
      <w:r w:rsidRPr="0058342E">
        <w:rPr>
          <w:b/>
          <w:bCs/>
          <w:lang w:val="en-US"/>
        </w:rPr>
        <w:tab/>
        <w:t>The functioning of the Audiovisual Media Services Directive in the context of the current geopolitical situation</w:t>
      </w:r>
    </w:p>
    <w:p w:rsidR="00080A9B" w:rsidRDefault="00080A9B" w:rsidP="00080A9B">
      <w:pPr>
        <w:pStyle w:val="Dash2"/>
        <w:rPr>
          <w:lang w:val="en-US"/>
        </w:rPr>
      </w:pPr>
      <w:r>
        <w:rPr>
          <w:lang w:val="en-US"/>
        </w:rPr>
        <w:t xml:space="preserve">Policy debate </w:t>
      </w:r>
    </w:p>
    <w:p w:rsidR="00080A9B" w:rsidRPr="0058342E" w:rsidRDefault="00080A9B" w:rsidP="00080A9B">
      <w:pPr>
        <w:pStyle w:val="Text3"/>
        <w:rPr>
          <w:i/>
          <w:iCs/>
          <w:lang w:val="en-US"/>
        </w:rPr>
      </w:pPr>
      <w:r w:rsidRPr="0058342E">
        <w:rPr>
          <w:i/>
          <w:iCs/>
          <w:lang w:val="en-US"/>
        </w:rPr>
        <w:t>(Public debate in accordance with Article 8(2) of the Council's Rules of Procedure</w:t>
      </w:r>
      <w:r w:rsidRPr="0058342E">
        <w:rPr>
          <w:i/>
          <w:iCs/>
        </w:rPr>
        <w:t>)</w:t>
      </w:r>
    </w:p>
    <w:p w:rsidR="00080A9B" w:rsidRPr="00C54582" w:rsidRDefault="00080A9B" w:rsidP="00080A9B">
      <w:pPr>
        <w:pStyle w:val="Text3"/>
        <w:rPr>
          <w:lang w:val="fr-BE"/>
        </w:rPr>
      </w:pPr>
      <w:r w:rsidRPr="00C44136">
        <w:rPr>
          <w:lang w:val="fr-BE"/>
        </w:rPr>
        <w:t>8351</w:t>
      </w:r>
      <w:r w:rsidRPr="00C54582">
        <w:rPr>
          <w:lang w:val="fr-BE"/>
        </w:rPr>
        <w:t>/15 AUDIO 9 DIGIT 23 COEST 127 CONSOM 69 JAI 256</w:t>
      </w:r>
    </w:p>
    <w:p w:rsidR="000643C0" w:rsidRPr="0017265D" w:rsidRDefault="000643C0" w:rsidP="000643C0">
      <w:pPr>
        <w:pStyle w:val="Text1"/>
        <w:spacing w:before="240" w:line="360" w:lineRule="auto"/>
      </w:pPr>
      <w:r w:rsidRPr="0058342E">
        <w:rPr>
          <w:u w:val="single"/>
        </w:rPr>
        <w:t>The C</w:t>
      </w:r>
      <w:r w:rsidRPr="0017265D">
        <w:rPr>
          <w:u w:val="single"/>
        </w:rPr>
        <w:t>ommission</w:t>
      </w:r>
      <w:r w:rsidRPr="0017265D">
        <w:t xml:space="preserve"> </w:t>
      </w:r>
      <w:r w:rsidRPr="00302D94">
        <w:rPr>
          <w:color w:val="000000"/>
        </w:rPr>
        <w:t>presented</w:t>
      </w:r>
      <w:r w:rsidRPr="0017265D">
        <w:t xml:space="preserve"> its communicat</w:t>
      </w:r>
      <w:r>
        <w:t>ion on a Digital Single Market S</w:t>
      </w:r>
      <w:r w:rsidRPr="0017265D">
        <w:t>trategy for</w:t>
      </w:r>
      <w:r>
        <w:t xml:space="preserve"> Europe, adopted on 6 May (doc. </w:t>
      </w:r>
      <w:r w:rsidRPr="0017265D">
        <w:t>8672/15). It stressed that Europe needs a comprehensive digital strategy in order to remain competitive at the global level. The strategy is focused not only on technology, but also on society, culture a</w:t>
      </w:r>
      <w:r>
        <w:t>n</w:t>
      </w:r>
      <w:r w:rsidRPr="0017265D">
        <w:t xml:space="preserve">d creativity. </w:t>
      </w:r>
    </w:p>
    <w:p w:rsidR="000643C0" w:rsidRPr="0017265D" w:rsidRDefault="000643C0" w:rsidP="000643C0">
      <w:pPr>
        <w:pStyle w:val="Text1"/>
        <w:spacing w:before="240" w:line="360" w:lineRule="auto"/>
      </w:pPr>
      <w:r w:rsidRPr="0058342E">
        <w:rPr>
          <w:u w:val="single"/>
        </w:rPr>
        <w:t>The C</w:t>
      </w:r>
      <w:r w:rsidRPr="0017265D">
        <w:rPr>
          <w:u w:val="single"/>
        </w:rPr>
        <w:t>ouncil</w:t>
      </w:r>
      <w:r w:rsidRPr="0017265D">
        <w:t xml:space="preserve"> held a policy debate on the above topic on the basis of </w:t>
      </w:r>
      <w:r>
        <w:t>the</w:t>
      </w:r>
      <w:r w:rsidRPr="0017265D">
        <w:t xml:space="preserve"> discussion paper prepared by the Presidency (doc. 8351/15).</w:t>
      </w:r>
    </w:p>
    <w:p w:rsidR="000643C0" w:rsidRPr="0017265D" w:rsidRDefault="000643C0" w:rsidP="000643C0">
      <w:pPr>
        <w:pStyle w:val="Text1"/>
        <w:spacing w:before="240" w:line="360" w:lineRule="auto"/>
      </w:pPr>
      <w:r w:rsidRPr="0058342E">
        <w:rPr>
          <w:u w:val="single"/>
        </w:rPr>
        <w:t>Ministers</w:t>
      </w:r>
      <w:r w:rsidRPr="0017265D">
        <w:t xml:space="preserve"> </w:t>
      </w:r>
      <w:r w:rsidRPr="00302D94">
        <w:rPr>
          <w:color w:val="000000"/>
        </w:rPr>
        <w:t>highlighted</w:t>
      </w:r>
      <w:r w:rsidRPr="0017265D">
        <w:t xml:space="preserve"> that the digital single market should promote Europe's cultural and linguistic diversity. They supported the Commission's views on facilitating cross-border portability of content, while maintaining </w:t>
      </w:r>
      <w:r>
        <w:t xml:space="preserve">the </w:t>
      </w:r>
      <w:r w:rsidRPr="0017265D">
        <w:t xml:space="preserve">existing territoriality principle, as well </w:t>
      </w:r>
      <w:r>
        <w:t xml:space="preserve">as </w:t>
      </w:r>
      <w:r w:rsidRPr="0017265D">
        <w:t xml:space="preserve">on the need to continue the fight against illegal content, and </w:t>
      </w:r>
      <w:r>
        <w:t xml:space="preserve">to </w:t>
      </w:r>
      <w:r w:rsidRPr="0017265D">
        <w:t xml:space="preserve">find the right balance on copyright. </w:t>
      </w:r>
    </w:p>
    <w:p w:rsidR="000643C0" w:rsidRPr="0017265D" w:rsidRDefault="000643C0" w:rsidP="000643C0">
      <w:pPr>
        <w:pStyle w:val="Text1"/>
        <w:spacing w:before="240" w:line="336" w:lineRule="auto"/>
      </w:pPr>
      <w:r w:rsidRPr="00302D94">
        <w:rPr>
          <w:color w:val="000000"/>
        </w:rPr>
        <w:t>Regarding</w:t>
      </w:r>
      <w:r w:rsidRPr="0017265D">
        <w:t xml:space="preserve"> the Audiovisual Media </w:t>
      </w:r>
      <w:r w:rsidRPr="0058342E">
        <w:rPr>
          <w:rFonts w:eastAsia="TTA20662E8t00"/>
        </w:rPr>
        <w:t>Services</w:t>
      </w:r>
      <w:r w:rsidRPr="0017265D">
        <w:t xml:space="preserve"> directive, </w:t>
      </w:r>
      <w:r w:rsidRPr="00302D94">
        <w:rPr>
          <w:u w:val="single"/>
        </w:rPr>
        <w:t>most Ministers</w:t>
      </w:r>
      <w:r w:rsidRPr="0017265D">
        <w:t xml:space="preserve"> were </w:t>
      </w:r>
      <w:r>
        <w:t xml:space="preserve">generally </w:t>
      </w:r>
      <w:r w:rsidRPr="0017265D">
        <w:t>in favour of maintaining the country of origin principle as a cornerstone of European audiovisual policy. They underlined that</w:t>
      </w:r>
      <w:r>
        <w:t xml:space="preserve"> </w:t>
      </w:r>
      <w:r w:rsidRPr="0017265D">
        <w:t>the freedoms guaranteed by the Audiovisual Media Service</w:t>
      </w:r>
      <w:r>
        <w:t>s</w:t>
      </w:r>
      <w:r w:rsidRPr="0017265D">
        <w:t xml:space="preserve"> directive must not be misused to disseminate hate speech, propaganda or disinformation</w:t>
      </w:r>
      <w:r>
        <w:t>,</w:t>
      </w:r>
      <w:r w:rsidRPr="0017265D">
        <w:t xml:space="preserve"> </w:t>
      </w:r>
      <w:r>
        <w:t>and t</w:t>
      </w:r>
      <w:r w:rsidRPr="0017265D">
        <w:t xml:space="preserve">hey acknowledged that some </w:t>
      </w:r>
      <w:r>
        <w:t xml:space="preserve">additional </w:t>
      </w:r>
      <w:r w:rsidRPr="0017265D">
        <w:t>exceptions could therefore</w:t>
      </w:r>
      <w:r w:rsidRPr="009007F5">
        <w:t xml:space="preserve"> be</w:t>
      </w:r>
      <w:r w:rsidRPr="0017265D">
        <w:t xml:space="preserve"> envisaged</w:t>
      </w:r>
      <w:r>
        <w:t>,</w:t>
      </w:r>
      <w:r w:rsidRPr="0017265D">
        <w:t xml:space="preserve"> for instance when fundamental values, freedoms and democracy are under serious threat. </w:t>
      </w:r>
    </w:p>
    <w:p w:rsidR="000643C0" w:rsidRPr="0017265D" w:rsidRDefault="000643C0" w:rsidP="000643C0">
      <w:pPr>
        <w:pStyle w:val="Text1"/>
        <w:pageBreakBefore/>
        <w:spacing w:before="240" w:line="336" w:lineRule="auto"/>
      </w:pPr>
      <w:bookmarkStart w:id="1" w:name="ControlPages"/>
      <w:bookmarkEnd w:id="1"/>
      <w:r w:rsidRPr="0017265D">
        <w:lastRenderedPageBreak/>
        <w:t xml:space="preserve">In the light of </w:t>
      </w:r>
      <w:r w:rsidRPr="00302D94">
        <w:rPr>
          <w:color w:val="000000"/>
        </w:rPr>
        <w:t>current</w:t>
      </w:r>
      <w:r w:rsidRPr="0017265D">
        <w:t xml:space="preserve"> geopolitical </w:t>
      </w:r>
      <w:r>
        <w:t>developments</w:t>
      </w:r>
      <w:r w:rsidRPr="0017265D">
        <w:t xml:space="preserve"> as well as of the digital shift, Ministers considered that the directive </w:t>
      </w:r>
      <w:r>
        <w:t>needed to be updated and that</w:t>
      </w:r>
      <w:r w:rsidRPr="0017265D">
        <w:t xml:space="preserve"> the </w:t>
      </w:r>
      <w:r>
        <w:t>revised Directive</w:t>
      </w:r>
      <w:r w:rsidRPr="0017265D">
        <w:t xml:space="preserve"> should be based</w:t>
      </w:r>
      <w:r>
        <w:t>, inter alia,</w:t>
      </w:r>
      <w:r w:rsidRPr="0017265D">
        <w:t xml:space="preserve"> on guaranteeing media freedom and pluralism, promoti</w:t>
      </w:r>
      <w:r>
        <w:t>ng</w:t>
      </w:r>
      <w:r w:rsidRPr="0017265D">
        <w:t xml:space="preserve"> cultural diversity, and ensuring a high level of protection of minors. </w:t>
      </w:r>
    </w:p>
    <w:p w:rsidR="000643C0" w:rsidRPr="0058342E" w:rsidRDefault="000643C0" w:rsidP="000643C0">
      <w:pPr>
        <w:pStyle w:val="Text1"/>
        <w:spacing w:before="240" w:line="336" w:lineRule="auto"/>
      </w:pPr>
      <w:r w:rsidRPr="0058342E">
        <w:t xml:space="preserve">The Commission </w:t>
      </w:r>
      <w:r w:rsidRPr="00AB03ED">
        <w:rPr>
          <w:color w:val="000000"/>
        </w:rPr>
        <w:t>indicated</w:t>
      </w:r>
      <w:r w:rsidRPr="0058342E">
        <w:t xml:space="preserve"> that its REFIT exercise on the Audiovisual Media Service</w:t>
      </w:r>
      <w:r w:rsidRPr="0017265D">
        <w:t xml:space="preserve"> directive should be completed by the end of 2015 </w:t>
      </w:r>
      <w:r>
        <w:t>allowing it</w:t>
      </w:r>
      <w:r w:rsidRPr="0017265D">
        <w:t xml:space="preserve"> to </w:t>
      </w:r>
      <w:r>
        <w:t>adopt</w:t>
      </w:r>
      <w:r w:rsidRPr="0017265D">
        <w:t xml:space="preserve"> a legislative proposal </w:t>
      </w:r>
      <w:r>
        <w:t>to amend the directive in spring 2016.</w:t>
      </w:r>
    </w:p>
    <w:p w:rsidR="00080A9B" w:rsidRPr="00080A9B" w:rsidRDefault="00080A9B" w:rsidP="00080A9B">
      <w:pPr>
        <w:pStyle w:val="PointManual"/>
        <w:spacing w:before="600"/>
        <w:rPr>
          <w:rFonts w:eastAsia="Calibri"/>
          <w:b/>
          <w:bCs/>
          <w:lang w:val="en-US"/>
        </w:rPr>
      </w:pPr>
      <w:r w:rsidRPr="00080A9B">
        <w:rPr>
          <w:rFonts w:eastAsia="Calibri"/>
          <w:b/>
          <w:bCs/>
          <w:lang w:val="en-US"/>
        </w:rPr>
        <w:t>13.</w:t>
      </w:r>
      <w:r w:rsidRPr="00080A9B">
        <w:rPr>
          <w:rFonts w:eastAsia="Calibri"/>
          <w:b/>
          <w:bCs/>
          <w:lang w:val="en-US"/>
        </w:rPr>
        <w:tab/>
        <w:t>Physical activity as an essential element of quality education at all levels – cooperation models with the sport sector</w:t>
      </w:r>
    </w:p>
    <w:p w:rsidR="00080A9B" w:rsidRPr="006F3877" w:rsidRDefault="00080A9B" w:rsidP="00080A9B">
      <w:pPr>
        <w:pStyle w:val="Dash1"/>
      </w:pPr>
      <w:r w:rsidRPr="006F3877">
        <w:t>Policy debate</w:t>
      </w:r>
    </w:p>
    <w:p w:rsidR="00080A9B" w:rsidRPr="00302D94" w:rsidRDefault="00080A9B" w:rsidP="00080A9B">
      <w:pPr>
        <w:pStyle w:val="Text2"/>
        <w:rPr>
          <w:i/>
          <w:iCs/>
        </w:rPr>
      </w:pPr>
      <w:r w:rsidRPr="00302D94">
        <w:rPr>
          <w:i/>
          <w:iCs/>
        </w:rPr>
        <w:t>(Public debate in accordance with Article 8(2) of the Council's Rules of Procedure)</w:t>
      </w:r>
    </w:p>
    <w:p w:rsidR="00080A9B" w:rsidRPr="00F01256" w:rsidRDefault="00080A9B" w:rsidP="00080A9B">
      <w:pPr>
        <w:pStyle w:val="Text3"/>
        <w:rPr>
          <w:lang w:val="fr-BE"/>
        </w:rPr>
      </w:pPr>
      <w:r w:rsidRPr="00F01256">
        <w:rPr>
          <w:lang w:val="fr-BE"/>
        </w:rPr>
        <w:t>8096/15 SPORT 14 EDUC 108 JEUN 32</w:t>
      </w:r>
    </w:p>
    <w:p w:rsidR="00080A9B" w:rsidRPr="00F01256" w:rsidRDefault="00080A9B" w:rsidP="00080A9B">
      <w:pPr>
        <w:pStyle w:val="Text4"/>
        <w:rPr>
          <w:lang w:val="fr-BE"/>
        </w:rPr>
      </w:pPr>
      <w:r w:rsidRPr="00F01256">
        <w:rPr>
          <w:lang w:val="fr-BE"/>
        </w:rPr>
        <w:t>+ COR 1 (cs)</w:t>
      </w:r>
    </w:p>
    <w:p w:rsidR="000643C0" w:rsidRPr="008F1539" w:rsidRDefault="000643C0" w:rsidP="000643C0">
      <w:pPr>
        <w:pStyle w:val="Text1"/>
        <w:spacing w:before="240" w:line="360" w:lineRule="auto"/>
        <w:rPr>
          <w:color w:val="000000"/>
        </w:rPr>
      </w:pPr>
      <w:r w:rsidRPr="008F1539">
        <w:rPr>
          <w:u w:val="single"/>
        </w:rPr>
        <w:t>The Council</w:t>
      </w:r>
      <w:r w:rsidRPr="008F1539">
        <w:t xml:space="preserve"> </w:t>
      </w:r>
      <w:r w:rsidRPr="008F1539">
        <w:rPr>
          <w:color w:val="000000"/>
        </w:rPr>
        <w:t>held a policy debate on the above topic on the basis of a discussion paper prepared by the Presidency (doc. </w:t>
      </w:r>
      <w:r>
        <w:rPr>
          <w:color w:val="000000"/>
        </w:rPr>
        <w:t>8096</w:t>
      </w:r>
      <w:r w:rsidRPr="008F1539">
        <w:rPr>
          <w:color w:val="000000"/>
        </w:rPr>
        <w:t>/15).</w:t>
      </w:r>
    </w:p>
    <w:p w:rsidR="000643C0" w:rsidRDefault="000643C0" w:rsidP="000643C0">
      <w:pPr>
        <w:pStyle w:val="Text1"/>
        <w:spacing w:before="240" w:line="360" w:lineRule="auto"/>
        <w:rPr>
          <w:iCs/>
        </w:rPr>
      </w:pPr>
      <w:r w:rsidRPr="008F1539">
        <w:rPr>
          <w:iCs/>
          <w:u w:val="single"/>
        </w:rPr>
        <w:t>Ministers</w:t>
      </w:r>
      <w:r w:rsidRPr="008F1539">
        <w:rPr>
          <w:iCs/>
        </w:rPr>
        <w:t xml:space="preserve"> </w:t>
      </w:r>
      <w:r w:rsidRPr="008F1539">
        <w:rPr>
          <w:color w:val="000000"/>
        </w:rPr>
        <w:t>highlighted</w:t>
      </w:r>
      <w:r w:rsidRPr="008F1539">
        <w:rPr>
          <w:iCs/>
        </w:rPr>
        <w:t xml:space="preserve"> </w:t>
      </w:r>
      <w:r>
        <w:rPr>
          <w:iCs/>
        </w:rPr>
        <w:t>that the promotion of physical activity is a priority in the field of sport, and has been regularly addressed, in particular through the Council Recommendation on health-enhancing physical activity, a specific chapter for sport under the Erasmus+ programme and the upcoming European Week of Sport in September 2015.</w:t>
      </w:r>
    </w:p>
    <w:p w:rsidR="000643C0" w:rsidRDefault="000643C0" w:rsidP="000643C0">
      <w:pPr>
        <w:pStyle w:val="Text1"/>
        <w:spacing w:before="240" w:line="360" w:lineRule="auto"/>
        <w:rPr>
          <w:color w:val="000000"/>
        </w:rPr>
      </w:pPr>
      <w:r>
        <w:rPr>
          <w:iCs/>
        </w:rPr>
        <w:t xml:space="preserve">Ministers </w:t>
      </w:r>
      <w:r w:rsidRPr="00851C2E">
        <w:rPr>
          <w:color w:val="000000"/>
        </w:rPr>
        <w:t>also</w:t>
      </w:r>
      <w:r>
        <w:rPr>
          <w:iCs/>
        </w:rPr>
        <w:t xml:space="preserve"> noted that there are clear </w:t>
      </w:r>
      <w:r w:rsidRPr="00B36517">
        <w:rPr>
          <w:color w:val="000000"/>
        </w:rPr>
        <w:t>incentives</w:t>
      </w:r>
      <w:r>
        <w:rPr>
          <w:iCs/>
        </w:rPr>
        <w:t xml:space="preserve"> on both sides: physical activity in schools improves educational achievement; </w:t>
      </w:r>
      <w:r>
        <w:rPr>
          <w:color w:val="000000"/>
        </w:rPr>
        <w:t>cooperation of sport clubs with schools boosts the number of children practising sports in schools.</w:t>
      </w:r>
      <w:r w:rsidRPr="000826EE">
        <w:rPr>
          <w:color w:val="000000"/>
        </w:rPr>
        <w:t xml:space="preserve"> </w:t>
      </w:r>
      <w:r>
        <w:rPr>
          <w:color w:val="000000"/>
        </w:rPr>
        <w:t>There are also challenges, not least the increasing competition for young people's free time from video games, social media and the digital world.</w:t>
      </w:r>
    </w:p>
    <w:p w:rsidR="000643C0" w:rsidRPr="00851C2E" w:rsidRDefault="000643C0" w:rsidP="000643C0">
      <w:pPr>
        <w:pStyle w:val="Text1"/>
        <w:spacing w:before="240" w:line="360" w:lineRule="auto"/>
        <w:rPr>
          <w:color w:val="000000"/>
        </w:rPr>
      </w:pPr>
      <w:r>
        <w:rPr>
          <w:color w:val="000000"/>
        </w:rPr>
        <w:t>The debate highlighted that flexibility and the accessibility of sporting activities is key. This requires partnership and cooperation between the education and sports sectors. Public authorities, in particular at local level, must play a key coordinating role.</w:t>
      </w:r>
    </w:p>
    <w:p w:rsidR="00FC4670" w:rsidRPr="007E6866" w:rsidRDefault="00FC4670" w:rsidP="008E23FC">
      <w:pPr>
        <w:pStyle w:val="FinalLine"/>
      </w:pPr>
      <w:bookmarkStart w:id="2" w:name="_GoBack"/>
      <w:bookmarkEnd w:id="2"/>
    </w:p>
    <w:sectPr w:rsidR="00FC4670" w:rsidRPr="007E6866" w:rsidSect="00CD5A8F">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FC" w:rsidRDefault="008E23FC" w:rsidP="008E23FC">
      <w:r>
        <w:separator/>
      </w:r>
    </w:p>
  </w:endnote>
  <w:endnote w:type="continuationSeparator" w:id="0">
    <w:p w:rsidR="008E23FC" w:rsidRDefault="008E23FC" w:rsidP="008E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TA20662E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8F" w:rsidRPr="00CD5A8F" w:rsidRDefault="00CD5A8F" w:rsidP="00CD5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D5A8F" w:rsidRPr="00D94637" w:rsidTr="00CD5A8F">
      <w:trPr>
        <w:jc w:val="center"/>
      </w:trPr>
      <w:tc>
        <w:tcPr>
          <w:tcW w:w="5000" w:type="pct"/>
          <w:gridSpan w:val="7"/>
          <w:shd w:val="clear" w:color="auto" w:fill="auto"/>
          <w:tcMar>
            <w:top w:w="57" w:type="dxa"/>
          </w:tcMar>
        </w:tcPr>
        <w:p w:rsidR="00CD5A8F" w:rsidRPr="00D94637" w:rsidRDefault="00CD5A8F" w:rsidP="00D94637">
          <w:pPr>
            <w:pStyle w:val="FooterText"/>
            <w:pBdr>
              <w:top w:val="single" w:sz="4" w:space="1" w:color="auto"/>
            </w:pBdr>
            <w:spacing w:before="200"/>
            <w:rPr>
              <w:sz w:val="2"/>
              <w:szCs w:val="2"/>
            </w:rPr>
          </w:pPr>
          <w:bookmarkStart w:id="3" w:name="FOOTER_STANDARD"/>
        </w:p>
      </w:tc>
    </w:tr>
    <w:tr w:rsidR="00CD5A8F" w:rsidRPr="00B310DC" w:rsidTr="00CD5A8F">
      <w:trPr>
        <w:jc w:val="center"/>
      </w:trPr>
      <w:tc>
        <w:tcPr>
          <w:tcW w:w="2500" w:type="pct"/>
          <w:gridSpan w:val="2"/>
          <w:shd w:val="clear" w:color="auto" w:fill="auto"/>
          <w:tcMar>
            <w:top w:w="0" w:type="dxa"/>
          </w:tcMar>
        </w:tcPr>
        <w:p w:rsidR="00CD5A8F" w:rsidRPr="00AD7BF2" w:rsidRDefault="00CD5A8F" w:rsidP="004F54B2">
          <w:pPr>
            <w:pStyle w:val="FooterText"/>
          </w:pPr>
          <w:r>
            <w:t>9066/15</w:t>
          </w:r>
          <w:r w:rsidRPr="002511D8">
            <w:t xml:space="preserve"> </w:t>
          </w:r>
          <w:r>
            <w:t>ADD 1</w:t>
          </w:r>
        </w:p>
      </w:tc>
      <w:tc>
        <w:tcPr>
          <w:tcW w:w="625" w:type="pct"/>
          <w:shd w:val="clear" w:color="auto" w:fill="auto"/>
          <w:tcMar>
            <w:top w:w="0" w:type="dxa"/>
          </w:tcMar>
        </w:tcPr>
        <w:p w:rsidR="00CD5A8F" w:rsidRPr="00AD7BF2" w:rsidRDefault="00CD5A8F" w:rsidP="00D94637">
          <w:pPr>
            <w:pStyle w:val="FooterText"/>
            <w:jc w:val="center"/>
          </w:pPr>
        </w:p>
      </w:tc>
      <w:tc>
        <w:tcPr>
          <w:tcW w:w="1287" w:type="pct"/>
          <w:gridSpan w:val="3"/>
          <w:shd w:val="clear" w:color="auto" w:fill="auto"/>
          <w:tcMar>
            <w:top w:w="0" w:type="dxa"/>
          </w:tcMar>
        </w:tcPr>
        <w:p w:rsidR="00CD5A8F" w:rsidRPr="002511D8" w:rsidRDefault="00CD5A8F" w:rsidP="00D94637">
          <w:pPr>
            <w:pStyle w:val="FooterText"/>
            <w:jc w:val="center"/>
          </w:pPr>
        </w:p>
      </w:tc>
      <w:tc>
        <w:tcPr>
          <w:tcW w:w="588" w:type="pct"/>
          <w:shd w:val="clear" w:color="auto" w:fill="auto"/>
          <w:tcMar>
            <w:top w:w="0" w:type="dxa"/>
          </w:tcMar>
        </w:tcPr>
        <w:p w:rsidR="00CD5A8F" w:rsidRPr="00B310DC" w:rsidRDefault="00CD5A8F"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CD5A8F" w:rsidRPr="00D94637" w:rsidTr="00CD5A8F">
      <w:trPr>
        <w:jc w:val="center"/>
      </w:trPr>
      <w:tc>
        <w:tcPr>
          <w:tcW w:w="1774" w:type="pct"/>
          <w:shd w:val="clear" w:color="auto" w:fill="auto"/>
        </w:tcPr>
        <w:p w:rsidR="00CD5A8F" w:rsidRPr="00AD7BF2" w:rsidRDefault="00CD5A8F" w:rsidP="00D94637">
          <w:pPr>
            <w:pStyle w:val="FooterText"/>
            <w:spacing w:before="40"/>
          </w:pPr>
        </w:p>
      </w:tc>
      <w:tc>
        <w:tcPr>
          <w:tcW w:w="1455" w:type="pct"/>
          <w:gridSpan w:val="3"/>
          <w:shd w:val="clear" w:color="auto" w:fill="auto"/>
        </w:tcPr>
        <w:p w:rsidR="00CD5A8F" w:rsidRPr="00AD7BF2" w:rsidRDefault="00CD5A8F" w:rsidP="00D204D6">
          <w:pPr>
            <w:pStyle w:val="FooterText"/>
            <w:spacing w:before="40"/>
            <w:jc w:val="center"/>
          </w:pPr>
          <w:r>
            <w:t>DPG</w:t>
          </w:r>
        </w:p>
      </w:tc>
      <w:tc>
        <w:tcPr>
          <w:tcW w:w="1147" w:type="pct"/>
          <w:shd w:val="clear" w:color="auto" w:fill="auto"/>
        </w:tcPr>
        <w:p w:rsidR="00CD5A8F" w:rsidRPr="00D94637" w:rsidRDefault="00CD5A8F" w:rsidP="00D94637">
          <w:pPr>
            <w:pStyle w:val="FooterText"/>
            <w:jc w:val="right"/>
            <w:rPr>
              <w:b/>
              <w:position w:val="-4"/>
              <w:sz w:val="36"/>
            </w:rPr>
          </w:pPr>
        </w:p>
      </w:tc>
      <w:tc>
        <w:tcPr>
          <w:tcW w:w="625" w:type="pct"/>
          <w:gridSpan w:val="2"/>
          <w:shd w:val="clear" w:color="auto" w:fill="auto"/>
        </w:tcPr>
        <w:p w:rsidR="00CD5A8F" w:rsidRPr="00D94637" w:rsidRDefault="00CD5A8F" w:rsidP="00D94637">
          <w:pPr>
            <w:pStyle w:val="FooterText"/>
            <w:jc w:val="right"/>
            <w:rPr>
              <w:sz w:val="16"/>
            </w:rPr>
          </w:pPr>
          <w:r>
            <w:rPr>
              <w:b/>
              <w:position w:val="-4"/>
              <w:sz w:val="36"/>
            </w:rPr>
            <w:t>EN</w:t>
          </w:r>
        </w:p>
      </w:tc>
    </w:tr>
    <w:bookmarkEnd w:id="3"/>
  </w:tbl>
  <w:p w:rsidR="008E23FC" w:rsidRPr="00CD5A8F" w:rsidRDefault="008E23FC" w:rsidP="00CD5A8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D5A8F" w:rsidRPr="00D94637" w:rsidTr="00CD5A8F">
      <w:trPr>
        <w:jc w:val="center"/>
      </w:trPr>
      <w:tc>
        <w:tcPr>
          <w:tcW w:w="5000" w:type="pct"/>
          <w:gridSpan w:val="7"/>
          <w:shd w:val="clear" w:color="auto" w:fill="auto"/>
          <w:tcMar>
            <w:top w:w="57" w:type="dxa"/>
          </w:tcMar>
        </w:tcPr>
        <w:p w:rsidR="00CD5A8F" w:rsidRPr="00D94637" w:rsidRDefault="00CD5A8F" w:rsidP="00D94637">
          <w:pPr>
            <w:pStyle w:val="FooterText"/>
            <w:pBdr>
              <w:top w:val="single" w:sz="4" w:space="1" w:color="auto"/>
            </w:pBdr>
            <w:spacing w:before="200"/>
            <w:rPr>
              <w:sz w:val="2"/>
              <w:szCs w:val="2"/>
            </w:rPr>
          </w:pPr>
        </w:p>
      </w:tc>
    </w:tr>
    <w:tr w:rsidR="00CD5A8F" w:rsidRPr="00B310DC" w:rsidTr="00CD5A8F">
      <w:trPr>
        <w:jc w:val="center"/>
      </w:trPr>
      <w:tc>
        <w:tcPr>
          <w:tcW w:w="2500" w:type="pct"/>
          <w:gridSpan w:val="2"/>
          <w:shd w:val="clear" w:color="auto" w:fill="auto"/>
          <w:tcMar>
            <w:top w:w="0" w:type="dxa"/>
          </w:tcMar>
        </w:tcPr>
        <w:p w:rsidR="00CD5A8F" w:rsidRPr="00AD7BF2" w:rsidRDefault="00CD5A8F" w:rsidP="004F54B2">
          <w:pPr>
            <w:pStyle w:val="FooterText"/>
          </w:pPr>
          <w:r>
            <w:t>9066/15</w:t>
          </w:r>
          <w:r w:rsidRPr="002511D8">
            <w:t xml:space="preserve"> </w:t>
          </w:r>
          <w:r>
            <w:t>ADD 1</w:t>
          </w:r>
        </w:p>
      </w:tc>
      <w:tc>
        <w:tcPr>
          <w:tcW w:w="625" w:type="pct"/>
          <w:shd w:val="clear" w:color="auto" w:fill="auto"/>
          <w:tcMar>
            <w:top w:w="0" w:type="dxa"/>
          </w:tcMar>
        </w:tcPr>
        <w:p w:rsidR="00CD5A8F" w:rsidRPr="00AD7BF2" w:rsidRDefault="00CD5A8F" w:rsidP="00D94637">
          <w:pPr>
            <w:pStyle w:val="FooterText"/>
            <w:jc w:val="center"/>
          </w:pPr>
        </w:p>
      </w:tc>
      <w:tc>
        <w:tcPr>
          <w:tcW w:w="1287" w:type="pct"/>
          <w:gridSpan w:val="3"/>
          <w:shd w:val="clear" w:color="auto" w:fill="auto"/>
          <w:tcMar>
            <w:top w:w="0" w:type="dxa"/>
          </w:tcMar>
        </w:tcPr>
        <w:p w:rsidR="00CD5A8F" w:rsidRPr="002511D8" w:rsidRDefault="00CD5A8F" w:rsidP="00D94637">
          <w:pPr>
            <w:pStyle w:val="FooterText"/>
            <w:jc w:val="center"/>
          </w:pPr>
        </w:p>
      </w:tc>
      <w:tc>
        <w:tcPr>
          <w:tcW w:w="588" w:type="pct"/>
          <w:shd w:val="clear" w:color="auto" w:fill="auto"/>
          <w:tcMar>
            <w:top w:w="0" w:type="dxa"/>
          </w:tcMar>
        </w:tcPr>
        <w:p w:rsidR="00CD5A8F" w:rsidRPr="00B310DC" w:rsidRDefault="00CD5A8F"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CD5A8F" w:rsidRPr="00D94637" w:rsidTr="00CD5A8F">
      <w:trPr>
        <w:jc w:val="center"/>
      </w:trPr>
      <w:tc>
        <w:tcPr>
          <w:tcW w:w="1774" w:type="pct"/>
          <w:shd w:val="clear" w:color="auto" w:fill="auto"/>
        </w:tcPr>
        <w:p w:rsidR="00CD5A8F" w:rsidRPr="00AD7BF2" w:rsidRDefault="00CD5A8F" w:rsidP="00D94637">
          <w:pPr>
            <w:pStyle w:val="FooterText"/>
            <w:spacing w:before="40"/>
          </w:pPr>
        </w:p>
      </w:tc>
      <w:tc>
        <w:tcPr>
          <w:tcW w:w="1455" w:type="pct"/>
          <w:gridSpan w:val="3"/>
          <w:shd w:val="clear" w:color="auto" w:fill="auto"/>
        </w:tcPr>
        <w:p w:rsidR="00CD5A8F" w:rsidRPr="00AD7BF2" w:rsidRDefault="00CD5A8F" w:rsidP="00D204D6">
          <w:pPr>
            <w:pStyle w:val="FooterText"/>
            <w:spacing w:before="40"/>
            <w:jc w:val="center"/>
          </w:pPr>
          <w:r>
            <w:t>DPG</w:t>
          </w:r>
        </w:p>
      </w:tc>
      <w:tc>
        <w:tcPr>
          <w:tcW w:w="1147" w:type="pct"/>
          <w:shd w:val="clear" w:color="auto" w:fill="auto"/>
        </w:tcPr>
        <w:p w:rsidR="00CD5A8F" w:rsidRPr="00D94637" w:rsidRDefault="00CD5A8F" w:rsidP="00D94637">
          <w:pPr>
            <w:pStyle w:val="FooterText"/>
            <w:jc w:val="right"/>
            <w:rPr>
              <w:b/>
              <w:position w:val="-4"/>
              <w:sz w:val="36"/>
            </w:rPr>
          </w:pPr>
        </w:p>
      </w:tc>
      <w:tc>
        <w:tcPr>
          <w:tcW w:w="625" w:type="pct"/>
          <w:gridSpan w:val="2"/>
          <w:shd w:val="clear" w:color="auto" w:fill="auto"/>
        </w:tcPr>
        <w:p w:rsidR="00CD5A8F" w:rsidRPr="00D94637" w:rsidRDefault="00CD5A8F" w:rsidP="00D94637">
          <w:pPr>
            <w:pStyle w:val="FooterText"/>
            <w:jc w:val="right"/>
            <w:rPr>
              <w:sz w:val="16"/>
            </w:rPr>
          </w:pPr>
          <w:r>
            <w:rPr>
              <w:b/>
              <w:position w:val="-4"/>
              <w:sz w:val="36"/>
            </w:rPr>
            <w:t>EN</w:t>
          </w:r>
        </w:p>
      </w:tc>
    </w:tr>
  </w:tbl>
  <w:p w:rsidR="008E23FC" w:rsidRPr="00CD5A8F" w:rsidRDefault="008E23FC" w:rsidP="00CD5A8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FC" w:rsidRDefault="008E23FC" w:rsidP="008E23FC">
      <w:r>
        <w:separator/>
      </w:r>
    </w:p>
  </w:footnote>
  <w:footnote w:type="continuationSeparator" w:id="0">
    <w:p w:rsidR="008E23FC" w:rsidRDefault="008E23FC" w:rsidP="008E23FC">
      <w:r>
        <w:continuationSeparator/>
      </w:r>
    </w:p>
  </w:footnote>
  <w:footnote w:id="1">
    <w:p w:rsidR="00080A9B" w:rsidRPr="00555D80" w:rsidRDefault="00080A9B" w:rsidP="00080A9B">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8F" w:rsidRPr="00CD5A8F" w:rsidRDefault="00CD5A8F" w:rsidP="00CD5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8F" w:rsidRPr="00CD5A8F" w:rsidRDefault="00CD5A8F" w:rsidP="00CD5A8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8F" w:rsidRPr="00CD5A8F" w:rsidRDefault="00CD5A8F" w:rsidP="00CD5A8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c28c4c0c-63c9-43ca-91bb-f9665f81d98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01&lt;/text&gt;_x000d__x000a_  &lt;/metadata&gt;_x000d__x000a_  &lt;metadata key=&quot;md_Prefix&quot;&gt;_x000d__x000a_    &lt;text&gt;&lt;/text&gt;_x000d__x000a_  &lt;/metadata&gt;_x000d__x000a_  &lt;metadata key=&quot;md_DocumentNumber&quot;&gt;_x000d__x000a_    &lt;text&gt;9066&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25&lt;/text&gt;_x000d__x000a_      &lt;text&gt;EDUC 155&lt;/text&gt;_x000d__x000a_      &lt;text&gt;JEUN 41&lt;/text&gt;_x000d__x000a_      &lt;text&gt;CULT 33&lt;/text&gt;_x000d__x000a_      &lt;text&gt;AUDIO 15&lt;/text&gt;_x000d__x000a_      &lt;text&gt;SPORT 1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8th meeting of the Council of the European Union (EDUCATION, YOUTH, CULTURE AND SPORT) held in Brussels on 18 and 19 May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3&amp;lt;/Run&amp;gt;&amp;lt;Run FontFamily=&quot;Times New Roman&quot; FontWeight=&quot;Bold&quot; xml:lang=&quot;fr-be&quot;&amp;gt;88&amp;lt;/Run&amp;gt;&amp;lt;Run FontFamily=&quot;Times New Roman&quot; FontWeight=&quot;Bold&quot;&amp;gt;th&amp;lt;/Run&amp;gt;&amp;lt;Run FontFamily=&quot;Times New Roman&quot; xml:space=&quot;preserve&quot;&amp;gt; meeting of the Council of the European Union&amp;lt;/Run&amp;gt;&amp;lt;LineBreak /&amp;gt;&amp;lt;Run FontFamily=&quot;Times New Roman&quot; xml:space=&quot;preserve&quot; /&amp;gt;&amp;lt;Run FontFamily=&quot;Times New Roman&quot; FontWeight=&quot;Bold&quot;&amp;gt;(EDUCATION, YOUTH, CULTURE AND SPORT)&amp;lt;/Run&amp;gt;&amp;lt;LineBreak /&amp;gt;&amp;lt;Run FontFamily=&quot;Times New Roman&quot; FontWeight=&quot;Bold&quot; xml:space=&quot;preserve&quot; /&amp;gt;&amp;lt;Run FontFamily=&quot;Times New Roman&quot; xml:space=&quot;preserve&quot;&amp;gt;held in Brussels on &amp;lt;/Run&amp;gt;&amp;lt;Run FontFamily=&quot;Times New Roman&quot; xml:lang=&quot;fr-be&quot; xml:space=&quot;preserve&quot;&amp;gt;18 and 19 May &amp;lt;/Run&amp;gt;&amp;lt;Run FontFamily=&quot;Times New Roman&quot;&amp;gt;201&amp;lt;/Run&amp;gt;&amp;lt;Run FontFamily=&quot;Times New Roman&quot; xml:lang=&quot;fr-be&quot;&amp;gt;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8E23FC"/>
    <w:rsid w:val="00010C1D"/>
    <w:rsid w:val="000643C0"/>
    <w:rsid w:val="00080A9B"/>
    <w:rsid w:val="0009656C"/>
    <w:rsid w:val="00165755"/>
    <w:rsid w:val="00182F2F"/>
    <w:rsid w:val="001C1958"/>
    <w:rsid w:val="00213F1F"/>
    <w:rsid w:val="002A2AE8"/>
    <w:rsid w:val="003C6E8B"/>
    <w:rsid w:val="005157F5"/>
    <w:rsid w:val="00576D7C"/>
    <w:rsid w:val="0063379B"/>
    <w:rsid w:val="006A38C5"/>
    <w:rsid w:val="006C1AD4"/>
    <w:rsid w:val="006E33E2"/>
    <w:rsid w:val="006F4741"/>
    <w:rsid w:val="0075756A"/>
    <w:rsid w:val="007E6866"/>
    <w:rsid w:val="00825503"/>
    <w:rsid w:val="008826F8"/>
    <w:rsid w:val="008B3DD6"/>
    <w:rsid w:val="008E23FC"/>
    <w:rsid w:val="009A5D2D"/>
    <w:rsid w:val="00A469D7"/>
    <w:rsid w:val="00BE1373"/>
    <w:rsid w:val="00C347DE"/>
    <w:rsid w:val="00CD5A8F"/>
    <w:rsid w:val="00D451E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7E68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68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8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8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0643C0"/>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E23FC"/>
    <w:pPr>
      <w:spacing w:after="440"/>
      <w:ind w:left="-1134" w:right="-1134"/>
    </w:pPr>
    <w:rPr>
      <w:sz w:val="2"/>
    </w:rPr>
  </w:style>
  <w:style w:type="character" w:customStyle="1" w:styleId="TechnicalBlockChar">
    <w:name w:val="Technical Block Char"/>
    <w:basedOn w:val="DefaultParagraphFont"/>
    <w:link w:val="TechnicalBlock"/>
    <w:rsid w:val="008E23FC"/>
    <w:rPr>
      <w:sz w:val="24"/>
      <w:szCs w:val="24"/>
      <w:lang w:val="en-GB" w:eastAsia="en-US"/>
    </w:rPr>
  </w:style>
  <w:style w:type="character" w:customStyle="1" w:styleId="HeaderCouncilLargeChar">
    <w:name w:val="Header Council Large Char"/>
    <w:basedOn w:val="TechnicalBlockChar"/>
    <w:link w:val="HeaderCouncilLarge"/>
    <w:rsid w:val="008E23FC"/>
    <w:rPr>
      <w:sz w:val="2"/>
      <w:szCs w:val="24"/>
      <w:lang w:val="en-GB" w:eastAsia="en-US"/>
    </w:rPr>
  </w:style>
  <w:style w:type="paragraph" w:customStyle="1" w:styleId="FooterText">
    <w:name w:val="Footer Text"/>
    <w:basedOn w:val="Normal"/>
    <w:rsid w:val="008E23FC"/>
  </w:style>
  <w:style w:type="character" w:customStyle="1" w:styleId="PointManualChar">
    <w:name w:val="Point Manual Char"/>
    <w:link w:val="PointManual"/>
    <w:rsid w:val="00080A9B"/>
    <w:rPr>
      <w:sz w:val="24"/>
      <w:szCs w:val="24"/>
      <w:lang w:val="en-GB" w:eastAsia="en-US"/>
    </w:rPr>
  </w:style>
  <w:style w:type="character" w:customStyle="1" w:styleId="PointManual1Char">
    <w:name w:val="Point Manual (1) Char"/>
    <w:link w:val="PointManual1"/>
    <w:rsid w:val="00080A9B"/>
    <w:rPr>
      <w:sz w:val="24"/>
      <w:szCs w:val="24"/>
      <w:lang w:val="en-GB" w:eastAsia="en-US"/>
    </w:rPr>
  </w:style>
  <w:style w:type="character" w:customStyle="1" w:styleId="Text3Char">
    <w:name w:val="Text 3 Char"/>
    <w:link w:val="Text3"/>
    <w:rsid w:val="00080A9B"/>
    <w:rPr>
      <w:sz w:val="24"/>
      <w:szCs w:val="24"/>
      <w:lang w:val="en-GB" w:eastAsia="en-US"/>
    </w:rPr>
  </w:style>
  <w:style w:type="character" w:customStyle="1" w:styleId="Text1Char">
    <w:name w:val="Text 1 Char"/>
    <w:link w:val="Text1"/>
    <w:rsid w:val="00080A9B"/>
    <w:rPr>
      <w:sz w:val="24"/>
      <w:szCs w:val="24"/>
      <w:lang w:val="en-GB" w:eastAsia="en-US"/>
    </w:rPr>
  </w:style>
  <w:style w:type="character" w:customStyle="1" w:styleId="Heading1Char">
    <w:name w:val="Heading 1 Char"/>
    <w:basedOn w:val="DefaultParagraphFont"/>
    <w:link w:val="Heading1"/>
    <w:uiPriority w:val="9"/>
    <w:rsid w:val="007E686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E686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E686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E6866"/>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7E68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68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8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8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0643C0"/>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E23FC"/>
    <w:pPr>
      <w:spacing w:after="440"/>
      <w:ind w:left="-1134" w:right="-1134"/>
    </w:pPr>
    <w:rPr>
      <w:sz w:val="2"/>
    </w:rPr>
  </w:style>
  <w:style w:type="character" w:customStyle="1" w:styleId="TechnicalBlockChar">
    <w:name w:val="Technical Block Char"/>
    <w:basedOn w:val="DefaultParagraphFont"/>
    <w:link w:val="TechnicalBlock"/>
    <w:rsid w:val="008E23FC"/>
    <w:rPr>
      <w:sz w:val="24"/>
      <w:szCs w:val="24"/>
      <w:lang w:val="en-GB" w:eastAsia="en-US"/>
    </w:rPr>
  </w:style>
  <w:style w:type="character" w:customStyle="1" w:styleId="HeaderCouncilLargeChar">
    <w:name w:val="Header Council Large Char"/>
    <w:basedOn w:val="TechnicalBlockChar"/>
    <w:link w:val="HeaderCouncilLarge"/>
    <w:rsid w:val="008E23FC"/>
    <w:rPr>
      <w:sz w:val="2"/>
      <w:szCs w:val="24"/>
      <w:lang w:val="en-GB" w:eastAsia="en-US"/>
    </w:rPr>
  </w:style>
  <w:style w:type="paragraph" w:customStyle="1" w:styleId="FooterText">
    <w:name w:val="Footer Text"/>
    <w:basedOn w:val="Normal"/>
    <w:rsid w:val="008E23FC"/>
  </w:style>
  <w:style w:type="character" w:customStyle="1" w:styleId="PointManualChar">
    <w:name w:val="Point Manual Char"/>
    <w:link w:val="PointManual"/>
    <w:rsid w:val="00080A9B"/>
    <w:rPr>
      <w:sz w:val="24"/>
      <w:szCs w:val="24"/>
      <w:lang w:val="en-GB" w:eastAsia="en-US"/>
    </w:rPr>
  </w:style>
  <w:style w:type="character" w:customStyle="1" w:styleId="PointManual1Char">
    <w:name w:val="Point Manual (1) Char"/>
    <w:link w:val="PointManual1"/>
    <w:rsid w:val="00080A9B"/>
    <w:rPr>
      <w:sz w:val="24"/>
      <w:szCs w:val="24"/>
      <w:lang w:val="en-GB" w:eastAsia="en-US"/>
    </w:rPr>
  </w:style>
  <w:style w:type="character" w:customStyle="1" w:styleId="Text3Char">
    <w:name w:val="Text 3 Char"/>
    <w:link w:val="Text3"/>
    <w:rsid w:val="00080A9B"/>
    <w:rPr>
      <w:sz w:val="24"/>
      <w:szCs w:val="24"/>
      <w:lang w:val="en-GB" w:eastAsia="en-US"/>
    </w:rPr>
  </w:style>
  <w:style w:type="character" w:customStyle="1" w:styleId="Text1Char">
    <w:name w:val="Text 1 Char"/>
    <w:link w:val="Text1"/>
    <w:rsid w:val="00080A9B"/>
    <w:rPr>
      <w:sz w:val="24"/>
      <w:szCs w:val="24"/>
      <w:lang w:val="en-GB" w:eastAsia="en-US"/>
    </w:rPr>
  </w:style>
  <w:style w:type="character" w:customStyle="1" w:styleId="Heading1Char">
    <w:name w:val="Heading 1 Char"/>
    <w:basedOn w:val="DefaultParagraphFont"/>
    <w:link w:val="Heading1"/>
    <w:uiPriority w:val="9"/>
    <w:rsid w:val="007E686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E686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E686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E6866"/>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5</Pages>
  <Words>1059</Words>
  <Characters>5790</Characters>
  <Application>Microsoft Office Word</Application>
  <DocSecurity>0</DocSecurity>
  <Lines>107</Lines>
  <Paragraphs>56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NEIRA Julia</cp:lastModifiedBy>
  <cp:revision>3</cp:revision>
  <cp:lastPrinted>2015-06-01T14:31:00Z</cp:lastPrinted>
  <dcterms:created xsi:type="dcterms:W3CDTF">2015-06-01T13:54:00Z</dcterms:created>
  <dcterms:modified xsi:type="dcterms:W3CDTF">2015-06-01T14:31:00Z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