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FC" w:rsidRPr="00E22027" w:rsidRDefault="00E22027" w:rsidP="00E2202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bccf21e-368f-4f9d-b8c4-e863d41e3f70_0" style="width:568.65pt;height:330pt">
            <v:imagedata r:id="rId8" o:title=""/>
          </v:shape>
        </w:pict>
      </w:r>
      <w:bookmarkEnd w:id="0"/>
    </w:p>
    <w:p w:rsidR="00080A9B" w:rsidRPr="000D030B" w:rsidRDefault="00080A9B" w:rsidP="00080A9B">
      <w:pPr>
        <w:pStyle w:val="HeadingCentered"/>
        <w:spacing w:before="1200" w:after="1080"/>
      </w:pPr>
      <w:r w:rsidRPr="000D030B">
        <w:br w:type="page"/>
      </w:r>
      <w:r w:rsidRPr="000D030B">
        <w:lastRenderedPageBreak/>
        <w:t>ТОЧКИ ЗА ОТКРИТО ОБСЪЖДАНЕ</w:t>
      </w:r>
      <w:r w:rsidRPr="000D030B">
        <w:rPr>
          <w:rStyle w:val="FootnoteReference"/>
        </w:rPr>
        <w:footnoteReference w:id="1"/>
      </w:r>
    </w:p>
    <w:p w:rsidR="00080A9B" w:rsidRPr="000D030B" w:rsidRDefault="00080A9B" w:rsidP="00080A9B">
      <w:pPr>
        <w:pStyle w:val="NormalRight"/>
        <w:spacing w:before="0"/>
        <w:rPr>
          <w:b/>
        </w:rPr>
      </w:pPr>
      <w:r w:rsidRPr="000D030B">
        <w:rPr>
          <w:b/>
        </w:rPr>
        <w:t>Страница</w:t>
      </w:r>
    </w:p>
    <w:p w:rsidR="00080A9B" w:rsidRPr="000D030B" w:rsidRDefault="00080A9B" w:rsidP="005712DA">
      <w:pPr>
        <w:pStyle w:val="HeadingLeft"/>
        <w:rPr>
          <w:u w:val="none"/>
        </w:rPr>
      </w:pPr>
      <w:r w:rsidRPr="000D030B">
        <w:rPr>
          <w:u w:val="none"/>
        </w:rPr>
        <w:t>НЕЗАКОНОДАТЕЛНИ ДЕЙНОСТИ — открити дебати</w:t>
      </w:r>
    </w:p>
    <w:p w:rsidR="00080A9B" w:rsidRPr="000D030B" w:rsidRDefault="00080A9B" w:rsidP="00080A9B">
      <w:pPr>
        <w:spacing w:before="480"/>
        <w:rPr>
          <w:bCs/>
        </w:rPr>
      </w:pPr>
      <w:r w:rsidRPr="000D030B">
        <w:rPr>
          <w:u w:val="single"/>
        </w:rPr>
        <w:t>ТОЧКИ Б</w:t>
      </w:r>
      <w:r w:rsidRPr="000D030B">
        <w:t xml:space="preserve"> (док. 8605/15 OJ CONS 25 EDUC 120 JEUN 39 CULT 28 AUDIO 12 SPORT 16)</w:t>
      </w:r>
    </w:p>
    <w:p w:rsidR="00080A9B" w:rsidRPr="000D030B" w:rsidRDefault="00080A9B" w:rsidP="00080A9B">
      <w:pPr>
        <w:pStyle w:val="PointManual"/>
        <w:tabs>
          <w:tab w:val="right" w:leader="dot" w:pos="9639"/>
        </w:tabs>
        <w:spacing w:before="360"/>
      </w:pPr>
      <w:r w:rsidRPr="000D030B">
        <w:t>3.</w:t>
      </w:r>
      <w:r w:rsidRPr="000D030B">
        <w:tab/>
        <w:t>Междинен преглед на „Образование и обучение 2020“ и изготвяне на Съвместния доклад за 2015 г.</w:t>
      </w:r>
      <w:r w:rsidRPr="000D030B">
        <w:tab/>
        <w:t>3</w:t>
      </w:r>
    </w:p>
    <w:p w:rsidR="00080A9B" w:rsidRPr="000D030B" w:rsidRDefault="00080A9B" w:rsidP="00080A9B">
      <w:pPr>
        <w:pStyle w:val="PointManual"/>
        <w:tabs>
          <w:tab w:val="right" w:leader="dot" w:pos="9639"/>
        </w:tabs>
      </w:pPr>
      <w:r w:rsidRPr="000D030B">
        <w:t>7.</w:t>
      </w:r>
      <w:r w:rsidRPr="000D030B">
        <w:tab/>
        <w:t>Насърчаване на младите хора за политическо участие в демократичния живот на Европа</w:t>
      </w:r>
      <w:r w:rsidRPr="000D030B">
        <w:tab/>
        <w:t>3</w:t>
      </w:r>
    </w:p>
    <w:p w:rsidR="00080A9B" w:rsidRPr="000D030B" w:rsidRDefault="00080A9B" w:rsidP="00080A9B">
      <w:pPr>
        <w:pStyle w:val="PointManual"/>
        <w:tabs>
          <w:tab w:val="right" w:leader="dot" w:pos="9639"/>
        </w:tabs>
      </w:pPr>
      <w:r w:rsidRPr="000D030B">
        <w:t>9.</w:t>
      </w:r>
      <w:r w:rsidRPr="000D030B">
        <w:tab/>
        <w:t>Бъдещата европейска аудио-визуална политика в рамките на стратегията за цифров единен пазар</w:t>
      </w:r>
      <w:r w:rsidRPr="000D030B">
        <w:tab/>
        <w:t>4</w:t>
      </w:r>
    </w:p>
    <w:p w:rsidR="00080A9B" w:rsidRPr="000D030B" w:rsidRDefault="00080A9B" w:rsidP="00080A9B">
      <w:pPr>
        <w:pStyle w:val="PointManual1"/>
        <w:spacing w:before="60"/>
        <w:rPr>
          <w:kern w:val="3"/>
        </w:rPr>
      </w:pPr>
      <w:r w:rsidRPr="000D030B">
        <w:t>а)</w:t>
      </w:r>
      <w:r w:rsidRPr="000D030B">
        <w:tab/>
        <w:t>Стратегия за цифров единен пазар за Европа</w:t>
      </w:r>
    </w:p>
    <w:p w:rsidR="00080A9B" w:rsidRPr="000D030B" w:rsidRDefault="00080A9B" w:rsidP="00080A9B">
      <w:pPr>
        <w:pStyle w:val="PointManual1"/>
      </w:pPr>
      <w:r w:rsidRPr="000D030B">
        <w:t>б)</w:t>
      </w:r>
      <w:r w:rsidRPr="000D030B">
        <w:tab/>
        <w:t>Действието на Директивата за аудио-визуалните медийни услуги в контекста на настоящата геополитическа ситуация</w:t>
      </w:r>
    </w:p>
    <w:p w:rsidR="00080A9B" w:rsidRPr="000D030B" w:rsidRDefault="00080A9B" w:rsidP="00080A9B">
      <w:pPr>
        <w:pStyle w:val="PointManual"/>
        <w:tabs>
          <w:tab w:val="right" w:leader="dot" w:pos="9639"/>
        </w:tabs>
      </w:pPr>
      <w:r w:rsidRPr="000D030B">
        <w:t>13.</w:t>
      </w:r>
      <w:r w:rsidRPr="000D030B">
        <w:tab/>
        <w:t>Физическата дейност като основен елемент на качественото образование на всички равнища — модели за сътрудничество със сектора на спорта</w:t>
      </w:r>
      <w:r w:rsidRPr="000D030B">
        <w:tab/>
        <w:t>5</w:t>
      </w:r>
    </w:p>
    <w:p w:rsidR="00080A9B" w:rsidRPr="000D030B" w:rsidRDefault="00080A9B" w:rsidP="00080A9B">
      <w:pPr>
        <w:pStyle w:val="NormalCentered"/>
        <w:spacing w:before="600"/>
      </w:pPr>
      <w:r w:rsidRPr="000D030B">
        <w:t>*</w:t>
      </w:r>
    </w:p>
    <w:p w:rsidR="00080A9B" w:rsidRPr="000D030B" w:rsidRDefault="00080A9B" w:rsidP="00080A9B">
      <w:pPr>
        <w:pStyle w:val="NormalCentered"/>
        <w:spacing w:before="120"/>
      </w:pPr>
      <w:r w:rsidRPr="000D030B">
        <w:t>*</w:t>
      </w:r>
      <w:r w:rsidRPr="000D030B">
        <w:tab/>
        <w:t>*</w:t>
      </w:r>
    </w:p>
    <w:p w:rsidR="00080A9B" w:rsidRPr="000D030B" w:rsidRDefault="00080A9B" w:rsidP="005712DA">
      <w:pPr>
        <w:pageBreakBefore/>
        <w:rPr>
          <w:b/>
          <w:bCs/>
          <w:u w:val="single"/>
        </w:rPr>
      </w:pPr>
      <w:r w:rsidRPr="000D030B">
        <w:rPr>
          <w:b/>
          <w:u w:val="single"/>
        </w:rPr>
        <w:t>НЕЗАКОНОДАТЕЛНИ ДЕЙНОСТИ — ОТКРИТИ ДЕБАТИ</w:t>
      </w:r>
    </w:p>
    <w:p w:rsidR="00080A9B" w:rsidRPr="000D030B" w:rsidRDefault="00080A9B" w:rsidP="00080A9B">
      <w:pPr>
        <w:rPr>
          <w:b/>
          <w:i/>
          <w:iCs/>
        </w:rPr>
      </w:pPr>
      <w:r w:rsidRPr="000D030B">
        <w:rPr>
          <w:b/>
          <w:i/>
        </w:rPr>
        <w:t>(открит дебат съгласно член 8, параграф 2 от Процедурния правилник на Съвета)</w:t>
      </w:r>
    </w:p>
    <w:p w:rsidR="00080A9B" w:rsidRPr="000D030B" w:rsidRDefault="00080A9B" w:rsidP="00080A9B">
      <w:pPr>
        <w:pStyle w:val="HeadingCentered"/>
        <w:spacing w:before="360"/>
        <w:rPr>
          <w:b w:val="0"/>
          <w:bCs/>
        </w:rPr>
      </w:pPr>
      <w:r w:rsidRPr="000D030B">
        <w:rPr>
          <w:b w:val="0"/>
        </w:rPr>
        <w:t>ОБРАЗОВАНИЕ</w:t>
      </w:r>
    </w:p>
    <w:p w:rsidR="00080A9B" w:rsidRPr="000D030B" w:rsidRDefault="00080A9B" w:rsidP="00080A9B">
      <w:pPr>
        <w:pStyle w:val="PointManual"/>
        <w:rPr>
          <w:rFonts w:eastAsia="Calibri"/>
          <w:b/>
          <w:bCs/>
        </w:rPr>
      </w:pPr>
      <w:r w:rsidRPr="000D030B">
        <w:rPr>
          <w:b/>
        </w:rPr>
        <w:t>3.</w:t>
      </w:r>
      <w:r w:rsidRPr="000D030B">
        <w:tab/>
      </w:r>
      <w:r w:rsidRPr="000D030B">
        <w:rPr>
          <w:b/>
        </w:rPr>
        <w:t>Междинен преглед на „Образование и обучение 2020“ и изготвяне на Съвместния доклад за 2015 г.</w:t>
      </w:r>
    </w:p>
    <w:p w:rsidR="00080A9B" w:rsidRPr="000D030B" w:rsidRDefault="00080A9B" w:rsidP="00080A9B">
      <w:pPr>
        <w:pStyle w:val="Dash1"/>
        <w:numPr>
          <w:ilvl w:val="0"/>
          <w:numId w:val="30"/>
        </w:numPr>
      </w:pPr>
      <w:proofErr w:type="spellStart"/>
      <w:r w:rsidRPr="000D030B">
        <w:t>Ориентационен</w:t>
      </w:r>
      <w:proofErr w:type="spellEnd"/>
      <w:r w:rsidRPr="000D030B">
        <w:t xml:space="preserve"> дебат</w:t>
      </w:r>
    </w:p>
    <w:p w:rsidR="00080A9B" w:rsidRPr="000D030B" w:rsidRDefault="00080A9B" w:rsidP="00080A9B">
      <w:pPr>
        <w:pStyle w:val="Text2"/>
        <w:rPr>
          <w:i/>
          <w:iCs/>
        </w:rPr>
      </w:pPr>
      <w:r w:rsidRPr="000D030B">
        <w:rPr>
          <w:i/>
        </w:rPr>
        <w:t>(открит дебат съгласно член 8, параграф 2 от Процедурния правилник на Съвета)</w:t>
      </w:r>
    </w:p>
    <w:p w:rsidR="005712DA" w:rsidRPr="000D030B" w:rsidRDefault="00080A9B" w:rsidP="00080A9B">
      <w:pPr>
        <w:pStyle w:val="Text3"/>
        <w:rPr>
          <w:rFonts w:eastAsia="Calibri"/>
        </w:rPr>
      </w:pPr>
      <w:r w:rsidRPr="000D030B">
        <w:t>8039/15 EDUC 104 JEUN 28 SOC 240 EMPL 143 RECH 96 MI 235</w:t>
      </w:r>
    </w:p>
    <w:p w:rsidR="00080A9B" w:rsidRPr="000D030B" w:rsidRDefault="00080A9B" w:rsidP="00080A9B">
      <w:pPr>
        <w:pStyle w:val="Text5"/>
        <w:rPr>
          <w:rFonts w:eastAsia="Calibri"/>
        </w:rPr>
      </w:pPr>
      <w:r w:rsidRPr="000D030B">
        <w:t>COMPET 151</w:t>
      </w:r>
    </w:p>
    <w:p w:rsidR="00080A9B" w:rsidRPr="000D030B" w:rsidRDefault="00080A9B" w:rsidP="00080A9B">
      <w:pPr>
        <w:pStyle w:val="Text4"/>
        <w:rPr>
          <w:rFonts w:eastAsia="Calibri"/>
        </w:rPr>
      </w:pPr>
      <w:r w:rsidRPr="000D030B">
        <w:t>+ COR 1 (</w:t>
      </w:r>
      <w:proofErr w:type="spellStart"/>
      <w:r w:rsidRPr="000D030B">
        <w:t>cs</w:t>
      </w:r>
      <w:proofErr w:type="spellEnd"/>
      <w:r w:rsidRPr="000D030B">
        <w:t>)</w:t>
      </w:r>
    </w:p>
    <w:p w:rsidR="000643C0" w:rsidRPr="000D030B" w:rsidRDefault="000643C0" w:rsidP="00E22027">
      <w:pPr>
        <w:pStyle w:val="Text1"/>
        <w:spacing w:before="60" w:line="300" w:lineRule="auto"/>
      </w:pPr>
      <w:r w:rsidRPr="000D030B">
        <w:t xml:space="preserve">Въз основа на въпросника, изготвен от председателството (вж. док. 8039/15), </w:t>
      </w:r>
      <w:r w:rsidRPr="000D030B">
        <w:rPr>
          <w:u w:val="single"/>
        </w:rPr>
        <w:t>Съветът</w:t>
      </w:r>
      <w:r w:rsidRPr="000D030B">
        <w:t xml:space="preserve"> проведе </w:t>
      </w:r>
      <w:proofErr w:type="spellStart"/>
      <w:r w:rsidRPr="000D030B">
        <w:t>ориентационен</w:t>
      </w:r>
      <w:proofErr w:type="spellEnd"/>
      <w:r w:rsidRPr="000D030B">
        <w:t xml:space="preserve"> дебат по посочения по-горе въпрос, по време на който министрите в голяма степен потвърдиха отново настоящите цели на стратегическата рамка „Образование и обучение 2020“, но призоваха за по-оптимизирано управление, работни методи и докладване, по-малобройни, но по-оперативни приоритети, удължаване на работния цикъл на 5 години, по-тясно сътрудничество със сектора на заетостта и по-добро разпространяване на резултатите от европейското сътрудничество.</w:t>
      </w:r>
    </w:p>
    <w:p w:rsidR="000643C0" w:rsidRPr="000D030B" w:rsidRDefault="000643C0" w:rsidP="00E22027">
      <w:pPr>
        <w:pStyle w:val="Text1"/>
        <w:spacing w:before="60" w:line="300" w:lineRule="auto"/>
        <w:rPr>
          <w:color w:val="000000"/>
        </w:rPr>
      </w:pPr>
      <w:r w:rsidRPr="000D030B">
        <w:t xml:space="preserve">Имаше и призиви да се наблегне повече на приобщаващото образование, гражданството и придобиването на общи европейски ценности. </w:t>
      </w:r>
      <w:r w:rsidRPr="000D030B">
        <w:rPr>
          <w:u w:val="single"/>
        </w:rPr>
        <w:t>Комисията</w:t>
      </w:r>
      <w:r w:rsidRPr="000D030B">
        <w:t xml:space="preserve"> посочи, че ще вземе предвид резултатите от дебата при изготвянето на предстоящия си проект за съвместен доклад за „Образование и обучение 2020“.</w:t>
      </w:r>
    </w:p>
    <w:p w:rsidR="00080A9B" w:rsidRPr="000D030B" w:rsidRDefault="00080A9B" w:rsidP="00080A9B">
      <w:pPr>
        <w:pStyle w:val="PointManual"/>
        <w:spacing w:before="600"/>
        <w:rPr>
          <w:rFonts w:eastAsia="Calibri"/>
          <w:b/>
          <w:bCs/>
        </w:rPr>
      </w:pPr>
      <w:r w:rsidRPr="000D030B">
        <w:rPr>
          <w:b/>
        </w:rPr>
        <w:t>7.</w:t>
      </w:r>
      <w:r w:rsidRPr="000D030B">
        <w:tab/>
      </w:r>
      <w:r w:rsidRPr="000D030B">
        <w:rPr>
          <w:b/>
        </w:rPr>
        <w:t>Насърчаване на младите хора за политическо участие в демократичния живот на Европа</w:t>
      </w:r>
    </w:p>
    <w:p w:rsidR="00080A9B" w:rsidRPr="000D030B" w:rsidRDefault="00080A9B" w:rsidP="00080A9B">
      <w:pPr>
        <w:pStyle w:val="Dash1"/>
      </w:pPr>
      <w:proofErr w:type="spellStart"/>
      <w:r w:rsidRPr="000D030B">
        <w:t>Ориентационен</w:t>
      </w:r>
      <w:proofErr w:type="spellEnd"/>
      <w:r w:rsidRPr="000D030B">
        <w:t xml:space="preserve"> дебат</w:t>
      </w:r>
    </w:p>
    <w:p w:rsidR="00080A9B" w:rsidRPr="000D030B" w:rsidRDefault="00080A9B" w:rsidP="00080A9B">
      <w:pPr>
        <w:pStyle w:val="Text2"/>
        <w:rPr>
          <w:i/>
          <w:iCs/>
        </w:rPr>
      </w:pPr>
      <w:r w:rsidRPr="000D030B">
        <w:rPr>
          <w:i/>
        </w:rPr>
        <w:t>(открит дебат съгласно член 8, параграф 2 от Процедурния правилник на Съвета)</w:t>
      </w:r>
    </w:p>
    <w:p w:rsidR="00080A9B" w:rsidRPr="000D030B" w:rsidRDefault="00080A9B" w:rsidP="00080A9B">
      <w:pPr>
        <w:pStyle w:val="Text3"/>
      </w:pPr>
      <w:r w:rsidRPr="000D030B">
        <w:t>8095/15 JEUN 31 EDUC 107 SOC 243</w:t>
      </w:r>
    </w:p>
    <w:p w:rsidR="000643C0" w:rsidRPr="000D030B" w:rsidRDefault="000643C0" w:rsidP="00E22027">
      <w:pPr>
        <w:pStyle w:val="Text1"/>
        <w:spacing w:before="60" w:line="300" w:lineRule="auto"/>
        <w:rPr>
          <w:color w:val="000000"/>
        </w:rPr>
      </w:pPr>
      <w:r w:rsidRPr="000D030B">
        <w:rPr>
          <w:u w:val="single"/>
        </w:rPr>
        <w:t>Съветът</w:t>
      </w:r>
      <w:r w:rsidRPr="000D030B">
        <w:t xml:space="preserve"> </w:t>
      </w:r>
      <w:r w:rsidRPr="000D030B">
        <w:rPr>
          <w:color w:val="000000"/>
        </w:rPr>
        <w:t xml:space="preserve">проведе </w:t>
      </w:r>
      <w:proofErr w:type="spellStart"/>
      <w:r w:rsidRPr="000D030B">
        <w:rPr>
          <w:color w:val="000000"/>
        </w:rPr>
        <w:t>ориентационен</w:t>
      </w:r>
      <w:proofErr w:type="spellEnd"/>
      <w:r w:rsidRPr="000D030B">
        <w:rPr>
          <w:color w:val="000000"/>
        </w:rPr>
        <w:t xml:space="preserve"> дебат по гореспоменатата тема въз основа на документ за обсъждане, изготвен от председателството (док. 8095/15).</w:t>
      </w:r>
    </w:p>
    <w:p w:rsidR="000643C0" w:rsidRPr="000D030B" w:rsidRDefault="000643C0" w:rsidP="00E22027">
      <w:pPr>
        <w:pStyle w:val="Text1"/>
        <w:spacing w:before="60" w:line="300" w:lineRule="auto"/>
        <w:rPr>
          <w:color w:val="000000"/>
        </w:rPr>
      </w:pPr>
      <w:r w:rsidRPr="000D030B">
        <w:rPr>
          <w:u w:val="single"/>
        </w:rPr>
        <w:t>Министрите</w:t>
      </w:r>
      <w:r w:rsidRPr="000D030B">
        <w:t xml:space="preserve"> </w:t>
      </w:r>
      <w:r w:rsidRPr="000D030B">
        <w:rPr>
          <w:color w:val="000000"/>
        </w:rPr>
        <w:t xml:space="preserve">изтъкнаха интереса на младите хора към политическо участие, което те все повече осъществяват по нови и не толкова конвенционални начини като социалните медии и интернет кампаниите. Наред с другото министрите подчертаха, че за укрепването на ангажираността на младите хора е нужно да се укрепят гражданското и политическото образование и да се увеличи подкрепата от семействата и училищата за борба с екстремизма и </w:t>
      </w:r>
      <w:proofErr w:type="spellStart"/>
      <w:r w:rsidRPr="000D030B">
        <w:rPr>
          <w:color w:val="000000"/>
        </w:rPr>
        <w:t>радикализацията</w:t>
      </w:r>
      <w:proofErr w:type="spellEnd"/>
      <w:r w:rsidRPr="000D030B">
        <w:rPr>
          <w:color w:val="000000"/>
        </w:rPr>
        <w:t>, да се подобри използването на новите технологии в изборните процеси, да се изготвят конкретни проекти, насочени към създаването на възможности за засилен диалог със и между младите хора, и да продължи обменът на добри практики на равнище ЕС.</w:t>
      </w:r>
    </w:p>
    <w:p w:rsidR="00080A9B" w:rsidRPr="000D030B" w:rsidRDefault="00080A9B" w:rsidP="00080A9B">
      <w:pPr>
        <w:pStyle w:val="HeadingCentered"/>
        <w:pageBreakBefore/>
        <w:spacing w:before="360"/>
        <w:rPr>
          <w:b w:val="0"/>
          <w:bCs/>
        </w:rPr>
      </w:pPr>
      <w:r w:rsidRPr="000D030B">
        <w:rPr>
          <w:b w:val="0"/>
        </w:rPr>
        <w:t>АУДИО-ВИЗИЯ / КУЛТУРА</w:t>
      </w:r>
    </w:p>
    <w:p w:rsidR="00080A9B" w:rsidRPr="000D030B" w:rsidRDefault="00080A9B" w:rsidP="00080A9B">
      <w:pPr>
        <w:pStyle w:val="PointManual"/>
        <w:spacing w:before="240"/>
        <w:rPr>
          <w:rFonts w:eastAsia="Calibri"/>
          <w:b/>
          <w:bCs/>
        </w:rPr>
      </w:pPr>
      <w:r w:rsidRPr="000D030B">
        <w:rPr>
          <w:b/>
        </w:rPr>
        <w:t>9.</w:t>
      </w:r>
      <w:r w:rsidRPr="000D030B">
        <w:tab/>
      </w:r>
      <w:r w:rsidRPr="000D030B">
        <w:rPr>
          <w:b/>
        </w:rPr>
        <w:t>Бъдещата европейска аудио-визуална политика в рамките на стратегията за цифров единен пазар</w:t>
      </w:r>
    </w:p>
    <w:p w:rsidR="00080A9B" w:rsidRPr="000D030B" w:rsidRDefault="00080A9B" w:rsidP="00080A9B">
      <w:pPr>
        <w:pStyle w:val="PointManual1"/>
        <w:spacing w:before="120"/>
        <w:rPr>
          <w:b/>
          <w:bCs/>
        </w:rPr>
      </w:pPr>
      <w:r w:rsidRPr="000D030B">
        <w:rPr>
          <w:b/>
        </w:rPr>
        <w:t>а)</w:t>
      </w:r>
      <w:r w:rsidRPr="000D030B">
        <w:tab/>
      </w:r>
      <w:r w:rsidRPr="000D030B">
        <w:rPr>
          <w:b/>
        </w:rPr>
        <w:t>Стратегия за цифров единен пазар за Европа</w:t>
      </w:r>
    </w:p>
    <w:p w:rsidR="00080A9B" w:rsidRPr="000D030B" w:rsidRDefault="00080A9B" w:rsidP="00080A9B">
      <w:pPr>
        <w:pStyle w:val="Dash2"/>
      </w:pPr>
      <w:r w:rsidRPr="000D030B">
        <w:t>Представяне от Комисията</w:t>
      </w:r>
    </w:p>
    <w:p w:rsidR="00080A9B" w:rsidRPr="000D030B" w:rsidRDefault="00080A9B" w:rsidP="00080A9B">
      <w:pPr>
        <w:pStyle w:val="Text3"/>
        <w:rPr>
          <w:i/>
          <w:iCs/>
        </w:rPr>
      </w:pPr>
      <w:r w:rsidRPr="000D030B">
        <w:rPr>
          <w:i/>
        </w:rPr>
        <w:t>(открит дебат съгласно член 8, параграф 2 от Процедурния правилник на Съвета)</w:t>
      </w:r>
    </w:p>
    <w:p w:rsidR="005712DA" w:rsidRPr="000D030B" w:rsidRDefault="00080A9B" w:rsidP="00080A9B">
      <w:pPr>
        <w:pStyle w:val="Text3"/>
      </w:pPr>
      <w:r w:rsidRPr="000D030B">
        <w:t>8672/15 COMPET 185 TELECOM 109 AUDIO 11 DIGIT 32 RECH 107 MI 291</w:t>
      </w:r>
    </w:p>
    <w:p w:rsidR="005712DA" w:rsidRPr="000D030B" w:rsidRDefault="00080A9B" w:rsidP="00080A9B">
      <w:pPr>
        <w:pStyle w:val="Text5"/>
      </w:pPr>
      <w:r w:rsidRPr="000D030B">
        <w:t>PI 32 IND 72 ECOFIN 308 ENER 139 DATAPROTECT 70</w:t>
      </w:r>
    </w:p>
    <w:p w:rsidR="00080A9B" w:rsidRPr="000D030B" w:rsidRDefault="00080A9B" w:rsidP="00080A9B">
      <w:pPr>
        <w:pStyle w:val="Text5"/>
      </w:pPr>
      <w:r w:rsidRPr="000D030B">
        <w:t>CYBER 31 JUSTCIV 101 EJUSTICE 56 CULT 29 EDUC 122</w:t>
      </w:r>
    </w:p>
    <w:p w:rsidR="00080A9B" w:rsidRPr="000D030B" w:rsidRDefault="00080A9B" w:rsidP="00080A9B">
      <w:pPr>
        <w:pStyle w:val="PointManual1"/>
        <w:rPr>
          <w:b/>
          <w:bCs/>
        </w:rPr>
      </w:pPr>
      <w:r w:rsidRPr="000D030B">
        <w:rPr>
          <w:b/>
        </w:rPr>
        <w:t>б)</w:t>
      </w:r>
      <w:r w:rsidRPr="000D030B">
        <w:tab/>
      </w:r>
      <w:r w:rsidRPr="000D030B">
        <w:rPr>
          <w:b/>
        </w:rPr>
        <w:t>Действието на Директивата за аудио-визуалните медийни услуги в контекста на настоящата геополитическа ситуация</w:t>
      </w:r>
    </w:p>
    <w:p w:rsidR="005712DA" w:rsidRPr="000D030B" w:rsidRDefault="00080A9B" w:rsidP="00080A9B">
      <w:pPr>
        <w:pStyle w:val="Dash2"/>
      </w:pPr>
      <w:proofErr w:type="spellStart"/>
      <w:r w:rsidRPr="000D030B">
        <w:t>Ориентационен</w:t>
      </w:r>
      <w:proofErr w:type="spellEnd"/>
      <w:r w:rsidRPr="000D030B">
        <w:t xml:space="preserve"> дебат</w:t>
      </w:r>
    </w:p>
    <w:p w:rsidR="00080A9B" w:rsidRPr="000D030B" w:rsidRDefault="00080A9B" w:rsidP="00080A9B">
      <w:pPr>
        <w:pStyle w:val="Text3"/>
        <w:rPr>
          <w:i/>
          <w:iCs/>
        </w:rPr>
      </w:pPr>
      <w:r w:rsidRPr="000D030B">
        <w:rPr>
          <w:i/>
        </w:rPr>
        <w:t>(открит дебат съгласно член 8, параграф 2 от Процедурния правилник на Съвета)</w:t>
      </w:r>
    </w:p>
    <w:p w:rsidR="00080A9B" w:rsidRPr="000D030B" w:rsidRDefault="00080A9B" w:rsidP="00080A9B">
      <w:pPr>
        <w:pStyle w:val="Text3"/>
      </w:pPr>
      <w:r w:rsidRPr="000D030B">
        <w:t>8351/15 AUDIO 9 DIGIT 23 COEST 127 CONSOM 69 JAI 256</w:t>
      </w:r>
    </w:p>
    <w:p w:rsidR="005712DA" w:rsidRPr="000D030B" w:rsidRDefault="000643C0" w:rsidP="000643C0">
      <w:pPr>
        <w:pStyle w:val="Text1"/>
        <w:spacing w:before="240" w:line="360" w:lineRule="auto"/>
      </w:pPr>
      <w:r w:rsidRPr="000D030B">
        <w:rPr>
          <w:u w:val="single"/>
        </w:rPr>
        <w:t>Комисията</w:t>
      </w:r>
      <w:r w:rsidRPr="000D030B">
        <w:t xml:space="preserve"> </w:t>
      </w:r>
      <w:r w:rsidRPr="000D030B">
        <w:rPr>
          <w:color w:val="000000"/>
        </w:rPr>
        <w:t>представи</w:t>
      </w:r>
      <w:r w:rsidRPr="000D030B">
        <w:t xml:space="preserve"> съобщението си „Стратегия за цифров единен пазар за Европа“, прието на 6 май (док. 8672/15). Тя подчерта, че Европа се нуждае от всеобхватна цифрова стратегия, за да остане конкурентоспособна на глобално равнище. Стратегията е насочена не само към технологиите, но и към обществото, културата и творчеството.</w:t>
      </w:r>
    </w:p>
    <w:p w:rsidR="000643C0" w:rsidRPr="000D030B" w:rsidRDefault="000643C0" w:rsidP="000643C0">
      <w:pPr>
        <w:pStyle w:val="Text1"/>
        <w:spacing w:before="240" w:line="360" w:lineRule="auto"/>
      </w:pPr>
      <w:r w:rsidRPr="000D030B">
        <w:rPr>
          <w:u w:val="single"/>
        </w:rPr>
        <w:t>Съветът</w:t>
      </w:r>
      <w:r w:rsidRPr="000D030B">
        <w:t xml:space="preserve"> проведе </w:t>
      </w:r>
      <w:proofErr w:type="spellStart"/>
      <w:r w:rsidRPr="000D030B">
        <w:t>ориентационен</w:t>
      </w:r>
      <w:proofErr w:type="spellEnd"/>
      <w:r w:rsidRPr="000D030B">
        <w:t xml:space="preserve"> дебат по гореспоменатата тема въз основа на документ за обсъждане, изготвен от председателството (док. 8351/15).</w:t>
      </w:r>
    </w:p>
    <w:p w:rsidR="005712DA" w:rsidRPr="000D030B" w:rsidRDefault="000643C0" w:rsidP="000643C0">
      <w:pPr>
        <w:pStyle w:val="Text1"/>
        <w:spacing w:before="240" w:line="360" w:lineRule="auto"/>
      </w:pPr>
      <w:r w:rsidRPr="000D030B">
        <w:rPr>
          <w:u w:val="single"/>
        </w:rPr>
        <w:t>Министрите</w:t>
      </w:r>
      <w:r w:rsidRPr="000D030B">
        <w:t xml:space="preserve"> </w:t>
      </w:r>
      <w:r w:rsidRPr="000D030B">
        <w:rPr>
          <w:color w:val="000000"/>
        </w:rPr>
        <w:t>изтъкнаха</w:t>
      </w:r>
      <w:r w:rsidRPr="000D030B">
        <w:t xml:space="preserve">, че цифровият единен пазар следва да насърчи европейското културно и езиково многообразие. Те подкрепиха становището на Комисията относно улесняването на трансграничната преносимост на съдържание при запазване на съществуващия принцип на </w:t>
      </w:r>
      <w:proofErr w:type="spellStart"/>
      <w:r w:rsidRPr="000D030B">
        <w:t>териториалността</w:t>
      </w:r>
      <w:proofErr w:type="spellEnd"/>
      <w:r w:rsidRPr="000D030B">
        <w:t>, относно необходимостта от продължаване на борбата с незаконното съдържание и постигането на точния баланс във връзка с авторското право.</w:t>
      </w:r>
    </w:p>
    <w:p w:rsidR="005712DA" w:rsidRPr="000D030B" w:rsidRDefault="000643C0" w:rsidP="000643C0">
      <w:pPr>
        <w:pStyle w:val="Text1"/>
        <w:spacing w:before="240" w:line="336" w:lineRule="auto"/>
      </w:pPr>
      <w:r w:rsidRPr="000D030B">
        <w:rPr>
          <w:color w:val="000000"/>
        </w:rPr>
        <w:t>По отношение на</w:t>
      </w:r>
      <w:r w:rsidRPr="000D030B">
        <w:t xml:space="preserve"> Директивата за аудио-визуалните медийни услуги </w:t>
      </w:r>
      <w:r w:rsidRPr="000D030B">
        <w:rPr>
          <w:u w:val="single"/>
        </w:rPr>
        <w:t>повечето министри</w:t>
      </w:r>
      <w:r w:rsidRPr="000D030B">
        <w:t xml:space="preserve"> като цяло подкрепиха запазването на принципа на страната на произход като крайъгълен камък на европейската аудио-визуална политика. Те подчертаха, че със свободите, гарантирани от Директивата за аудио-визуалните медийни услуги, не трябва да се злоупотребява за разпространяване на пропаганда, дезинформация или изказвания, подбуждащи към омраза, и във връзка с това признаха, че биха могли да се предвидят някои допълнителни изключения, например когато основните ценности и свободи и демокрацията са сериозно застрашени.</w:t>
      </w:r>
    </w:p>
    <w:p w:rsidR="005712DA" w:rsidRPr="000D030B" w:rsidRDefault="000643C0" w:rsidP="00E22027">
      <w:pPr>
        <w:pStyle w:val="Text1"/>
        <w:pageBreakBefore/>
        <w:spacing w:before="120" w:line="336" w:lineRule="auto"/>
      </w:pPr>
      <w:r w:rsidRPr="000D030B">
        <w:t xml:space="preserve">В контекста на </w:t>
      </w:r>
      <w:r w:rsidRPr="000D030B">
        <w:rPr>
          <w:color w:val="000000"/>
        </w:rPr>
        <w:t xml:space="preserve">настоящите процеси в </w:t>
      </w:r>
      <w:r w:rsidRPr="000D030B">
        <w:t>геополитически план и навлизането на цифровите технологии министрите счетоха, че директивата трябва да бъде актуализирана и че преработената директива следва да бъде основана, наред с другото, на гарантирането на медийна свобода и плурализъм, насърчаването на културното многообразие и гарантирането на високо равнище на защита на малолетните и непълнолетните лица.</w:t>
      </w:r>
    </w:p>
    <w:p w:rsidR="000643C0" w:rsidRPr="000D030B" w:rsidRDefault="000643C0" w:rsidP="00E22027">
      <w:pPr>
        <w:pStyle w:val="Text1"/>
        <w:spacing w:before="120" w:line="336" w:lineRule="auto"/>
      </w:pPr>
      <w:r w:rsidRPr="000D030B">
        <w:t>Комисията посочи, че работата по линия на Програмата за пригодност и резултатност на регулаторната рамка във връзка с Директивата за аудио-визуалните медийни услуги следва да приключи до края на 2015 г., като даде възможност за приемане на законодателно предложение за изменение на директивата през пролетта на 2016 г.</w:t>
      </w:r>
    </w:p>
    <w:p w:rsidR="00080A9B" w:rsidRPr="000D030B" w:rsidRDefault="00080A9B" w:rsidP="00080A9B">
      <w:pPr>
        <w:pStyle w:val="PointManual"/>
        <w:spacing w:before="600"/>
        <w:rPr>
          <w:rFonts w:eastAsia="Calibri"/>
          <w:b/>
          <w:bCs/>
        </w:rPr>
      </w:pPr>
      <w:r w:rsidRPr="000D030B">
        <w:rPr>
          <w:b/>
        </w:rPr>
        <w:t>13.</w:t>
      </w:r>
      <w:r w:rsidRPr="000D030B">
        <w:tab/>
      </w:r>
      <w:r w:rsidRPr="000D030B">
        <w:rPr>
          <w:b/>
        </w:rPr>
        <w:t>Физическата дейност като основен елемент на качественото образование на всички равнища — модели за сътрудничество със сектора на спорта</w:t>
      </w:r>
    </w:p>
    <w:p w:rsidR="00080A9B" w:rsidRPr="000D030B" w:rsidRDefault="00080A9B" w:rsidP="00080A9B">
      <w:pPr>
        <w:pStyle w:val="Dash1"/>
      </w:pPr>
      <w:proofErr w:type="spellStart"/>
      <w:r w:rsidRPr="000D030B">
        <w:t>Ориентационен</w:t>
      </w:r>
      <w:proofErr w:type="spellEnd"/>
      <w:r w:rsidRPr="000D030B">
        <w:t xml:space="preserve"> дебат</w:t>
      </w:r>
    </w:p>
    <w:p w:rsidR="00080A9B" w:rsidRPr="000D030B" w:rsidRDefault="00080A9B" w:rsidP="00080A9B">
      <w:pPr>
        <w:pStyle w:val="Text2"/>
        <w:rPr>
          <w:i/>
          <w:iCs/>
        </w:rPr>
      </w:pPr>
      <w:r w:rsidRPr="000D030B">
        <w:rPr>
          <w:i/>
        </w:rPr>
        <w:t>(открит дебат съгласно член 8, параграф 2 от Процедурния правилник на Съвета)</w:t>
      </w:r>
    </w:p>
    <w:p w:rsidR="00080A9B" w:rsidRPr="000D030B" w:rsidRDefault="00080A9B" w:rsidP="00080A9B">
      <w:pPr>
        <w:pStyle w:val="Text3"/>
      </w:pPr>
      <w:r w:rsidRPr="000D030B">
        <w:t>8096/15 SPORT 14 EDUC 108 JEUN 32</w:t>
      </w:r>
    </w:p>
    <w:p w:rsidR="00080A9B" w:rsidRPr="000D030B" w:rsidRDefault="00080A9B" w:rsidP="00080A9B">
      <w:pPr>
        <w:pStyle w:val="Text4"/>
      </w:pPr>
      <w:r w:rsidRPr="000D030B">
        <w:t>+ COR 1 (</w:t>
      </w:r>
      <w:proofErr w:type="spellStart"/>
      <w:r w:rsidRPr="000D030B">
        <w:t>cs</w:t>
      </w:r>
      <w:proofErr w:type="spellEnd"/>
      <w:r w:rsidRPr="000D030B">
        <w:t>)</w:t>
      </w:r>
    </w:p>
    <w:p w:rsidR="000643C0" w:rsidRPr="000D030B" w:rsidRDefault="000643C0" w:rsidP="00E22027">
      <w:pPr>
        <w:pStyle w:val="Text1"/>
        <w:spacing w:before="120" w:line="336" w:lineRule="auto"/>
        <w:rPr>
          <w:color w:val="000000"/>
        </w:rPr>
      </w:pPr>
      <w:r w:rsidRPr="000D030B">
        <w:rPr>
          <w:u w:val="single"/>
        </w:rPr>
        <w:t>Съветът</w:t>
      </w:r>
      <w:r w:rsidRPr="000D030B">
        <w:t xml:space="preserve"> </w:t>
      </w:r>
      <w:r w:rsidRPr="000D030B">
        <w:rPr>
          <w:color w:val="000000"/>
        </w:rPr>
        <w:t xml:space="preserve">проведе </w:t>
      </w:r>
      <w:proofErr w:type="spellStart"/>
      <w:r w:rsidRPr="000D030B">
        <w:rPr>
          <w:color w:val="000000"/>
        </w:rPr>
        <w:t>ориентационен</w:t>
      </w:r>
      <w:proofErr w:type="spellEnd"/>
      <w:r w:rsidRPr="000D030B">
        <w:rPr>
          <w:color w:val="000000"/>
        </w:rPr>
        <w:t xml:space="preserve"> дебат по гореспоменатата тема въз основа на документ за обсъждане, изготвен от председателството (док. 8096/15).</w:t>
      </w:r>
    </w:p>
    <w:p w:rsidR="000643C0" w:rsidRPr="000D030B" w:rsidRDefault="000643C0" w:rsidP="00E22027">
      <w:pPr>
        <w:pStyle w:val="Text1"/>
        <w:spacing w:before="120" w:line="336" w:lineRule="auto"/>
        <w:rPr>
          <w:iCs/>
        </w:rPr>
      </w:pPr>
      <w:r w:rsidRPr="000D030B">
        <w:rPr>
          <w:u w:val="single"/>
        </w:rPr>
        <w:t xml:space="preserve">Министрите </w:t>
      </w:r>
      <w:r w:rsidRPr="000D030B">
        <w:t xml:space="preserve"> изтъкнаха, че насърчаването на физическата активност е приоритет в областта на спорта, подлаган редовно на разглеждане, по-специално в препоръката на Съвета относно насърчаването на укрепваща здравето физическа активност, в специфична глава по въпросите на спорта в рамките на програмата </w:t>
      </w:r>
      <w:proofErr w:type="spellStart"/>
      <w:r w:rsidRPr="000D030B">
        <w:t>Еразъм+</w:t>
      </w:r>
      <w:proofErr w:type="spellEnd"/>
      <w:r w:rsidRPr="000D030B">
        <w:t>, както и в предстоящата европейска седмица на спорта през септември 2015 г.</w:t>
      </w:r>
    </w:p>
    <w:p w:rsidR="000643C0" w:rsidRPr="000D030B" w:rsidRDefault="000643C0" w:rsidP="00E22027">
      <w:pPr>
        <w:pStyle w:val="Text1"/>
        <w:spacing w:before="120" w:line="336" w:lineRule="auto"/>
        <w:rPr>
          <w:color w:val="000000"/>
        </w:rPr>
      </w:pPr>
      <w:r w:rsidRPr="000D030B">
        <w:t>Министрите също т</w:t>
      </w:r>
      <w:bookmarkStart w:id="1" w:name="_GoBack"/>
      <w:bookmarkEnd w:id="1"/>
      <w:r w:rsidRPr="000D030B">
        <w:t>ака отбелязаха, че има ясни двустранни стимули: физическата дейност в училищата подобрява образователните резултати; сътрудничеството на спортните клубове с училищата увеличава броя деца, които се занимават със спорт в училище.</w:t>
      </w:r>
      <w:r w:rsidRPr="000D030B">
        <w:rPr>
          <w:color w:val="000000"/>
        </w:rPr>
        <w:t xml:space="preserve"> Съществуват и някои предизвикателства, сред които не на последно място нарастващата надпревара за свободното време на младите хора от страна на видеоигрите, социалните медии и цифровият свят.</w:t>
      </w:r>
    </w:p>
    <w:p w:rsidR="000643C0" w:rsidRPr="000D030B" w:rsidRDefault="000643C0" w:rsidP="00E22027">
      <w:pPr>
        <w:pStyle w:val="Text1"/>
        <w:spacing w:before="120" w:line="336" w:lineRule="auto"/>
        <w:rPr>
          <w:color w:val="000000"/>
        </w:rPr>
      </w:pPr>
      <w:r w:rsidRPr="000D030B">
        <w:rPr>
          <w:color w:val="000000"/>
        </w:rPr>
        <w:t>В дебата стана ясно, че гъвкавостта и достъпността на спортните дейности са от ключово значение. Това налага партньорство и сътрудничество между секторите на образованието и спорта. Публичните органи, по-конкретно на местно равнище, трябва да имат ключова координираща роля.</w:t>
      </w:r>
    </w:p>
    <w:p w:rsidR="00FC4670" w:rsidRPr="008362F7" w:rsidRDefault="00FC4670" w:rsidP="008E23FC">
      <w:pPr>
        <w:pStyle w:val="FinalLine"/>
      </w:pPr>
    </w:p>
    <w:sectPr w:rsidR="00FC4670" w:rsidRPr="008362F7" w:rsidSect="00355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FC" w:rsidRDefault="008E23FC" w:rsidP="008E23FC">
      <w:r>
        <w:separator/>
      </w:r>
    </w:p>
  </w:endnote>
  <w:endnote w:type="continuationSeparator" w:id="0">
    <w:p w:rsidR="008E23FC" w:rsidRDefault="008E23FC" w:rsidP="008E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33" w:rsidRPr="00355FCA" w:rsidRDefault="00A32733" w:rsidP="00355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5FCA" w:rsidRPr="00D94637" w:rsidTr="00355FC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5FCA" w:rsidRPr="00D94637" w:rsidRDefault="00355FC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55FCA" w:rsidRPr="00B310DC" w:rsidTr="00355FC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5FCA" w:rsidRPr="00AD7BF2" w:rsidRDefault="00355FCA" w:rsidP="004F54B2">
          <w:pPr>
            <w:pStyle w:val="FooterText"/>
          </w:pPr>
          <w:r>
            <w:t>9066/15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5FCA" w:rsidRPr="00AD7BF2" w:rsidRDefault="00355FC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5FCA" w:rsidRPr="002511D8" w:rsidRDefault="00355FCA" w:rsidP="00D94637">
          <w:pPr>
            <w:pStyle w:val="FooterText"/>
            <w:jc w:val="center"/>
          </w:pPr>
          <w:proofErr w:type="spellStart"/>
          <w:r>
            <w:t>vat</w:t>
          </w:r>
          <w:proofErr w:type="spellEnd"/>
          <w:r>
            <w:t>/AM/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5FCA" w:rsidRPr="00B310DC" w:rsidRDefault="00355FC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22027">
            <w:rPr>
              <w:noProof/>
            </w:rPr>
            <w:t>5</w:t>
          </w:r>
          <w:r>
            <w:fldChar w:fldCharType="end"/>
          </w:r>
        </w:p>
      </w:tc>
    </w:tr>
    <w:tr w:rsidR="00355FCA" w:rsidRPr="00D94637" w:rsidTr="00355FCA">
      <w:trPr>
        <w:jc w:val="center"/>
      </w:trPr>
      <w:tc>
        <w:tcPr>
          <w:tcW w:w="1774" w:type="pct"/>
          <w:shd w:val="clear" w:color="auto" w:fill="auto"/>
        </w:tcPr>
        <w:p w:rsidR="00355FCA" w:rsidRPr="00AD7BF2" w:rsidRDefault="00355FC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5FCA" w:rsidRPr="00AD7BF2" w:rsidRDefault="00355FC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55FCA" w:rsidRPr="00D94637" w:rsidRDefault="00355FC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5FCA" w:rsidRPr="00D94637" w:rsidRDefault="00355FC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E23FC" w:rsidRPr="00355FCA" w:rsidRDefault="008E23FC" w:rsidP="00355FC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5FCA" w:rsidRPr="00D94637" w:rsidTr="00355FC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5FCA" w:rsidRPr="00D94637" w:rsidRDefault="00355FC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55FCA" w:rsidRPr="00B310DC" w:rsidTr="00355FC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5FCA" w:rsidRPr="00AD7BF2" w:rsidRDefault="00355FCA" w:rsidP="004F54B2">
          <w:pPr>
            <w:pStyle w:val="FooterText"/>
          </w:pPr>
          <w:r>
            <w:t>9066/15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5FCA" w:rsidRPr="00AD7BF2" w:rsidRDefault="00355FC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5FCA" w:rsidRPr="002511D8" w:rsidRDefault="00355FCA" w:rsidP="00D94637">
          <w:pPr>
            <w:pStyle w:val="FooterText"/>
            <w:jc w:val="center"/>
          </w:pPr>
          <w:proofErr w:type="spellStart"/>
          <w:r>
            <w:t>vat</w:t>
          </w:r>
          <w:proofErr w:type="spellEnd"/>
          <w:r>
            <w:t>/AM/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5FCA" w:rsidRPr="00B310DC" w:rsidRDefault="00355FC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22027">
            <w:rPr>
              <w:noProof/>
            </w:rPr>
            <w:t>1</w:t>
          </w:r>
          <w:r>
            <w:fldChar w:fldCharType="end"/>
          </w:r>
        </w:p>
      </w:tc>
    </w:tr>
    <w:tr w:rsidR="00355FCA" w:rsidRPr="00D94637" w:rsidTr="00355FCA">
      <w:trPr>
        <w:jc w:val="center"/>
      </w:trPr>
      <w:tc>
        <w:tcPr>
          <w:tcW w:w="1774" w:type="pct"/>
          <w:shd w:val="clear" w:color="auto" w:fill="auto"/>
        </w:tcPr>
        <w:p w:rsidR="00355FCA" w:rsidRPr="00AD7BF2" w:rsidRDefault="00355FC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5FCA" w:rsidRPr="00AD7BF2" w:rsidRDefault="00355FC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55FCA" w:rsidRPr="00D94637" w:rsidRDefault="00355FC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5FCA" w:rsidRPr="00D94637" w:rsidRDefault="00355FC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E23FC" w:rsidRPr="00355FCA" w:rsidRDefault="008E23FC" w:rsidP="00355FC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FC" w:rsidRDefault="008E23FC" w:rsidP="008E23FC">
      <w:r>
        <w:separator/>
      </w:r>
    </w:p>
  </w:footnote>
  <w:footnote w:type="continuationSeparator" w:id="0">
    <w:p w:rsidR="008E23FC" w:rsidRDefault="008E23FC" w:rsidP="008E23FC">
      <w:r>
        <w:continuationSeparator/>
      </w:r>
    </w:p>
  </w:footnote>
  <w:footnote w:id="1">
    <w:p w:rsidR="00080A9B" w:rsidRPr="00555D80" w:rsidRDefault="00080A9B" w:rsidP="00080A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33" w:rsidRPr="00355FCA" w:rsidRDefault="00A32733" w:rsidP="00355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33" w:rsidRPr="00355FCA" w:rsidRDefault="00A32733" w:rsidP="00355FC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33" w:rsidRPr="00355FCA" w:rsidRDefault="00A32733" w:rsidP="00355FC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bbccf21e-368f-4f9d-b8c4-e863d41e3f7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6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5&lt;/text&gt;_x000d__x000a_      &lt;text&gt;EDUC 155&lt;/text&gt;_x000d__x000a_      &lt;text&gt;JEUN 41&lt;/text&gt;_x000d__x000a_      &lt;text&gt;CULT 33&lt;/text&gt;_x000d__x000a_      &lt;text&gt;AUDIO 15&lt;/text&gt;_x000d__x000a_      &lt;text&gt;SPORT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8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41;&amp;#1056;&amp;#1040;&amp;#1047;&amp;#1054;&amp;#1042;&amp;#1040;&amp;#1053;&amp;#1048;&amp;#1045;, &amp;#1052;&amp;#1051;&amp;#1040;&amp;#1044;&amp;#1045;&amp;#1046;, &amp;#1050;&amp;#1059;&amp;#1051;&amp;#1058;&amp;#1059;&amp;#1056;&amp;#1040; &amp;#1048; &amp;#1057;&amp;#1055;&amp;#1054;&amp;#1056;&amp;#1058;),  &amp;#1087;&amp;#1088;&amp;#1086;&amp;#1074;&amp;#1077;&amp;#1076;&amp;#1077;&amp;#1085;&amp;#1086; &amp;#1074; &amp;#1041;&amp;#1088;&amp;#1102;&amp;#1082;&amp;#1089;&amp;#1077;&amp;#1083; &amp;#1085;&amp;#1072; 18 &amp;#1080; 19 &amp;#1084;&amp;#1072;&amp;#1081; 2015 &amp;#1075;.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3&amp;lt;/Run&amp;gt;&amp;lt;Run FontFamily=&quot;Times New Roman&quot; FontWeight=&quot;Bold&quot; xml:lang=&quot;fr-be&quot;&amp;gt;88-&amp;#1086;&amp;lt;/Run&amp;gt;&amp;lt;Run FontFamily=&quot;Times New Roman&quot; FontWeight=&quot;Bold&quot; xml:space=&quot;preserve&quot; /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LineBreak /&amp;gt;&amp;lt;Run FontFamily=&quot;Times New Roman&quot; xml:space=&quot;preserve&quot; /&amp;gt;&amp;lt;Run FontFamily=&quot;Times New Roman&quot; FontWeight=&quot;Bold&quot;&amp;gt;(&amp;#1054;&amp;#1041;&amp;#1056;&amp;#1040;&amp;#1047;&amp;#1054;&amp;#1042;&amp;#1040;&amp;#1053;&amp;#1048;&amp;#1045;, &amp;#1052;&amp;#1051;&amp;#1040;&amp;#1044;&amp;#1045;&amp;#1046;, &amp;#1050;&amp;#1059;&amp;#1051;&amp;#1058;&amp;#1059;&amp;#1056;&amp;#1040; &amp;#1048; &amp;#1057;&amp;#1055;&amp;#1054;&amp;#1056;&amp;#1058;)&amp;lt;/Run&amp;gt;&amp;lt;Run FontFamily=&quot;Times New Roman&quot; xml:space=&quot;preserve&quot;&amp;gt;, &amp;lt;/Run&amp;gt;&amp;lt;LineBreak /&amp;gt;&amp;lt;Run FontFamily=&quot;Times New Roman&quot; xml:space=&quot;preserve&quot;&amp;gt;&amp;#1087;&amp;#1088;&amp;#1086;&amp;#1074;&amp;#1077;&amp;#1076;&amp;#1077;&amp;#1085;&amp;#1086; &amp;#1074; &amp;#1041;&amp;#1088;&amp;#1102;&amp;#1082;&amp;#1089;&amp;#1077;&amp;#1083; &amp;#1085;&amp;#1072; &amp;lt;/Run&amp;gt;&amp;lt;Run FontFamily=&quot;Times New Roman&quot; xml:lang=&quot;fr-be&quot; xml:space=&quot;preserve&quot;&amp;gt;18 &amp;#1080; 19 &amp;#1084;&amp;#1072;&amp;#1081; &amp;lt;/Run&amp;gt;&amp;lt;Run FontFamily=&quot;Times New Roman&quot;&amp;gt;201&amp;lt;/Run&amp;gt;&amp;lt;Run FontFamily=&quot;Times New Roman&quot; xml:lang=&quot;fr-be&quot;&amp;gt;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at/AM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E23FC"/>
    <w:rsid w:val="00006B22"/>
    <w:rsid w:val="00010C1D"/>
    <w:rsid w:val="000643C0"/>
    <w:rsid w:val="00080A9B"/>
    <w:rsid w:val="0009656C"/>
    <w:rsid w:val="000D030B"/>
    <w:rsid w:val="00165755"/>
    <w:rsid w:val="00182F2F"/>
    <w:rsid w:val="001C1958"/>
    <w:rsid w:val="00213F1F"/>
    <w:rsid w:val="002A2AE8"/>
    <w:rsid w:val="00355FCA"/>
    <w:rsid w:val="003C6E8B"/>
    <w:rsid w:val="005157F5"/>
    <w:rsid w:val="005712DA"/>
    <w:rsid w:val="00576D7C"/>
    <w:rsid w:val="0063379B"/>
    <w:rsid w:val="006A38C5"/>
    <w:rsid w:val="006C1AD4"/>
    <w:rsid w:val="006D6AF1"/>
    <w:rsid w:val="006E33E2"/>
    <w:rsid w:val="006F4741"/>
    <w:rsid w:val="0075756A"/>
    <w:rsid w:val="007E6866"/>
    <w:rsid w:val="00824729"/>
    <w:rsid w:val="00825503"/>
    <w:rsid w:val="008362F7"/>
    <w:rsid w:val="008826F8"/>
    <w:rsid w:val="008B3DD6"/>
    <w:rsid w:val="008E23FC"/>
    <w:rsid w:val="00901FA3"/>
    <w:rsid w:val="009A5D2D"/>
    <w:rsid w:val="00A32733"/>
    <w:rsid w:val="00A469D7"/>
    <w:rsid w:val="00BE1373"/>
    <w:rsid w:val="00C347DE"/>
    <w:rsid w:val="00CD5A8F"/>
    <w:rsid w:val="00D451E4"/>
    <w:rsid w:val="00E2202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8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8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8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2202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E23F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E23F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E23F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E23FC"/>
  </w:style>
  <w:style w:type="character" w:customStyle="1" w:styleId="PointManualChar">
    <w:name w:val="Point Manual Char"/>
    <w:link w:val="PointManual"/>
    <w:rsid w:val="00080A9B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080A9B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080A9B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080A9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E6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8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8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8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8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8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2202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E23F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8E23F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8E23F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8E23FC"/>
  </w:style>
  <w:style w:type="character" w:customStyle="1" w:styleId="PointManualChar">
    <w:name w:val="Point Manual Char"/>
    <w:link w:val="PointManual"/>
    <w:rsid w:val="00080A9B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080A9B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rsid w:val="00080A9B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080A9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E6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8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8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5</Pages>
  <Words>1072</Words>
  <Characters>6400</Characters>
  <Application>Microsoft Office Word</Application>
  <DocSecurity>0</DocSecurity>
  <Lines>130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PROFIROV Iavor</cp:lastModifiedBy>
  <cp:revision>3</cp:revision>
  <cp:lastPrinted>2015-06-01T14:31:00Z</cp:lastPrinted>
  <dcterms:created xsi:type="dcterms:W3CDTF">2015-07-01T09:58:00Z</dcterms:created>
  <dcterms:modified xsi:type="dcterms:W3CDTF">2015-07-01T10:00:00Z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