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F0DDED1944498A889CBA6A50DFC894"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Calibri"/>
          <w:noProof/>
        </w:rPr>
      </w:pPr>
      <w:r>
        <w:rPr>
          <w:noProof/>
        </w:rPr>
        <w:t>На 13 декември 2012 г. Украйна подаде заявление за присъединяване към Споразумението на СТО за държавните поръчки („Споразумение за държавните поръчки“). Тя представи преразгледани предложения относно обхвата на 7 март 2014 г., 28 октомври 2014 г., 27 април 2015 г., 27 май 2015 г. и 29 юни 2015 г.</w:t>
      </w:r>
    </w:p>
    <w:p>
      <w:pPr>
        <w:rPr>
          <w:rFonts w:eastAsia="Calibri"/>
          <w:noProof/>
        </w:rPr>
      </w:pPr>
      <w:r>
        <w:rPr>
          <w:noProof/>
        </w:rPr>
        <w:t>Комисията води преговорите от името на Съюза по редица задължения на Украйна за отваряне на пазара както по време на двустранни срещи, така и в рамките на Комитета по държавните поръчки към Световната търговска организация („Комитета по държавните поръчки“).</w:t>
      </w:r>
    </w:p>
    <w:p>
      <w:pPr>
        <w:rPr>
          <w:rFonts w:eastAsia="Calibri"/>
          <w:noProof/>
        </w:rPr>
      </w:pPr>
      <w:r>
        <w:rPr>
          <w:noProof/>
        </w:rPr>
        <w:t>Впоследствие Украйна представи своето окончателно предложение на Комитета по държавните поръчки. По-долу са представени обобщение на окончателното предложение на Украйна и неговата оценка, изготвена от Комисията.</w:t>
      </w:r>
    </w:p>
    <w:p>
      <w:pPr>
        <w:rPr>
          <w:rFonts w:eastAsia="Calibri"/>
          <w:noProof/>
        </w:rPr>
      </w:pPr>
      <w:r>
        <w:rPr>
          <w:noProof/>
        </w:rPr>
        <w:t xml:space="preserve">Решението предоставя на Комисията възможност да изрази в рамките на Комитета по държавните поръчки становището на Съюза относно присъединяването на Украйна.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Calibri"/>
          <w:noProof/>
        </w:rPr>
      </w:pPr>
      <w:r>
        <w:rPr>
          <w:noProof/>
        </w:rPr>
        <w:t>Това е стандартната процедура, която се следва, когато Комисията трябва да изрази в рамките на Комитета по държавните поръчки становището на Съюза относно присъединяването на трета държава.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rFonts w:eastAsia="Calibri"/>
          <w:noProof/>
          <w:szCs w:val="24"/>
        </w:rPr>
      </w:pPr>
      <w:r>
        <w:rPr>
          <w:noProof/>
        </w:rPr>
        <w:t>Неприложимо.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Calibri"/>
          <w:noProof/>
          <w:szCs w:val="24"/>
        </w:rPr>
      </w:pPr>
      <w:r>
        <w:rPr>
          <w:noProof/>
        </w:rPr>
        <w:t>В член 218, параграф 9 от Договора за функционирането на Европейския съюз (ДФЕС) се предвижда, че когато дадено решение с правно действие трябва да бъде взето в рамките на орган, създаден с международно споразумение, по предложение на Комисията Съветът следва да приеме решение за установяване на позицията, която да се заеме от името на Съюза. Решението на Комитета по държавните поръчки, в което ще се определят условията за присъединяването на Украйна, попада в приложното поле на член 218, параграф 9 от ДФЕС, тъй като решението се взема в рамките на орган, създаден с международно споразумение, и ще има правно действие.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Calibri"/>
          <w:noProof/>
          <w:szCs w:val="24"/>
        </w:rPr>
      </w:pPr>
      <w:r>
        <w:rPr>
          <w:noProof/>
        </w:rPr>
        <w:t>ЕС разполага с изключителна компетентност по свързаните с търговията въпроси. Съгласуваните действия на равнището на Съюза могат да гарантират най-ефикасно въздействие по отношение на трети държави.</w:t>
      </w:r>
    </w:p>
    <w:p>
      <w:pPr>
        <w:pStyle w:val="ManualHeading2"/>
        <w:rPr>
          <w:rFonts w:eastAsia="Arial Unicode MS"/>
          <w:noProof/>
          <w:u w:color="000000"/>
          <w:bdr w:val="nil"/>
        </w:rPr>
      </w:pPr>
      <w:r>
        <w:rPr>
          <w:noProof/>
        </w:rPr>
        <w:t>•</w:t>
      </w:r>
      <w:r>
        <w:rPr>
          <w:noProof/>
        </w:rPr>
        <w:tab/>
        <w:t>Пропорционалност</w:t>
      </w:r>
    </w:p>
    <w:p>
      <w:pPr>
        <w:rPr>
          <w:rFonts w:eastAsia="Calibri"/>
          <w:noProof/>
          <w:szCs w:val="24"/>
        </w:rPr>
      </w:pPr>
      <w:r>
        <w:rPr>
          <w:noProof/>
        </w:rPr>
        <w:t>Неприложимо.</w:t>
      </w:r>
    </w:p>
    <w:p>
      <w:pPr>
        <w:pStyle w:val="ManualHeading2"/>
        <w:rPr>
          <w:rFonts w:eastAsia="Arial Unicode MS"/>
          <w:noProof/>
          <w:u w:color="000000"/>
          <w:bdr w:val="nil"/>
        </w:rPr>
      </w:pPr>
      <w:r>
        <w:rPr>
          <w:noProof/>
        </w:rPr>
        <w:t>•</w:t>
      </w:r>
      <w:r>
        <w:rPr>
          <w:noProof/>
        </w:rPr>
        <w:tab/>
        <w:t>Избор на инструмент</w:t>
      </w:r>
    </w:p>
    <w:p>
      <w:pPr>
        <w:rPr>
          <w:rFonts w:eastAsia="Calibri"/>
          <w:noProof/>
          <w:szCs w:val="24"/>
        </w:rPr>
      </w:pPr>
      <w:r>
        <w:rPr>
          <w:noProof/>
        </w:rPr>
        <w:t>В член 218, параграф 9 от Договора за функционирането на Европейския съюз (ДФЕС) се предвижда, че когато дадено решение с правно действие трябва да бъде взето в рамките на орган, създаден с международно споразумение, по предложение на Комисията Съветът следва да приеме решение за установяване на позицията, която да се заеме от името на Съюза.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rFonts w:eastAsia="Calibri"/>
          <w:noProof/>
          <w:szCs w:val="24"/>
        </w:rPr>
      </w:pPr>
      <w:r>
        <w:rPr>
          <w:noProof/>
        </w:rPr>
        <w:t>Неприложимо.</w:t>
      </w:r>
    </w:p>
    <w:p>
      <w:pPr>
        <w:pStyle w:val="ManualHeading2"/>
        <w:rPr>
          <w:rFonts w:eastAsia="Arial Unicode MS"/>
          <w:noProof/>
          <w:u w:color="000000"/>
          <w:bdr w:val="nil"/>
        </w:rPr>
      </w:pPr>
      <w:r>
        <w:rPr>
          <w:noProof/>
        </w:rPr>
        <w:t>•</w:t>
      </w:r>
      <w:r>
        <w:rPr>
          <w:noProof/>
        </w:rPr>
        <w:tab/>
        <w:t>Провеждане на консултации със заинтересованите страни</w:t>
      </w:r>
    </w:p>
    <w:p>
      <w:pPr>
        <w:rPr>
          <w:rFonts w:eastAsia="Calibri"/>
          <w:noProof/>
          <w:szCs w:val="24"/>
        </w:rPr>
      </w:pPr>
      <w:r>
        <w:rPr>
          <w:noProof/>
        </w:rPr>
        <w:t>Неприложимо.</w:t>
      </w:r>
    </w:p>
    <w:p>
      <w:pPr>
        <w:pStyle w:val="ManualHeading2"/>
        <w:rPr>
          <w:rFonts w:eastAsia="Arial Unicode MS"/>
          <w:noProof/>
          <w:u w:color="000000"/>
          <w:bdr w:val="nil"/>
        </w:rPr>
      </w:pPr>
      <w:r>
        <w:rPr>
          <w:noProof/>
        </w:rPr>
        <w:t xml:space="preserve"> •</w:t>
      </w:r>
      <w:r>
        <w:rPr>
          <w:noProof/>
        </w:rPr>
        <w:tab/>
        <w:t>Събиране и използване на експертни становища</w:t>
      </w:r>
    </w:p>
    <w:p>
      <w:pPr>
        <w:rPr>
          <w:rFonts w:eastAsia="Calibri"/>
          <w:noProof/>
          <w:szCs w:val="24"/>
        </w:rPr>
      </w:pPr>
      <w:r>
        <w:rPr>
          <w:noProof/>
        </w:rPr>
        <w:t>Неприложимо.</w:t>
      </w:r>
    </w:p>
    <w:p>
      <w:pPr>
        <w:pStyle w:val="ManualHeading2"/>
        <w:rPr>
          <w:rFonts w:eastAsia="Arial Unicode MS"/>
          <w:noProof/>
          <w:u w:color="000000"/>
          <w:bdr w:val="nil"/>
        </w:rPr>
      </w:pPr>
      <w:r>
        <w:rPr>
          <w:noProof/>
        </w:rPr>
        <w:t>•</w:t>
      </w:r>
      <w:r>
        <w:rPr>
          <w:noProof/>
        </w:rPr>
        <w:tab/>
        <w:t>Оценка на въздействието</w:t>
      </w:r>
    </w:p>
    <w:p>
      <w:pPr>
        <w:rPr>
          <w:rFonts w:eastAsia="Calibri"/>
          <w:noProof/>
          <w:szCs w:val="24"/>
        </w:rPr>
      </w:pPr>
      <w:r>
        <w:rPr>
          <w:noProof/>
        </w:rPr>
        <w:t>Присъединяването на трети държави към международно споразумение, по което Съюзът е страна, не налага извършването на оценка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rFonts w:eastAsia="Calibri"/>
          <w:noProof/>
          <w:szCs w:val="24"/>
        </w:rPr>
      </w:pPr>
      <w:r>
        <w:rPr>
          <w:noProof/>
        </w:rPr>
        <w:t>Неприложимо.</w:t>
      </w:r>
    </w:p>
    <w:p>
      <w:pPr>
        <w:pStyle w:val="ManualHeading2"/>
        <w:rPr>
          <w:rFonts w:eastAsia="Arial Unicode MS"/>
          <w:noProof/>
          <w:u w:color="000000"/>
          <w:bdr w:val="nil"/>
        </w:rPr>
      </w:pPr>
      <w:r>
        <w:rPr>
          <w:noProof/>
        </w:rPr>
        <w:t>•</w:t>
      </w:r>
      <w:r>
        <w:rPr>
          <w:noProof/>
        </w:rPr>
        <w:tab/>
        <w:t>Основни права</w:t>
      </w:r>
    </w:p>
    <w:p>
      <w:pPr>
        <w:rPr>
          <w:rFonts w:eastAsia="Calibri"/>
          <w:noProof/>
          <w:szCs w:val="24"/>
        </w:rPr>
      </w:pPr>
      <w:r>
        <w:rPr>
          <w:noProof/>
        </w:rPr>
        <w:t>Неприложимо.</w:t>
      </w:r>
    </w:p>
    <w:p>
      <w:pPr>
        <w:pStyle w:val="ManualHeading1"/>
        <w:rPr>
          <w:noProof/>
        </w:rPr>
      </w:pPr>
      <w:r>
        <w:rPr>
          <w:noProof/>
        </w:rPr>
        <w:t>4.</w:t>
      </w:r>
      <w:r>
        <w:rPr>
          <w:noProof/>
        </w:rPr>
        <w:tab/>
        <w:t>ОТРАЖЕНИЕ ВЪРХУ БЮДЖЕТА</w:t>
      </w:r>
    </w:p>
    <w:p>
      <w:pPr>
        <w:rPr>
          <w:rFonts w:eastAsia="Calibri"/>
          <w:noProof/>
          <w:szCs w:val="24"/>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rPr>
          <w:rFonts w:eastAsia="Calibri"/>
          <w:noProof/>
          <w:szCs w:val="24"/>
        </w:rPr>
      </w:pPr>
      <w:r>
        <w:rPr>
          <w:noProof/>
        </w:rPr>
        <w:t>Неприложимо.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rFonts w:eastAsia="Calibri"/>
          <w:noProof/>
          <w:szCs w:val="24"/>
        </w:rPr>
      </w:pPr>
      <w:r>
        <w:rPr>
          <w:noProof/>
        </w:rPr>
        <w:t>Неприложимо.</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Style w:val="ManualHeading2"/>
        <w:rPr>
          <w:noProof/>
          <w:u w:color="000000"/>
          <w:bdr w:val="nil"/>
        </w:rPr>
      </w:pPr>
      <w:r>
        <w:rPr>
          <w:noProof/>
        </w:rPr>
        <w:t xml:space="preserve">Окончателно предложение на Украйна </w:t>
      </w:r>
    </w:p>
    <w:p>
      <w:pPr>
        <w:pStyle w:val="ManualHeading3"/>
        <w:rPr>
          <w:noProof/>
        </w:rPr>
      </w:pPr>
      <w:r>
        <w:rPr>
          <w:noProof/>
        </w:rPr>
        <w:t>Задължения във връзка с достъпа до пазара (субекти, стоки, услуги и строителни услуги, попадащи в обхвата)</w:t>
      </w:r>
    </w:p>
    <w:p>
      <w:pPr>
        <w:pStyle w:val="ManualHeading4"/>
        <w:rPr>
          <w:noProof/>
        </w:rPr>
      </w:pPr>
      <w:r>
        <w:rPr>
          <w:noProof/>
        </w:rPr>
        <w:t>Прагове</w:t>
      </w:r>
    </w:p>
    <w:p>
      <w:pPr>
        <w:rPr>
          <w:rFonts w:eastAsia="Calibri"/>
          <w:noProof/>
        </w:rPr>
      </w:pPr>
      <w:r>
        <w:rPr>
          <w:noProof/>
        </w:rPr>
        <w:t xml:space="preserve">Праговете за различните приложения, предложени от Украйна, отговарят на стандартните прагове, прилагани от страните по Споразумението за държавните поръчки. </w:t>
      </w:r>
    </w:p>
    <w:p>
      <w:pPr>
        <w:pStyle w:val="ManualHeading4"/>
        <w:rPr>
          <w:noProof/>
        </w:rPr>
      </w:pPr>
      <w:r>
        <w:rPr>
          <w:noProof/>
        </w:rPr>
        <w:t>Субекти</w:t>
      </w:r>
    </w:p>
    <w:p>
      <w:pPr>
        <w:rPr>
          <w:rFonts w:eastAsia="Calibri"/>
          <w:noProof/>
        </w:rPr>
      </w:pPr>
      <w:r>
        <w:rPr>
          <w:noProof/>
        </w:rPr>
        <w:t>В приложение 1 („Субекти на централното държавно управление“) Украйна предлага много голям брой субекти на централното държавно управление, като следва подход, основаващ се на определението. То включва примерен списък на тези субекти. Няма бележки с изключения или резерви.</w:t>
      </w:r>
    </w:p>
    <w:p>
      <w:pPr>
        <w:rPr>
          <w:rFonts w:eastAsia="Calibri"/>
          <w:noProof/>
        </w:rPr>
      </w:pPr>
      <w:r>
        <w:rPr>
          <w:noProof/>
        </w:rPr>
        <w:t>В приложение 2 („Субекти на регионалното и местното управление“) Украйна посочва значителен брой субекти на регионалното и местното управление на базата на определението и включва примерен списък на тези субекти. Няма бележки с изключения или резерви.</w:t>
      </w:r>
    </w:p>
    <w:p>
      <w:pPr>
        <w:rPr>
          <w:rFonts w:eastAsia="Calibri"/>
          <w:noProof/>
        </w:rPr>
      </w:pPr>
      <w:r>
        <w:rPr>
          <w:noProof/>
        </w:rPr>
        <w:t xml:space="preserve">В приложение 3 („Други субекти“) Украйна предоставя на страните по Споразумението за държавните поръчки достъп до поръчките на субектите в сферата на много значителен брой сектори от обществен интерес въз основа на определението и включва примерен списък, както е било изискано от ЕС. </w:t>
      </w:r>
    </w:p>
    <w:p>
      <w:pPr>
        <w:rPr>
          <w:rFonts w:eastAsia="Calibri"/>
          <w:noProof/>
        </w:rPr>
      </w:pPr>
      <w:r>
        <w:rPr>
          <w:noProof/>
        </w:rPr>
        <w:t xml:space="preserve">В приложението е включена бележка по примера на бележка на ЕС в приложение 3, която изключва свързаните или съвместните предприятия от достъп до поръчките. </w:t>
      </w:r>
    </w:p>
    <w:p>
      <w:pPr>
        <w:pStyle w:val="ManualHeading4"/>
        <w:rPr>
          <w:noProof/>
        </w:rPr>
      </w:pPr>
      <w:r>
        <w:rPr>
          <w:noProof/>
        </w:rPr>
        <w:t xml:space="preserve">Стоки </w:t>
      </w:r>
    </w:p>
    <w:p>
      <w:pPr>
        <w:rPr>
          <w:rFonts w:eastAsia="Calibri"/>
          <w:noProof/>
        </w:rPr>
      </w:pPr>
      <w:r>
        <w:rPr>
          <w:noProof/>
        </w:rPr>
        <w:t xml:space="preserve">Украйна предлага в своето приложение 4 всички стоки, които са предмет на обществени поръчки от страна на обхванатите субекти. </w:t>
      </w:r>
    </w:p>
    <w:p>
      <w:pPr>
        <w:rPr>
          <w:noProof/>
        </w:rPr>
      </w:pPr>
      <w:r>
        <w:rPr>
          <w:noProof/>
        </w:rPr>
        <w:t>Услуги</w:t>
      </w:r>
    </w:p>
    <w:p>
      <w:pPr>
        <w:rPr>
          <w:rFonts w:eastAsia="Calibri"/>
          <w:noProof/>
        </w:rPr>
      </w:pPr>
      <w:r>
        <w:rPr>
          <w:noProof/>
        </w:rPr>
        <w:t>Украйна предлага в своето приложение 5 всички услуги, които са предмет на обществени поръчки от страна на обхванатите субекти, с малък брой изключения. Това са услуги по медиация пред международни съдилища, международен търговски арбитраж и уреждане на спорове, засягащи възлагащите субекти; услуги на финансови институции, свързани с набирането на кредитен ресурс и средства за уставен капитал от страна на възлагащия субект; научноизследователски и развойни услуги и финансови и свързани услуги, предоставяни от Националната банка на Украйна. Тези изключения са ограничени като брой и обхват.</w:t>
      </w:r>
    </w:p>
    <w:p>
      <w:pPr>
        <w:pStyle w:val="ManualHeading4"/>
        <w:rPr>
          <w:noProof/>
        </w:rPr>
      </w:pPr>
      <w:r>
        <w:rPr>
          <w:noProof/>
        </w:rPr>
        <w:t>Строителни услуги</w:t>
      </w:r>
    </w:p>
    <w:p>
      <w:pPr>
        <w:rPr>
          <w:rFonts w:eastAsia="Calibri"/>
          <w:noProof/>
        </w:rPr>
      </w:pPr>
      <w:r>
        <w:rPr>
          <w:noProof/>
        </w:rPr>
        <w:t>В своето приложение 6 Украйна предлага всички услуги, включени в раздел 51 от Временната централна класификация на продуктите (CPC Prov.). Тя не предлага никакви договори за концесии за строителство.</w:t>
      </w:r>
    </w:p>
    <w:p>
      <w:pPr>
        <w:pStyle w:val="ManualHeading4"/>
        <w:rPr>
          <w:noProof/>
        </w:rPr>
      </w:pPr>
      <w:r>
        <w:rPr>
          <w:noProof/>
        </w:rPr>
        <w:t>Общи бележки</w:t>
      </w:r>
    </w:p>
    <w:p>
      <w:pPr>
        <w:rPr>
          <w:rFonts w:eastAsia="Calibri"/>
          <w:noProof/>
        </w:rPr>
      </w:pPr>
      <w:r>
        <w:rPr>
          <w:noProof/>
        </w:rPr>
        <w:t>В приложение 7 Украйна включва две бележки. Те касаят поръчките за строителни услуги от страна на дипломатически представителства в чужбина и поръчките във връзка със защитена хартия, банкноти, монети и чувствителни документи, като всички те не са включени в предложението на Украйна.</w:t>
      </w:r>
    </w:p>
    <w:p>
      <w:pPr>
        <w:pStyle w:val="ManualHeading4"/>
        <w:rPr>
          <w:noProof/>
        </w:rPr>
      </w:pPr>
      <w:r>
        <w:rPr>
          <w:noProof/>
        </w:rPr>
        <w:t xml:space="preserve">Законодателство на Украйна </w:t>
      </w:r>
    </w:p>
    <w:p>
      <w:pPr>
        <w:rPr>
          <w:rFonts w:eastAsia="Calibri"/>
          <w:noProof/>
        </w:rPr>
      </w:pPr>
      <w:r>
        <w:rPr>
          <w:noProof/>
        </w:rPr>
        <w:t>Законодателството на Украйна в областта на обществените поръчки е недискриминационно. То не съдържа разпоредби, с които на националните продукти и доставчици се предоставя по-благоприятно третиране от това на чуждестранните доставчици или продукти. Изглежда, че законодателството на Украйна в областта на обществените поръчки е отворено, прозрачно и недискриминационно в съответствие с изискванията на Споразумението за държавните поръчки.</w:t>
      </w:r>
    </w:p>
    <w:p>
      <w:pPr>
        <w:pStyle w:val="ManualHeading2"/>
        <w:rPr>
          <w:noProof/>
          <w:u w:color="000000"/>
          <w:bdr w:val="nil"/>
        </w:rPr>
      </w:pPr>
      <w:r>
        <w:rPr>
          <w:noProof/>
        </w:rPr>
        <w:t>Оценка на предложението на Украйна, изготвена от Комисията</w:t>
      </w:r>
    </w:p>
    <w:p>
      <w:pPr>
        <w:rPr>
          <w:rFonts w:eastAsia="Calibri"/>
          <w:noProof/>
        </w:rPr>
      </w:pPr>
      <w:r>
        <w:rPr>
          <w:noProof/>
        </w:rPr>
        <w:t>Окончателното предложение на Украйна предвижда цялостно включване в обхвата на субектите на централното държавно управление, субектите на регионалното и местното управление, както и на субектите, които извършват дейност в секторите от обществен интерес, стоките, услугите и строителните услуги. Поради това то е задоволително и приемливо. Законодателството на Украйна в областта на възлагането на държавни поръчки е в съответствие със Споразумението за държавните поръчки.</w:t>
      </w:r>
    </w:p>
    <w:p>
      <w:pPr>
        <w:rPr>
          <w:rFonts w:eastAsia="Calibri"/>
          <w:noProof/>
        </w:rPr>
      </w:pPr>
      <w:r>
        <w:rPr>
          <w:noProof/>
        </w:rPr>
        <w:t>Предвид факта, че в своето приложение 1 Украйна предоставя изчерпателен списък на субектите, достъпът на стоки, услуги, доставчици на продукти и услуги от Украйна до пазара на ЕС на поръчките следва да бъде същият като посочения в приложение 1 за ЕС, раздел 2, точка 2, т.е. достъп до поръчките на възлагащите органи от централното държавно управление, изброени в приложение 1.</w:t>
      </w:r>
    </w:p>
    <w:p>
      <w:pPr>
        <w:pStyle w:val="ManualHeading2"/>
        <w:rPr>
          <w:noProof/>
          <w:u w:color="000000"/>
          <w:bdr w:val="nil"/>
        </w:rPr>
      </w:pPr>
      <w:r>
        <w:rPr>
          <w:noProof/>
        </w:rPr>
        <w:t>Препоръка</w:t>
      </w:r>
    </w:p>
    <w:p>
      <w:pPr>
        <w:rPr>
          <w:rFonts w:eastAsia="Calibri"/>
          <w:noProof/>
        </w:rPr>
      </w:pPr>
      <w:r>
        <w:rPr>
          <w:noProof/>
        </w:rPr>
        <w:t>Очаква се присъединяването на Украйна към Споразумението за държавните поръчки да има особено положителен принос за отварянето в още по-голяма степен в международен план на пазарите на обществени поръчки чрез увеличаване на броя на страните по посоченото споразумение и насърчаването по този начин на други държави да се присъединят към него. Комисията препоръчва да бъде прието окончателното предложение на Украйна при посочените по-горе условия.</w:t>
      </w:r>
    </w:p>
    <w:p>
      <w:pPr>
        <w:rPr>
          <w:rFonts w:eastAsia="Calibri"/>
          <w:noProof/>
        </w:rPr>
      </w:pPr>
      <w:r>
        <w:rPr>
          <w:noProof/>
        </w:rPr>
        <w:t>Съответно се предлага да бъде разрешено на Комисията да представи позицията на Съюза в рамките на Комитета по държавните поръчки в подкрепа на присъединяването на Украйна, която да бъде отразена в решението на Комитета по държавните поръчки относно присъединяването на Украйна.</w:t>
      </w:r>
    </w:p>
    <w:p>
      <w:pPr>
        <w:pStyle w:val="Text1"/>
        <w:rPr>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2015/0181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да се заеме от името на Европейския съюз в рамките на Комитета по държавните поръчки, относно присъединяването на Украйна към Споразумението за държавните поръчки</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rFonts w:eastAsia="Calibri"/>
          <w:noProof/>
        </w:rPr>
      </w:pPr>
      <w:r>
        <w:rPr>
          <w:noProof/>
        </w:rPr>
        <w:t>като взе предвид предложението на Европейската комисия,</w:t>
      </w:r>
    </w:p>
    <w:p>
      <w:pPr>
        <w:rPr>
          <w:rFonts w:eastAsia="Calibri"/>
          <w:noProof/>
        </w:rPr>
      </w:pPr>
      <w:r>
        <w:rPr>
          <w:noProof/>
        </w:rPr>
        <w:t>като има предвид, че:</w:t>
      </w:r>
    </w:p>
    <w:p>
      <w:pPr>
        <w:pStyle w:val="ManualConsidrant"/>
        <w:rPr>
          <w:noProof/>
        </w:rPr>
      </w:pPr>
      <w:r>
        <w:t>(1)</w:t>
      </w:r>
      <w:r>
        <w:tab/>
      </w:r>
      <w:r>
        <w:rPr>
          <w:noProof/>
        </w:rPr>
        <w:t>На 13 декември 2012 г. Украйна подаде заявление за присъединяване към Споразумението за държавните поръчки.</w:t>
      </w:r>
    </w:p>
    <w:p>
      <w:pPr>
        <w:pStyle w:val="ManualConsidrant"/>
        <w:rPr>
          <w:noProof/>
        </w:rPr>
      </w:pPr>
      <w:r>
        <w:t>(2)</w:t>
      </w:r>
      <w:r>
        <w:tab/>
      </w:r>
      <w:r>
        <w:rPr>
          <w:noProof/>
        </w:rPr>
        <w:t>Задълженията на Украйна във връзка с обхвата са определени в нейното окончателно предложение.</w:t>
      </w:r>
    </w:p>
    <w:p>
      <w:pPr>
        <w:pStyle w:val="ManualConsidrant"/>
        <w:rPr>
          <w:noProof/>
        </w:rPr>
      </w:pPr>
      <w:r>
        <w:t>(3)</w:t>
      </w:r>
      <w:r>
        <w:tab/>
      </w:r>
      <w:r>
        <w:rPr>
          <w:noProof/>
        </w:rPr>
        <w:t>Окончателното предложение на Украйна предвижда цялостно включване в обхвата на субектите на централното държавно управление, субектите на регионалното и местното управление, както и на субектите, които извършват дейност в секторите от обществен интерес, стоките, услугите и строителните услуги. Поради това то е задоволително и приемливо. Условията за присъединяване на Украйна, посочени в приложението към настоящото решение, ще бъдат отразени в решението, прието от Комитета по държавните поръчки, относно присъединяването на Украйна.</w:t>
      </w:r>
    </w:p>
    <w:p>
      <w:pPr>
        <w:pStyle w:val="ManualConsidrant"/>
        <w:rPr>
          <w:noProof/>
        </w:rPr>
      </w:pPr>
      <w:r>
        <w:t>(4)</w:t>
      </w:r>
      <w:r>
        <w:tab/>
      </w:r>
      <w:r>
        <w:rPr>
          <w:noProof/>
        </w:rPr>
        <w:t>Очаква се присъединяването на Украйна към Споразумението за държавните поръчки да има положителен принос за отварянето в още по-голяма степен в международен план на пазарите на обществени поръчки.</w:t>
      </w:r>
    </w:p>
    <w:p>
      <w:pPr>
        <w:pStyle w:val="ManualConsidrant"/>
        <w:rPr>
          <w:noProof/>
        </w:rPr>
      </w:pPr>
      <w:r>
        <w:t>(5)</w:t>
      </w:r>
      <w:r>
        <w:tab/>
      </w:r>
      <w:r>
        <w:rPr>
          <w:noProof/>
        </w:rPr>
        <w:t>В член XXII, параграф 2 от Споразумението за държавните поръчки се предвижда, че всеки член на СТО може да се присъедини към Споразумението при условията, които ще се приемат между този член и страните и ще се посочат в решение на Комитета по държавните поръчки.</w:t>
      </w:r>
    </w:p>
    <w:p>
      <w:pPr>
        <w:pStyle w:val="ManualConsidrant"/>
        <w:rPr>
          <w:noProof/>
        </w:rPr>
      </w:pPr>
      <w:r>
        <w:t>(6)</w:t>
      </w:r>
      <w:r>
        <w:tab/>
      </w:r>
      <w:r>
        <w:rPr>
          <w:noProof/>
        </w:rPr>
        <w:t>Поради това е необходимо да се установи позицията, която да се заеме от името на Съюза в рамките на Комитета по държавните поръчки във връзка с присъединяването на Украйна,</w:t>
      </w:r>
    </w:p>
    <w:p>
      <w:pPr>
        <w:pStyle w:val="Formuledadoption"/>
        <w:rPr>
          <w:noProof/>
        </w:rPr>
      </w:pPr>
      <w:r>
        <w:rPr>
          <w:noProof/>
        </w:rPr>
        <w:t>ПРИЕ НАСТОЯЩОТО РЕШЕНИЕ:</w:t>
      </w:r>
    </w:p>
    <w:p>
      <w:pPr>
        <w:pStyle w:val="Titrearticle"/>
        <w:rPr>
          <w:noProof/>
        </w:rPr>
      </w:pPr>
      <w:r>
        <w:rPr>
          <w:noProof/>
        </w:rPr>
        <w:t>Член 1</w:t>
      </w:r>
    </w:p>
    <w:p>
      <w:pPr>
        <w:keepLines/>
        <w:rPr>
          <w:rFonts w:eastAsia="Times New Roman"/>
          <w:noProof/>
          <w:szCs w:val="24"/>
        </w:rPr>
      </w:pPr>
      <w:r>
        <w:rPr>
          <w:noProof/>
        </w:rPr>
        <w:t>Позицията, която да се заеме от името на Европейския съюз в рамките на Комитета по държавните поръчки, е да се одобри присъединяването на Украйна към Споразумението за държавните поръчки, при условие че бъдат спазени конкретните условия във връзка с присъединяването, установени в приложението към настоящото решение.</w:t>
      </w:r>
    </w:p>
    <w:p>
      <w:pPr>
        <w:pStyle w:val="Titrearticle"/>
        <w:rPr>
          <w:noProof/>
        </w:rPr>
      </w:pPr>
      <w:r>
        <w:rPr>
          <w:noProof/>
        </w:rPr>
        <w:t>Член 2</w:t>
      </w:r>
    </w:p>
    <w:p>
      <w:pPr>
        <w:keepLines/>
        <w:rPr>
          <w:rFonts w:eastAsia="Times New Roman"/>
          <w:noProof/>
          <w:szCs w:val="24"/>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CAC6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6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46B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4D6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2C1E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04B4DA"/>
    <w:lvl w:ilvl="0">
      <w:start w:val="1"/>
      <w:numFmt w:val="decimal"/>
      <w:pStyle w:val="ListNumber"/>
      <w:lvlText w:val="%1."/>
      <w:lvlJc w:val="left"/>
      <w:pPr>
        <w:tabs>
          <w:tab w:val="num" w:pos="360"/>
        </w:tabs>
        <w:ind w:left="360" w:hanging="360"/>
      </w:pPr>
    </w:lvl>
  </w:abstractNum>
  <w:abstractNum w:abstractNumId="7">
    <w:nsid w:val="FFFFFF89"/>
    <w:multiLevelType w:val="singleLevel"/>
    <w:tmpl w:val="D90673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4 10:01: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4F0DDED1944498A889CBA6A50DFC894"/>
    <w:docVar w:name="LW_CROSSREFERENCE" w:val="&lt;UNUSED&gt;"/>
    <w:docVar w:name="LW_DocType" w:val="COM"/>
    <w:docVar w:name="LW_EMISSION" w:val="26.8.2015"/>
    <w:docVar w:name="LW_EMISSION_ISODATE" w:val="2015-08-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1"/>
    <w:docVar w:name="LW_REF.II.NEW.CP_YEAR" w:val="2015"/>
    <w:docVar w:name="LW_REF.INST.NEW" w:val="COM"/>
    <w:docVar w:name="LW_REF.INST.NEW_ADOPTED" w:val="final"/>
    <w:docVar w:name="LW_REF.INST.NEW_TEXT" w:val="(2015) 407"/>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76?\u1098?\u1088?\u1078?\u1072?\u1074?\u1085?\u1080?\u1090?\u1077? \u1087?\u1086?\u1088?\u1098?\u1095?\u1082?\u1080?, \u1086?\u1090?\u1085?\u1086?\u1089?\u1085?\u1086? \u1087?\u1088?\u1080?\u1089?\u1098?\u1077?\u1076?\u1080?\u1085?\u1103?\u1074?\u1072?\u1085?\u1077?\u1090?\u1086? \u1085?\u1072? \u1059?\u1082?\u1088?\u1072?\u1081?\u1085?\u1072? \u1082?\u1098?\u1084? \u1057?\u1087?\u1086?\u1088?\u1072?\u1079?\u1091?\u1084?\u1077?\u1085?\u1080?\u1077?\u1090?\u1086? \u1079?\u1072? \u1076?\u1098?\u1088?\u1078?\u1072?\u1074?\u1085?\u1080?\u1090?\u1077? \u1087?\u1086?\u1088?\u1098?\u1095?\u1082?\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ListNumber">
    <w:name w:val="List Number"/>
    <w:basedOn w:val="Normal"/>
    <w:uiPriority w:val="99"/>
    <w:semiHidden/>
    <w:unhideWhenUsed/>
    <w:pPr>
      <w:numPr>
        <w:numId w:val="6"/>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ListNumber">
    <w:name w:val="List Number"/>
    <w:basedOn w:val="Normal"/>
    <w:uiPriority w:val="99"/>
    <w:semiHidden/>
    <w:unhideWhenUsed/>
    <w:pPr>
      <w:numPr>
        <w:numId w:val="6"/>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1502</Words>
  <Characters>9049</Characters>
  <Application>Microsoft Office Word</Application>
  <DocSecurity>0</DocSecurity>
  <Lines>192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2015-06-10T13:17:00Z</cp:lastPrinted>
  <dcterms:created xsi:type="dcterms:W3CDTF">2015-08-21T11:23:00Z</dcterms:created>
  <dcterms:modified xsi:type="dcterms:W3CDTF">2015-08-24T08:01:00Z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