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C27E845CA57461AB0A96B8D0DE3228E" style="width:450.75pt;height:416.25pt">
            <v:imagedata r:id="rId12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smallCaps/>
          <w:noProof/>
          <w:u w:val="single"/>
        </w:rPr>
      </w:pPr>
      <w:bookmarkStart w:id="1" w:name="_GoBack"/>
      <w:bookmarkEnd w:id="1"/>
      <w:r>
        <w:rPr>
          <w:rFonts w:hAnsi="Times New Roman" w:cs="Times New Roman"/>
          <w:b/>
          <w:smallCaps/>
          <w:noProof/>
          <w:u w:val="single"/>
        </w:rPr>
        <w:lastRenderedPageBreak/>
        <w:t>1. Контекст</w:t>
      </w:r>
    </w:p>
    <w:p>
      <w:pPr>
        <w:pStyle w:val="Brdtext"/>
        <w:spacing w:after="0" w:line="240" w:lineRule="auto"/>
        <w:rPr>
          <w:rFonts w:hAnsi="Times New Roman" w:cs="Times New Roman"/>
          <w:b/>
          <w:bCs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Европа е изправена пред редица спешни задачи: да се възобнови създаването на работни места и икономическото възстановяване, да се постигне устойчив растеж, да се преодолее недостигът на инвестиции, да се засили социалното сближаване, да се насочи вниманието приоритетно към радикализацията и насилието. В същото време Европа трябва да действа по отношение на дългосрочни предизвикателства като застаряването на населението, адаптирането към цифровата ера и запазването на конкурентоспособността в световната икономика, основана на знанието.</w:t>
      </w:r>
    </w:p>
    <w:p>
      <w:pPr>
        <w:pStyle w:val="Brdtext"/>
        <w:tabs>
          <w:tab w:val="left" w:pos="1152"/>
        </w:tabs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Политическият отговор на Европа съгласно новата „Програма за работни места, растеж, справедливост и демократична промяна“ бележи ново начало. Налице са силни икономически аргументи в полза на образованието и обучението като благоприятстващ растежа сектор с решаваща роля в тази нова програма. Инвестициите в човешки капитал са добре вложени средства. Доброто образование и обучение спомагат за насърчаването на устойчив икономически растеж, тъй като са движещата сила на научно-изследователската дейност, иновациите, производителността и конкурентоспособността. Както беше подчертано в Насоките за заетостта от 2015 г., трябва да се подобрят ефективността и ефикасността на системите за образование и обучение, за да се повиши квалификацията на работната сила и коригират несъответствията между уменията и изискванията на пазара на труда, така че да се предвиждат и удовлетворяват по-добре неговите бързо променящи се нужди. Това е особено важно в едно общество, което все повече разчита на цифровите технологии, а също и за прехода към кръгова икономика.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Трагичните прояви на насилнически екстремизъм в началото на 2015 г. ни напомниха, че образованието и обучението играят важна роля за постигането на приобщаване и равнопоставеност, култивирането на взаимно уважение и вграждането на основни ценности в едно отворено и демократично общество. Достигайки до тези, които са в най-неравностойно положение, образованието и обучението са от първостепенно значение за предотвратяването и борбата с бедността, социалното изключване и дискриминацията, както и за полагането на основите на активно гражданско участие.</w:t>
      </w:r>
      <w:r>
        <w:rPr>
          <w:rFonts w:hAnsi="Times New Roman" w:cs="Times New Roman"/>
          <w:noProof/>
          <w:color w:val="auto"/>
        </w:rPr>
        <w:t xml:space="preserve"> Ето </w:t>
      </w:r>
      <w:r>
        <w:rPr>
          <w:rFonts w:hAnsi="Times New Roman" w:cs="Times New Roman"/>
          <w:noProof/>
        </w:rPr>
        <w:t>защо в образованието и обучението следва да се увеличат усилията за подобряване на достъпа до качествено учене за всички, с което да се насърчи възходящата социална конвергенция.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Следователно образованието и обучението допринасят съществено за изпълнението на няколко стратегии и инициативи на ЕС, включително стратегията „Европа 2020“, Инициативата за цифров единен пазар, Европейската програма за сигурност и Плана за инвестиции за Европа, като същевременно се зачита компетентността на държавите членки по отношение на техните системи на образование и обучение. Сътрудничеството по стратегическата рамка „Образование и обучение 2020“ допълва националните действия и оказва подкрепа за държавите членки чрез партньорски обмен, взаимно обучение и събиране на данни при осъществяването на реформи за повишаване на тяхната ефективност.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Анализът на Комисията в Обзора на образованието и обучението за 2014 г. показва, че все още има сериозни предизвикателства: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>20 % от 15-годишните в ЕС се представят лошо в четенето, науките и математиката; 20 % от възрастните са с ниска езикова и математическа грамотност, а 25 % са с недобри цифрови умения — при все това само 10,7 % са ангажирани в обучение през целия живот, като сред тях нискоквалифицираните възрастни са съвсем малко;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>преждевременно напускащите училище в момента възлизат на 11,1 %, като 19 държави членки са постигнали водещата цел на стратегията „Европа 2020“, но все още има над 5 милиона преждевременно напуснали училище, сред които нивото на безработица е високо (41 %);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 xml:space="preserve">броят на завършилите висше образование продължава да се повишава и достига 37,9 %. Водещата цел на стратегията „Европа 2020“ са постигнали 16 държави членки, но пригодността за заетост на висшистите продължава да бъде сериозен проблем в държавите, които са най-силно засегнати от кризата.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В цялостния средносрочен преглед на стратегическата рамка „Образование и обучение 2020“, извършен през 2014 г. с участието на държавите членки и на основните заинтересовани страни, от който изхожда и настоящият доклад, се стига до три основни заключения относно политиката:</w:t>
      </w:r>
    </w:p>
    <w:p>
      <w:pPr>
        <w:pStyle w:val="Brdtext"/>
        <w:spacing w:after="0"/>
        <w:rPr>
          <w:rFonts w:hAnsi="Times New Roman" w:cs="Times New Roman"/>
          <w:noProof/>
        </w:rPr>
      </w:pP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>потвърждава се голямата стойност от наличието на интегрирана рамка за образование и обучение на всички равнища. Актуалната необходимост от гъвкавост и пропускаемост между различните видове учене изисква съгласуваност на политиката, като се започне от образованието в ранна детска възраст и училищата и се стигне до висшето образование, професионалното образование и обучение и ученето за възрастни;</w:t>
      </w: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>четирите стратегически цели на рамката „Образование и обучение 2020 г.“ (и настоящи целеви показатели на ЕС) остават валидни, тъй като са формулирани по всеобхватен и ориентиран към бъдещето начин в заключенията на Съвета от 2009 г. относно стратегическата рамка „Образование и обучение 2020 г.“ и предоставят солидна основа на свързаните с нея дейности до 2020 г. Фокусът на политиката обаче трябва да се пренасочи, за да се отчетат както неотложните предизвикателства в областта на икономиката и заетостта, така и ролята на образованието за насърчаване на равенството и недискриминацията и за усвояване на основните ценности, междукултурната компетентност и активното гражданство;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>
        <w:rPr>
          <w:rFonts w:hAnsi="Times New Roman" w:cs="Times New Roman"/>
          <w:noProof/>
        </w:rPr>
        <w:t xml:space="preserve">необходимо е да се засили още повече ролята на рамката „Образование и обучение 2020 г.“ като елемент, допринасящ за цялостната програма на ЕС за работни места, растеж и инвестиции, включително европейския семестър. Това предполага усъвършенстване на събирането на данни и взаимното обучение във връзка с предизвикателствата на реформите, както и увеличаване на специфичното за всяка държава значение на рамката. 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strike/>
          <w:noProof/>
        </w:rPr>
      </w:pPr>
      <w:r>
        <w:rPr>
          <w:rFonts w:hAnsi="Times New Roman" w:cs="Times New Roman"/>
          <w:noProof/>
        </w:rPr>
        <w:t>С оглед на предизвикателствата и заключенията относно политиката, изложени по-горе, както и за да се съчетаят по-добре целите на стратегическата рамка „Образование и обучение 2020 г.“ с политическите срокове и приоритети на ЕС, в настоящия съвместен доклад се предлага европейското сътрудничество по тази рамка да продължи до 2020 г., като по този начин нейният работен цикъл се увеличи от 3 на 5 години.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Text1"/>
        <w:spacing w:after="0" w:line="240" w:lineRule="auto"/>
        <w:ind w:left="0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2. Основни предизвикателства и бъдещи приоритети</w:t>
      </w:r>
    </w:p>
    <w:p>
      <w:pPr>
        <w:pStyle w:val="Brdtext"/>
        <w:spacing w:after="0" w:line="240" w:lineRule="auto"/>
        <w:ind w:firstLine="1"/>
        <w:rPr>
          <w:rFonts w:hAnsi="Times New Roman" w:cs="Times New Roman"/>
          <w:b/>
          <w:bCs/>
          <w:smallCaps/>
          <w:noProof/>
          <w:u w:val="single"/>
        </w:rPr>
      </w:pPr>
    </w:p>
    <w:p>
      <w:pPr>
        <w:pStyle w:val="Brdtext"/>
        <w:spacing w:after="0" w:line="240" w:lineRule="auto"/>
        <w:ind w:firstLine="1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Въз основа на направения преглед и като се признават различията между държавите членки, в настоящата глава са представени основните предизвикателства и промени в европейските системи за образование и обучение, които са определящи за новите </w:t>
      </w:r>
      <w:r>
        <w:rPr>
          <w:rFonts w:hAnsi="Times New Roman" w:cs="Times New Roman"/>
          <w:i/>
          <w:noProof/>
        </w:rPr>
        <w:t>приоритетни области</w:t>
      </w:r>
      <w:r>
        <w:rPr>
          <w:rFonts w:hAnsi="Times New Roman" w:cs="Times New Roman"/>
          <w:noProof/>
        </w:rPr>
        <w:t xml:space="preserve"> и за </w:t>
      </w:r>
      <w:r>
        <w:rPr>
          <w:rFonts w:hAnsi="Times New Roman" w:cs="Times New Roman"/>
          <w:i/>
          <w:noProof/>
        </w:rPr>
        <w:t>конкретните въпроси</w:t>
      </w:r>
      <w:r>
        <w:rPr>
          <w:rFonts w:hAnsi="Times New Roman" w:cs="Times New Roman"/>
          <w:noProof/>
        </w:rPr>
        <w:t xml:space="preserve"> за по-нататъшната работа до 2020 г., посочени в приложение I.</w:t>
      </w:r>
    </w:p>
    <w:p>
      <w:pPr>
        <w:pStyle w:val="Text1"/>
        <w:spacing w:after="0" w:line="240" w:lineRule="auto"/>
        <w:ind w:left="0"/>
        <w:rPr>
          <w:rFonts w:hAnsi="Times New Roman" w:cs="Times New Roman"/>
          <w:noProof/>
        </w:rPr>
      </w:pPr>
    </w:p>
    <w:p>
      <w:pPr>
        <w:pStyle w:val="Brdtext"/>
        <w:keepNext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  <w:r>
        <w:rPr>
          <w:rFonts w:hAnsi="Times New Roman" w:cs="Times New Roman"/>
          <w:b/>
          <w:i/>
          <w:noProof/>
        </w:rPr>
        <w:t>2.1. Качеството и приложимостта на резултатите от ученето са от основно значение за развитието на умения</w:t>
      </w:r>
    </w:p>
    <w:p>
      <w:pPr>
        <w:pStyle w:val="Brdtext"/>
        <w:keepNext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В Европа недоброто владеене на основните умения възпрепятства икономическия напредък и сериозно ограничава хората в тяхната професионална, социална и лична реализация. За повишаване на пригодността за заетост, иновациите и активното гражданство основните компетентности трябва да вървят успоредно с други ключови компетентности и начин на мислене: творчество, предприемачество и инициативност, цифрови умения (включително компютърно програмиране), владеене на чужди езици, способност за критично мислене, включително и чрез електронна и медийна грамотност, а също и умения в разрастващи се сектори, какъвто е например екологичната икономика.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>Качеството на учебните резултати трябва да се стимулира в дългосрочна житейска перспектива</w:t>
      </w:r>
      <w:r>
        <w:rPr>
          <w:rFonts w:hAnsi="Times New Roman" w:cs="Times New Roman"/>
          <w:noProof/>
        </w:rPr>
        <w:t>. При все че 16 държави членки вече са въвели цялостни стратегии за ученето през целия живот, всички държави трябва да разработят такива стратегии и да гарантират пропускаемостта между различните форми и равнища на учене, както и от образованието и обучението към работата. Това изисква постоянни усилия за координация и партньорство между различните учебни сектори.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 xml:space="preserve">Секторът на </w:t>
      </w:r>
      <w:r>
        <w:rPr>
          <w:b/>
          <w:i/>
          <w:noProof/>
        </w:rPr>
        <w:t xml:space="preserve">образованието и грижите в ранна детска възраст е отправната точка </w:t>
      </w:r>
      <w:r>
        <w:rPr>
          <w:noProof/>
        </w:rPr>
        <w:t xml:space="preserve">и едно от най-ефикасните средства за по-добро усвояване на основни умения, но пред него стои двойното предизвикателство да се повишат достъпността и качеството му. Особено проблематично е предоставянето на услуги за деца под 3 години. Въз основа на постигнатото с рамката за качество на </w:t>
      </w:r>
      <w:r>
        <w:rPr>
          <w:b/>
          <w:i/>
          <w:noProof/>
        </w:rPr>
        <w:t>образованието и грижите в ранна детска възраст</w:t>
      </w:r>
      <w:r>
        <w:rPr>
          <w:noProof/>
        </w:rPr>
        <w:t>, разработена от държавите членки по време на предходния работен цикъл, се изисква по-нататъшна работа върху основни аспекти, сред които са подобряването на достъпа, съсредоточаването на усилията към лицата в неравностойно положение, професионализацията на персонала и системите за ефективно управление, финансиране и наблюдение.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  <w:color w:val="000000" w:themeColor="text1"/>
        </w:rPr>
      </w:pPr>
      <w:r>
        <w:rPr>
          <w:noProof/>
        </w:rPr>
        <w:t xml:space="preserve">Всички държави членки са въвели </w:t>
      </w:r>
      <w:r>
        <w:rPr>
          <w:b/>
          <w:i/>
          <w:noProof/>
        </w:rPr>
        <w:t>мерки за ограничаване на преждевременното напускане на училище</w:t>
      </w:r>
      <w:r>
        <w:rPr>
          <w:noProof/>
        </w:rPr>
        <w:t xml:space="preserve">, но те не винаги са организирани в цялостна стратегия, както се изисква в препоръката на Съвета от 2011 г. Успехът на подобни мерки изисква дългосрочен ангажимент и междусекторно сътрудничество с акцент върху </w:t>
      </w:r>
      <w:r>
        <w:rPr>
          <w:noProof/>
          <w:color w:val="000000" w:themeColor="text1"/>
        </w:rPr>
        <w:t>предотвратяването и намесата на ранен етап</w:t>
      </w:r>
      <w:r>
        <w:rPr>
          <w:noProof/>
        </w:rPr>
        <w:t>.</w:t>
      </w:r>
      <w:r>
        <w:rPr>
          <w:noProof/>
          <w:color w:val="000000" w:themeColor="text1"/>
        </w:rPr>
        <w:t xml:space="preserve"> Стратегиите за предотвратяване на </w:t>
      </w:r>
      <w:r>
        <w:rPr>
          <w:b/>
          <w:i/>
          <w:noProof/>
        </w:rPr>
        <w:t>преждевременното напускане на училище</w:t>
      </w:r>
      <w:r>
        <w:rPr>
          <w:noProof/>
          <w:color w:val="000000" w:themeColor="text1"/>
        </w:rPr>
        <w:t>, прилагани в самите училища, следва да включват подходи за сътрудничество, партньорство с външни заинтересовани страни и местната общност, както и подобряване на резултатите от обучението на всички учащи.</w:t>
      </w:r>
    </w:p>
    <w:p>
      <w:pPr>
        <w:pStyle w:val="Text1"/>
        <w:spacing w:after="0" w:line="240" w:lineRule="auto"/>
        <w:ind w:left="0"/>
        <w:rPr>
          <w:rFonts w:hAnsi="Times New Roman" w:cs="Times New Roman"/>
          <w:noProof/>
          <w:color w:val="000000" w:themeColor="text1"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>Системите на висшето образование трябва да са двигателят на икономиката на знанието</w:t>
      </w:r>
      <w:r>
        <w:rPr>
          <w:noProof/>
        </w:rPr>
        <w:t>. Висшето образование трябва да реагира ефикасно на нуждите на променящите се общество и трудов пазар; модернизацията му трябва да е съсредоточена върху синергиите между преподаването, научноизследователската дейност и иновациите, свързвайки висшите учебни заведения с местните общности и регионите, и върху новаторски подходи за подобряване на целесъобразността на учебните програми, включително чрез използване на информационни и комуникационни технологии (ИКТ). Увеличаването на броя на висшистите продължава да бъде предизвикателство за много държави членки, особено сред групите в неравностойно положение.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>Завършилите професионално образование и обучение показват добри равнища на заетост</w:t>
      </w:r>
      <w:r>
        <w:rPr>
          <w:rFonts w:hAnsi="Times New Roman" w:cs="Times New Roman"/>
          <w:noProof/>
        </w:rPr>
        <w:t xml:space="preserve"> в повечето държави членки. Чиракуването и дуалните схеми за професионално образование и обучение са особено важни, тъй като те гарантират придобиването на съответните умения, които улесняват прехода към пазара на труда. Държавите членки предприеха редица мерки за постигане на заложените в Комюникето от Брюж (2010 г.) целеви резултати за периода 2011—2014 г. за подобряване на ефективността, качеството и привлекателността на професионалното образование и обучение, с акцент върху ученето в процеса на работа. През следващия работен цикъл насърчаването на това учене във всичките му форми следва да продължи, като едновременно се укрепи Европейският алианс за професионална подготовка и се подобри работата по прогнозиране на търсените на пазара на труда умения. С определянето на по-малобройни средносрочни цели в заключенията от Рига от 22 юни 2015 г. (вж. приложение 2) усилията се съсредоточават в по-голяма степен.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Default"/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i/>
          <w:noProof/>
        </w:rPr>
        <w:t xml:space="preserve">Ученето за възрастни е основата за повишаване на квалификацията и за преквалификация. </w:t>
      </w:r>
      <w:r>
        <w:rPr>
          <w:rFonts w:ascii="Times New Roman" w:hAnsi="Times New Roman" w:cs="Times New Roman"/>
          <w:noProof/>
        </w:rPr>
        <w:t>Предвид последните тенденции, показващи връзката между слабите основни умения при възрастните и високите равнища на безработица, е необходимо Европейската програма за учене за възрастни да се изпълнява по-интензивно.</w:t>
      </w:r>
      <w:r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noProof/>
        </w:rPr>
        <w:t>Сред приоритетите следва да са по-ефективното управление, значителното увеличение на предлагането и разпространението, по-гъвкавото предлагане, по-широкият достъп, по-внимателното наблюдение и по-доброто осигуряване на качеството (вж. приложение 2).</w:t>
      </w:r>
    </w:p>
    <w:p>
      <w:pPr>
        <w:pStyle w:val="Brdtext"/>
        <w:widowControl w:val="0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  <w:r>
        <w:rPr>
          <w:rFonts w:hAnsi="Times New Roman" w:cs="Times New Roman"/>
          <w:b/>
          <w:i/>
          <w:noProof/>
        </w:rPr>
        <w:t>2.2. Образованието трябва да допринася за социалното сближаване, равенството, недискриминацията и гражданските компетентности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В повечето европейски държави и в страните от ОИСР неравенството е на най-високото си равнище от 30 години насам и оказва отрицателно влияние върху резултатите в сферата на образованието, тъй като образователните системи имат склонност да възпроизвеждат съществуващите модели на социално-икономически статус. Приоритет трябва да бъде прекъсването на веригата на ниска квалифицираност, която преминава от поколение на поколение. Макар че по-голямата част от държавите членки са предприели мерки за подобряване на достъпа до образование за учащите в неравностойно положение, все още има значителни разлики по отношение на образованието, а достъпът до качествено общо образование и обучение продължава да бъде предизвикателство на много места в ЕС. Необходими са ефективни действия за приобщаващо образование и обучение за всички учащи, като се отделя специално внимание на тези в неравностойно положение, учащите със специални образователни потребности, мигрантите или хората с мигрантски произход и ромите. Гаранцията за младежта трябва да бъде мобилизирана в пълна степен.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Неравенствата между половете в областта на образованието трябва да бъдат премахнати, а различията в избора на образование в зависимост от пола да бъдат смекчени. Тормозът и насилието в учебната среда, включително когато са свързани с пола, не могат да бъдат толерирани. Учебните заведения и преподавателите трябва да разполагат със съответните средства и подкрепа, така че учащите да са обградени от среда, на която са присъщи приобщаването, равенството, недискриминацията и демократичното гражданство.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hd w:val="clear" w:color="auto" w:fill="FFFFFF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В Парижката декларация на министрите на образованието от 17 март 2015 г. бе отправен призив за действия на всички равнища, с които да се утвърди ролята на образованието в поощряването на гражданството и общите ценности на свобода, толерантност и недискриминация, в засилването на социалното сближаване и в подпомагането на младите хора да се превърнат в отговорни, свободомислещи и активни членове на нашето разнообразно и приобщаващо общество</w:t>
      </w:r>
      <w:r>
        <w:rPr>
          <w:rFonts w:hAnsi="Times New Roman" w:cs="Times New Roman"/>
          <w:noProof/>
          <w:vertAlign w:val="superscript"/>
        </w:rPr>
        <w:footnoteReference w:id="2"/>
      </w:r>
      <w:r>
        <w:rPr>
          <w:rFonts w:hAnsi="Times New Roman" w:cs="Times New Roman"/>
          <w:noProof/>
        </w:rPr>
        <w:t xml:space="preserve">. Образованието е важно за предотвратяване и преодоляване на маргинализацията и радикализацията. Последващите действия за постигане на целите на декларацията са основен приоритет в новия работен цикъл, като конкретните мерки се подпомагат с финансиране по програмата „Еразъм+“ в съответствие с четирите области, посочени в декларацията: i) насърчаване на придобиването на социални, граждански и междукултурни компетентности, повишаване на ангажираността спрямо основните ценности на Европа и изграждане на активно гражданство, ii) повишаване на критичното мислене и медийната грамотност, iii) </w:t>
      </w:r>
      <w:r>
        <w:rPr>
          <w:rFonts w:hAnsi="Times New Roman" w:cs="Times New Roman"/>
          <w:noProof/>
          <w:color w:val="auto"/>
        </w:rPr>
        <w:t>п</w:t>
      </w:r>
      <w:r>
        <w:rPr>
          <w:rFonts w:hAnsi="Times New Roman" w:cs="Times New Roman"/>
          <w:noProof/>
        </w:rPr>
        <w:t>одобряване на образованието за децата и младежите в неравностойно положение и iv) насърчаване на междукултурния диалог.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b/>
          <w:bCs/>
          <w:i/>
          <w:iCs/>
          <w:noProof/>
        </w:rPr>
      </w:pPr>
      <w:r>
        <w:rPr>
          <w:b/>
          <w:i/>
          <w:noProof/>
        </w:rPr>
        <w:t>2.3. За подходящо и висококачествено учене се изисква...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Default"/>
        <w:spacing w:after="0" w:line="240" w:lineRule="auto"/>
        <w:rPr>
          <w:rFonts w:ascii="Times New Roman" w:eastAsia="Arial Unicode MS" w:hAnsi="Times New Roman" w:cs="Times New Roman"/>
          <w:noProof/>
        </w:rPr>
      </w:pPr>
      <w:r>
        <w:rPr>
          <w:rFonts w:ascii="Times New Roman" w:hAnsi="Times New Roman" w:cs="Times New Roman"/>
          <w:b/>
          <w:i/>
          <w:noProof/>
        </w:rPr>
        <w:t xml:space="preserve">По-активното използване на новаторски педагогически подходи и цифрови умения и инструменти: </w:t>
      </w:r>
      <w:r>
        <w:rPr>
          <w:rFonts w:ascii="Times New Roman" w:hAnsi="Times New Roman" w:cs="Times New Roman"/>
          <w:noProof/>
        </w:rPr>
        <w:t>няколко държави членки съобщават за инициативи за повишаване на цифровите умения на учителите и учащите, а една трета от държавите членки са въвели национални стратегии за цифровизация на образованието.</w:t>
      </w:r>
      <w:r>
        <w:rPr>
          <w:rFonts w:ascii="Times New Roman" w:hAnsi="Times New Roman" w:cs="Times New Roman"/>
          <w:b/>
          <w:i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При все това все още има огромни предизвикателства. Цифровата революция доведе до много голямо търсене на цифрови умения и компетентности. Необходимо е образованието и обучението да посрещнат тези потребности, което изисква инвестиции в инфраструктура, организационни промени, цифрови устройства и цифрови компетентности у преподавателите, както и създаването на цифрови (и отворени) образователни ресурси и висококачествен образователен софтуер. В образованието и обучението трябва да се използват предимствата на новите развития в областта на ИКТ и да се възприемат новаторски и дейни педагогически подходи, основани на методи, които се градят на участие и проекти. Отворената учебна среда може да спомогне за сътрудничеството между образователните сектори, включително за учащите в неравностойно положение. 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>Силна подкрепа за преподавателите:</w:t>
      </w:r>
      <w:r>
        <w:rPr>
          <w:noProof/>
        </w:rPr>
        <w:t xml:space="preserve"> много държави членки докладват, че са предприели мерки за подобряване на обучението на преподавателите, и подчертават, че първоначалното образование и продължаващото професионално развитие на преподавателите и обучаващите трябва да бъдат пригодни за целта и да съчетават предмета с педагогически методи и практики. Преподавателите трябва да бъдат обучени да работят в контекста на нарастващото многообразие на учащите, да предотвратяват преждевременното напускане на училище и да използват новаторски педагогически подходи и инструментите на ИКТ по оптимален начин, като същевременно се ползват от професионална подкрепа в началото на кариерата си.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Недостигът на персонал все по-често възпрепятства качественото образование в много държави, а интересът към учителската професия спада. Необходими са всеобхватни дългосрочни стратегии, за да се подберат най-подходящите кандидати с различни познания и опит, като се отчита големият дисбаланс между половете в професията, както и за да се предоставят привлекателни перспективи за кариера.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 xml:space="preserve">Улесняване на мобилността с учебна цел: </w:t>
      </w:r>
      <w:r>
        <w:rPr>
          <w:noProof/>
        </w:rPr>
        <w:t>първият Индекс на мобилността (2014 г.) разкрива, че има големи различия в средата за мобилност с учебна цел в отделните държави членки, като все още има значителни препятствия по отношение на информацията, подпомагането на учащите и признаването. Действията по отношение на прозрачността, осигуряването на качеството, валидирането и признаването на умения и квалификации трябва да бъдат отчитани и осъществявани. За наблюдение на мобилността въз основа на данни е необходимо да се подобри тяхното качество и самото им събиране.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Приоритет остава подкрепата за интернационализацията на висшето образование, включително развитието на стратегически партньорства и съвместни курсове, както и насърчаването на мобилността на студентите, преподавателите и изследователите.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 xml:space="preserve">Усъвършенствани и опростени инструменти на ЕС за прозрачност и признаване: </w:t>
      </w:r>
      <w:r>
        <w:rPr>
          <w:rFonts w:hAnsi="Times New Roman" w:cs="Times New Roman"/>
          <w:noProof/>
        </w:rPr>
        <w:t>инструментите за прозрачност и признаване са от съществено значение за мобилността, пригодността за заетост и ученето през целия живот, както и за да се гарантира използването на квалификациите, придобити извън ЕС. Повечето държави членки са разработили национални квалификационни рамки, съотнесени към Европейската квалификационна рамка (ЕКР). С по-нататъшната работа трябва да се насърчи преходът от прозрачност към признаване на квалификациите в цяла Европа чрез укрепване на ролята на ЕКР и поощряване на валидирането на неформалното и самостоятелното учене. С подходящи инструменти за признаване и валидиране на придобитите чрез цифрови технологии знания, умения и компетентности може да се окаже подкрепа за възприемането на отворени и новаторски учебни практики. Следва да се обърне специално внимание на опростяването и рационализирането на съществуващите инструменти на ЕС в областта на уменията и квалификацията, предназначени за широката общественост, така че да се увеличи популярността им.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 xml:space="preserve">Преодоляване на недостига на инвестиции: </w:t>
      </w:r>
      <w:r>
        <w:rPr>
          <w:rFonts w:hAnsi="Times New Roman" w:cs="Times New Roman"/>
          <w:noProof/>
        </w:rPr>
        <w:t xml:space="preserve">ефективното инвестиране в качествено образование и обучение е източник на устойчив растеж. При все това от началото на кризата публичните бюджети са ограничени и няколко държави членки намалиха разходите си за образование и обучение в реално изражение. Това показва, че е необходимо държавите членки да бъдат подпомогнати в изготвянето на реформи, които осигуряват по-ефективно качествено образование и обучение в широк обществен контекст. Планът за инвестиции за Европа, програмата „Еразъм+“, европейските структурни и инвестиционни фондове, включително инициативата за младежка заетост и програмата „Хоризонт 2020“, могат да спомогнат за стимулиране на инвестициите и да са в подкрепа на приоритетите на политиката съгласно рамката „Образование и обучение 2020“, като осигурят силни връзки с тези приоритети.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</w:p>
    <w:p>
      <w:pPr>
        <w:pStyle w:val="Text1"/>
        <w:spacing w:after="0" w:line="240" w:lineRule="auto"/>
        <w:ind w:left="0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3. Управление и методи на работа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От публикуването на съвместния доклад за 2012 г. насам в управлението на стратегическата рамка „Образование и обучение 2020“ бе отбелязано подобрение, по-специално чрез подобряване на събирането на данни (чрез Обзора на образованието и обучението), оперативния характер на работните групи и редовните платформи за обмен между основните заинтересовани страни, като например Форума за образованието, обучението и младежта. Направеният преглед показва, че има съгласие относно следния подход за следващия работен цикъл: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rPr>
          <w:noProof/>
        </w:rPr>
      </w:pPr>
      <w:r>
        <w:rPr>
          <w:b/>
          <w:i/>
          <w:noProof/>
        </w:rPr>
        <w:t xml:space="preserve">събирането на качествени аналитични данни и проследяването на напредъка </w:t>
      </w:r>
      <w:r>
        <w:rPr>
          <w:noProof/>
        </w:rPr>
        <w:t>са от съществено значение за ефективността на стратегическата рамка „Образование и обучение 2020“ и ще се осъществяват в сътрудничество с Евростат, мрежата „Евридика“, Европейския център за развитие на професионалното обучение (Cedefop), ОИСР и други организации;</w:t>
      </w:r>
    </w:p>
    <w:p>
      <w:pPr>
        <w:pStyle w:val="BodyText"/>
        <w:spacing w:after="0" w:line="240" w:lineRule="auto"/>
        <w:ind w:left="714"/>
        <w:rPr>
          <w:noProof/>
        </w:rPr>
      </w:pPr>
    </w:p>
    <w:p>
      <w:pPr>
        <w:pStyle w:val="BodyText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rPr>
          <w:noProof/>
        </w:rPr>
      </w:pPr>
      <w:r>
        <w:rPr>
          <w:noProof/>
        </w:rPr>
        <w:t xml:space="preserve">оптимизирането и </w:t>
      </w:r>
      <w:r>
        <w:rPr>
          <w:b/>
          <w:i/>
          <w:noProof/>
        </w:rPr>
        <w:t xml:space="preserve">рационализирането на докладването </w:t>
      </w:r>
      <w:r>
        <w:rPr>
          <w:noProof/>
        </w:rPr>
        <w:t>по стратегическата рамка „Образование и обучение 2020“ продължават да са приоритет и ще бъдат улеснени с удължаването на работния цикъл на 5 години;</w:t>
      </w:r>
    </w:p>
    <w:p>
      <w:pPr>
        <w:pStyle w:val="BodyText"/>
        <w:spacing w:after="0" w:line="240" w:lineRule="auto"/>
        <w:ind w:left="720"/>
        <w:rPr>
          <w:noProof/>
        </w:rPr>
      </w:pPr>
    </w:p>
    <w:p>
      <w:pPr>
        <w:pStyle w:val="BodyText"/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rPr>
          <w:noProof/>
        </w:rPr>
      </w:pPr>
      <w:r>
        <w:rPr>
          <w:b/>
          <w:i/>
          <w:noProof/>
        </w:rPr>
        <w:t>укрепването на връзките между образованието, бизнеса и научноизследователската дейност, както и участието на социалните партньори и гражданското общество</w:t>
      </w:r>
      <w:r>
        <w:rPr>
          <w:noProof/>
        </w:rPr>
        <w:t xml:space="preserve"> ще увеличат въздействието на стратегическата рамка „Образование и обучение 2020“ и приноса на учебните системи за повишаване на капацитета за иновации на Европа. В това отношение тенденциите се определят от съюзите на знанието, секторните съюзи на уменията по програма „Еразъм+“, действията по програма „Мария Склодовска-Кюри“ и Европейския институт за иновации и технологии в рамките на програма „Хоризонт 2020“. Участието на заинтересованите страни ще бъде стимулирано също и чрез Форума за образованието, обучението и младежта, Европейския форум на университетите и бизнеса, Форума на бизнеса и професионалното образование и обучение и чрез тематични форуми в държавите членки. Сътрудничеството с европейското гражданско общество и европейските социални партньори ще продължи, за да се даде възможност за оптимално използване на техния опит и капацитет за достигане до голям брой хора. </w:t>
      </w:r>
    </w:p>
    <w:p>
      <w:pPr>
        <w:pStyle w:val="BodyText"/>
        <w:spacing w:after="0" w:line="240" w:lineRule="auto"/>
        <w:ind w:left="720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Инструментите на стратегическата рамка „Образование и обучение 2020“ са доказали своята стойност, но не винаги оказват ефективно въздействие на национално равнище, по-специално поради липса на синхронизация на дейностите, недостатъци в разпространението и слабо познаване на национално равнище на ползата от резултатите. Наборът от инструменти на стратегическата рамка „Образование и обучение 2020“ ще бъде усъвършенстван: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noProof/>
        </w:rPr>
        <w:t xml:space="preserve">с цел повишаване на прозрачността и съгласуваността на дейностите по стратегическата рамка „Образование и обучение 2020“ Комисията в сътрудничество с държавите членки (включително тройното председателство на Съвета на ЕС) ще изготви </w:t>
      </w:r>
      <w:r>
        <w:rPr>
          <w:rFonts w:hAnsi="Times New Roman" w:cs="Times New Roman"/>
          <w:b/>
          <w:i/>
          <w:noProof/>
        </w:rPr>
        <w:t>примерен текущ работен план</w:t>
      </w:r>
      <w:r>
        <w:rPr>
          <w:rFonts w:hAnsi="Times New Roman" w:cs="Times New Roman"/>
          <w:noProof/>
        </w:rPr>
        <w:t xml:space="preserve"> </w:t>
      </w:r>
      <w:r>
        <w:rPr>
          <w:rFonts w:hAnsi="Times New Roman" w:cs="Times New Roman"/>
          <w:b/>
          <w:i/>
          <w:noProof/>
        </w:rPr>
        <w:t>по стратегическата рамка „Образование и обучение 2020“</w:t>
      </w:r>
      <w:r>
        <w:rPr>
          <w:rFonts w:hAnsi="Times New Roman" w:cs="Times New Roman"/>
          <w:noProof/>
        </w:rPr>
        <w:t>, в който са включени и ясно представени общо партньорските обучения и ключовите дейности, планирани в работните групи по стратегическата рамка „Образование и обучение 2020“ и неформалните групи от висши служители, т.е. заседанията на генералните директори, отговарящи за училищата, професионалното образование и обучение и висшето образование (заседания на ГД) и Групата на високо равнище по въпросите на образованието и обучението;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noProof/>
        </w:rPr>
        <w:t>от 2016</w:t>
      </w:r>
      <w:r>
        <w:rPr>
          <w:rFonts w:hAnsi="Times New Roman" w:cs="Times New Roman"/>
          <w:noProof/>
          <w:lang w:val="en-GB"/>
        </w:rPr>
        <w:t> </w:t>
      </w:r>
      <w:r>
        <w:rPr>
          <w:rFonts w:hAnsi="Times New Roman" w:cs="Times New Roman"/>
          <w:noProof/>
        </w:rPr>
        <w:t xml:space="preserve">г. ново поколение </w:t>
      </w:r>
      <w:r>
        <w:rPr>
          <w:rFonts w:hAnsi="Times New Roman" w:cs="Times New Roman"/>
          <w:b/>
          <w:i/>
          <w:noProof/>
        </w:rPr>
        <w:t xml:space="preserve">работни групи </w:t>
      </w:r>
      <w:r>
        <w:rPr>
          <w:rFonts w:hAnsi="Times New Roman" w:cs="Times New Roman"/>
          <w:noProof/>
        </w:rPr>
        <w:t xml:space="preserve">ще започнат работа по </w:t>
      </w:r>
      <w:r>
        <w:rPr>
          <w:rFonts w:hAnsi="Times New Roman" w:cs="Times New Roman"/>
          <w:i/>
          <w:noProof/>
        </w:rPr>
        <w:t>приоритетните области на стратегическата рамка „Образование и обучение 2020“</w:t>
      </w:r>
      <w:r>
        <w:rPr>
          <w:rFonts w:hAnsi="Times New Roman" w:cs="Times New Roman"/>
          <w:noProof/>
        </w:rPr>
        <w:t>. Групите ще докладват на съответните неформални групи от висши служители, които предоставят указания и подбират значимите резултати, които да представят на вниманието на Съвета. Ще бъдат окуражавани новаторските методи на работа, а резултатите от работата на групите ще се разпространяват по-добре с оглед постигането на действително споделяне на знания;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b/>
          <w:i/>
          <w:noProof/>
        </w:rPr>
        <w:t>партньорските учебни дейности по линия на стратегическата рамка „Образование и обучение 2020“,</w:t>
      </w:r>
      <w:r>
        <w:rPr>
          <w:rFonts w:hAnsi="Times New Roman" w:cs="Times New Roman"/>
          <w:noProof/>
        </w:rPr>
        <w:t xml:space="preserve"> обикновено в контекста на работните групи, ще бъдат засилени, като ще се даде възможност на държавите членки, които срещат сходни предизвикателства в политиката, да работят в клъстери. </w:t>
      </w:r>
      <w:r>
        <w:rPr>
          <w:rFonts w:hAnsi="Times New Roman" w:cs="Times New Roman"/>
          <w:b/>
          <w:i/>
          <w:noProof/>
        </w:rPr>
        <w:t>Партньорските проверки</w:t>
      </w:r>
      <w:r>
        <w:rPr>
          <w:rFonts w:hAnsi="Times New Roman" w:cs="Times New Roman"/>
          <w:noProof/>
        </w:rPr>
        <w:t xml:space="preserve"> в рамките на заседания на ГД, посветени на специфични за отделните държави предизвикателства, са доказано полезни, но изискват повече подготовка и поддържане на интерактивен диалог. Със специално изготвени </w:t>
      </w:r>
      <w:r>
        <w:rPr>
          <w:rFonts w:hAnsi="Times New Roman" w:cs="Times New Roman"/>
          <w:b/>
          <w:i/>
          <w:noProof/>
        </w:rPr>
        <w:t xml:space="preserve">партньорски съвети </w:t>
      </w:r>
      <w:r>
        <w:rPr>
          <w:rFonts w:hAnsi="Times New Roman" w:cs="Times New Roman"/>
          <w:noProof/>
        </w:rPr>
        <w:t>може да се окаже подкрепа на дадена национална програма за реформа;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b/>
          <w:i/>
          <w:noProof/>
        </w:rPr>
        <w:t>разпространението на добри практики</w:t>
      </w:r>
      <w:r>
        <w:rPr>
          <w:rFonts w:hAnsi="Times New Roman" w:cs="Times New Roman"/>
          <w:noProof/>
        </w:rPr>
        <w:t xml:space="preserve"> и извлечени поуки, подкрепени с международни данни, когато е необходимо, ще бъде подобрено чрез тематични събития, учебен обмен по въпроси на политиката и всякакви други механизми за трансфер и обмен на знания относно мерките, които дават резултати в образованието; 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b/>
          <w:i/>
          <w:noProof/>
        </w:rPr>
        <w:t>Обзорът на образованието и обучението</w:t>
      </w:r>
      <w:r>
        <w:rPr>
          <w:rFonts w:hAnsi="Times New Roman" w:cs="Times New Roman"/>
          <w:noProof/>
        </w:rPr>
        <w:t>, синхронизиран с европейския семестър и предоставящ актуални тематични и специфични за отделните държави данни (включително силни страни и предизвикателства), ще се използва системно в ориентационните дебати в Съвета и Европейския парламент при обсъждането на предизвикателствата и реформите на образованието;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rFonts w:hAnsi="Times New Roman" w:cs="Times New Roman"/>
          <w:noProof/>
        </w:rPr>
        <w:t xml:space="preserve">потенциалът на програмата </w:t>
      </w:r>
      <w:r>
        <w:rPr>
          <w:rFonts w:hAnsi="Times New Roman" w:cs="Times New Roman"/>
          <w:b/>
          <w:i/>
          <w:noProof/>
        </w:rPr>
        <w:t xml:space="preserve">„Еразъм+“ </w:t>
      </w:r>
      <w:r>
        <w:rPr>
          <w:rFonts w:hAnsi="Times New Roman" w:cs="Times New Roman"/>
          <w:noProof/>
        </w:rPr>
        <w:t>ще се използва пълноценно, за да се увеличи въздействието на инструментите на стратегическата рамка „Образование и обучение 2020“, включително като се координира подготовката на експериментални инициативи в областта на политиката в работните групи и като се използват данни, събрани чрез проекти, дали отлични резултати.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br w:type="page"/>
      </w:r>
    </w:p>
    <w:p>
      <w:pPr>
        <w:pStyle w:val="Brdtext"/>
        <w:spacing w:after="0" w:line="240" w:lineRule="auto"/>
        <w:jc w:val="left"/>
        <w:rPr>
          <w:rFonts w:hAnsi="Times New Roman" w:cs="Times New Roman"/>
          <w:b/>
          <w:bCs/>
          <w:smallCaps/>
          <w:noProof/>
          <w:u w:val="single"/>
        </w:r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Приложение 1: Приоритетни области за европейско сътрудничество в образованието и обучението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 xml:space="preserve">Средносрочният преглед потвърди четирите </w:t>
      </w:r>
      <w:r>
        <w:rPr>
          <w:b/>
          <w:i/>
          <w:noProof/>
        </w:rPr>
        <w:t>стратегически цели</w:t>
      </w:r>
      <w:r>
        <w:rPr>
          <w:noProof/>
        </w:rPr>
        <w:t xml:space="preserve"> на рамката „Образование и обучение 2020“, заложени от Съвета през 2009 г.: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Превръщане на ученето през целия живот и на мобилността в реалност.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Подобряване на качеството и ефективността на образованието и обучението.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3.</w:t>
      </w:r>
      <w:r>
        <w:rPr>
          <w:noProof/>
        </w:rPr>
        <w:tab/>
        <w:t>Утвърждаване на равнопоставеността, социалното сближаване и активното гражданско участие.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4.</w:t>
      </w:r>
      <w:r>
        <w:rPr>
          <w:noProof/>
        </w:rPr>
        <w:tab/>
        <w:t>Разгръщане на творчеството и новаторството, включително предприемчивостта, при всички степени на образование и обучение.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В рамките на тези стратегически цели в прегледа се подчертава общата цел на държавите членки да рационализират сегашните приоритетни области за действие. В таблицата по-долу се предлага </w:t>
      </w:r>
      <w:r>
        <w:rPr>
          <w:rFonts w:hAnsi="Times New Roman" w:cs="Times New Roman"/>
          <w:b/>
          <w:noProof/>
        </w:rPr>
        <w:t>приоритетните области да се намалят от 13 на 6</w:t>
      </w:r>
      <w:r>
        <w:rPr>
          <w:rFonts w:hAnsi="Times New Roman" w:cs="Times New Roman"/>
          <w:noProof/>
        </w:rPr>
        <w:t>, всяка от които може да допринесе за една или повече стратегически цели за периода до 2020 г., като са изцяло съгласувани с общите политически приоритети на ЕС и допринасят за изпълнението им.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 xml:space="preserve">В таблицата по-долу приоритетните области са разделени по </w:t>
      </w:r>
      <w:r>
        <w:rPr>
          <w:b/>
          <w:i/>
          <w:noProof/>
        </w:rPr>
        <w:t>конкретни въпроси</w:t>
      </w:r>
      <w:r>
        <w:rPr>
          <w:noProof/>
        </w:rPr>
        <w:t xml:space="preserve"> в отговор на искането на Съвета за по-конкретно посочване на предмета на бъдещата работа. В тези области ще се работи чрез методите и инструментите на стратегическата рамка „Образование и обучение 2020“; те: i) отразяват общо предизвикателство за държавите членки, и ii) показват добавена стойност от справянето с тях на европейско равнище.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  <w:color w:val="auto"/>
        </w:rPr>
      </w:pPr>
      <w:r>
        <w:rPr>
          <w:noProof/>
        </w:rPr>
        <w:t xml:space="preserve">В съответствие с националните приоритети </w:t>
      </w:r>
      <w:r>
        <w:rPr>
          <w:noProof/>
          <w:color w:val="auto"/>
        </w:rPr>
        <w:t>държавите членки ще подберат тези области и въпроси, в работата и сътрудничеството по които желаят да участват.</w:t>
      </w:r>
    </w:p>
    <w:p>
      <w:pPr>
        <w:rPr>
          <w:rFonts w:eastAsia="Times New Roman"/>
          <w:noProof/>
          <w:u w:color="000000"/>
        </w:rPr>
      </w:pPr>
      <w:r>
        <w:rPr>
          <w:noProof/>
        </w:rPr>
        <w:br w:type="page"/>
      </w:r>
    </w:p>
    <w:p>
      <w:pPr>
        <w:pStyle w:val="Brdtext"/>
        <w:widowControl w:val="0"/>
        <w:spacing w:after="0" w:line="240" w:lineRule="auto"/>
        <w:rPr>
          <w:rFonts w:hAnsi="Times New Roman" w:cs="Times New Roman"/>
          <w:smallCaps/>
          <w:noProof/>
        </w:rPr>
      </w:pPr>
    </w:p>
    <w:tbl>
      <w:tblPr>
        <w:tblW w:w="86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2"/>
        <w:gridCol w:w="5925"/>
      </w:tblGrid>
      <w:tr>
        <w:trPr>
          <w:trHeight w:val="4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center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smallCaps/>
                <w:noProof/>
                <w:sz w:val="20"/>
                <w:szCs w:val="20"/>
              </w:rPr>
              <w:t>Приоритетни области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center"/>
              <w:rPr>
                <w:rFonts w:hAnsi="Times New Roman" w:cs="Times New Roman"/>
                <w:b/>
                <w:bCs/>
                <w:smallCap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smallCaps/>
                <w:noProof/>
                <w:sz w:val="20"/>
                <w:szCs w:val="20"/>
              </w:rPr>
              <w:t>Конкретни въпроси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keepNext/>
              <w:spacing w:after="0" w:line="240" w:lineRule="auto"/>
              <w:jc w:val="left"/>
              <w:outlineLvl w:val="1"/>
              <w:rPr>
                <w:rFonts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Подходящи и висококачествени умения и компетентности, с акцент върху резултатите от ученето с оглед на пригодността за заетост, иновациите и активното гражданство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Засилване на целенасочените политически действия за намаляване на лошите резултати по отношение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основните умения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 Европа, обхващащи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грамотността, математиката, науките и цифровата грамотност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4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Укрепване на развитието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трансверсални умения и ключови компетентности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в съответствие с Референтната рамка за ключовите умения за учене през целия живот, по-специално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цифровите, предприемаческите и езиковите компетентности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чрез общи рамки на равнище ЕС и инструменти за самооценка като „HEInnovate“</w:t>
            </w:r>
          </w:p>
          <w:p>
            <w:pPr>
              <w:pStyle w:val="Brdtext"/>
              <w:tabs>
                <w:tab w:val="left" w:pos="2280"/>
              </w:tabs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Даване на нов импулс на стратегиите за учене през целия живот, насочени към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преходните фази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 рамките на училищното образование, като същевременно се насърчават преходът към и между професионалното образование и обучение, висшето образование и ученето за възрастни, включително неформалното и самостоятелното учене, и преходът от образование и обучение към работа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6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Подобряване на достъпа до висококачествено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образование и грижи в ранна детска възраст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>, особено за децата в неравностойно положение, и прилагане на рамката за качество на образованието и грижите в ранна детска възраст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7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Намаляване на броя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преждевременното напускащите училище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чрез подпомагане на стратегиите, прилагани в самите училища и възможностите за втори шанс, с акцент върху ефективните учебна среда и методи на преподаване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Повишаване на значимостта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висшето образование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за пазара на труда и обществото, включително чрез по-добро проучване и прогнозиране на нуждите и резултатите на пазара на труда, нови форми на учебните програми, наблягане на ученето в процеса на работа и засилено сътрудничество между висшите учебни заведения и работодателите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9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Постигане на определените в Рига средносрочни цели по отношение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професионалното образование и обучение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(вж. приложение 2), а така също и укрепване на Европейския алианс за професионална подготовка и по-интензивно прогнозиране на търсените на пазара на труда умения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0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Изпълнение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Европейската програма за учене за възрастни 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>(вж. приложение 2)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ext2"/>
              <w:spacing w:after="0" w:line="240" w:lineRule="auto"/>
              <w:ind w:left="0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Приобщаващо образование, равенство, недискриминация и насърчаване на гражданските компетентности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Отчитане на нарастващото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многообразие на учащите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подобряване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достъпа до висококачествено и приобщаващо общо образование и обучение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за всички учащи, включително тези в неравностойно положение, със специални нужди, мигрантите и ромите, като същевременно се работи против дискриминацията, расизма, сегрегацията, тормоза, насилието, както и срещу стереотипите</w:t>
            </w:r>
          </w:p>
          <w:p>
            <w:pPr>
              <w:pStyle w:val="ListParagraph"/>
              <w:ind w:left="396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Премахване на неравнопоставеността между половете в образованието и насърчаване на баланса между половете при избора на образование</w:t>
            </w:r>
          </w:p>
          <w:p>
            <w:pPr>
              <w:contextualSpacing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Способстване за ефективното овладяване от мигрантите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езика на обучение и заетост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>
            <w:pPr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Насърчаване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гражданските, междукултурните и социалните компетентности и компетентностите за общуване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взаимно разбиране и уважение, както и ангажираността по отношение на демократичните ценности и основните права </w:t>
            </w:r>
          </w:p>
          <w:p>
            <w:pPr>
              <w:contextualSpacing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Подобряване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критичното мислене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кибернетичната и медийната грамотност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Отворено и новаторско образование и обучение, включително чрез цялостно интегриране в цифровата ера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Масово използване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новаторски и активни педагогически методи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 като например интердисциплинарни методи на преподаване и сътрудничество, с цел ускоряване на развитието на значими и висококачествени умения и компетентности съвместно с насърчаването на приобщаващо образование, включително за учащите в неравностойно положение и тези с увреждания</w:t>
            </w:r>
          </w:p>
          <w:p>
            <w:pPr>
              <w:pStyle w:val="ListParagraph"/>
              <w:ind w:left="360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Насърчаване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участието в управлението на образованието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чрез стимулиране на ангажимента на учащите, преподавателите, родителите и на по-широката местна общност, като например групите на гражданското общество, социалните партньори и бизнеса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Увеличаване на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синергиите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между образователните, научноизследователските и иновационните дейности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с оглед на устойчивия растеж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въз основа на промените във висшето образование, с нов акцент върху професионалното образование и обучение и училищата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7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Популяризиране на използването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ИКТ като двигател за системна промяна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с цел повишаване на качеството и значимостта на образованието на всички равнища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Повишаване на наличността и качеството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отворените и цифровите образователни ресурси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и педагогически методи на всички нива на образованието в сътрудничество с европейските общности за софтуер с отворен код</w:t>
            </w:r>
          </w:p>
          <w:p>
            <w:pPr>
              <w:pStyle w:val="Brdtext"/>
              <w:spacing w:after="0" w:line="240" w:lineRule="auto"/>
              <w:ind w:left="432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Целенасочена работа за развиване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цифрови умения и компетентности на всички равнища на обучение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в отговор на цифровата революция </w:t>
            </w:r>
          </w:p>
          <w:p>
            <w:pPr>
              <w:pStyle w:val="Brdtext"/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keepNext/>
              <w:spacing w:after="0" w:line="240" w:lineRule="auto"/>
              <w:jc w:val="left"/>
              <w:outlineLvl w:val="1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Силна подкрепа за преподавателите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numPr>
                <w:ilvl w:val="0"/>
                <w:numId w:val="19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Подобряване на практиките за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набиране, подбор и въвеждане в професията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най-добрите и подходящи за учителската професия кандидати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Повишаване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привлекателността и престижа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учителската професия, включително посредством всеобхватни стратегии</w:t>
            </w:r>
            <w:r>
              <w:rPr>
                <w:rFonts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1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Подпомагане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първоначалното образование 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продължаващото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професионално развитие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преподавателите, насочено по-специално към работа в контекста на нарасналото многообразие на учащите, преждевременното напускане на училище, ученето в процеса на работа, уменията в областта на цифровите технологии и новаторските педагогически методи, в т.ч. чрез инструменти на ЕС като например „електронното побратимяване“ (eTwinning), Портала за училищно образование (School Education Gateway) и електронната платформа за учене за възрастните в Европа (EPALE)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2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Насърчаване на високите постижения в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преподаването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всички равнища чрез изготвянето на учебни програми, организацията на учебния процес и начините за стимулиране на преподавателите, както и чрез проучването на нови методи за измерване на качеството на подготовката на учителите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Прозрачност и признаване на уменията и квалификациите за улесняване на мобилността с цел учене и работа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Насърчаване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прозрачността, осигуряването на качеството, валидирането и признаването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уменията и квалификациите, включително когато са придобити чрез учене от цифрови, онлайн и отворени източници, и валидиране на самостоятелното и неформалното учене</w:t>
            </w:r>
          </w:p>
          <w:p>
            <w:pPr>
              <w:pStyle w:val="Brdtext"/>
              <w:spacing w:after="0" w:line="240" w:lineRule="auto"/>
              <w:ind w:left="357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Опростяване и рационализиране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на инструментите за прозрачност, документиране, валидиране и признаване, които включват преки контакти с учащите, работещите и работодателите, и насърчаване на използването на квалификационни рамки</w:t>
            </w:r>
          </w:p>
          <w:p>
            <w:pPr>
              <w:pStyle w:val="ListParagraph"/>
              <w:ind w:left="357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5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Подкрепа за мобилността на студентите, учебния персонал и изследователите и разработването на стратегически партньорства и съвместни курсове чрез увеличаване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интернационализацията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на висшето образование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Устойчиви инвестиции, постижения и ефективност на образованието и обучението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Проучване на </w:t>
            </w:r>
            <w:r>
              <w:rPr>
                <w:b/>
                <w:noProof/>
                <w:sz w:val="20"/>
                <w:szCs w:val="20"/>
              </w:rPr>
              <w:t>потенциала на Плана за инвестиции за Европа</w:t>
            </w:r>
            <w:r>
              <w:rPr>
                <w:noProof/>
                <w:sz w:val="20"/>
                <w:szCs w:val="20"/>
              </w:rPr>
              <w:t xml:space="preserve"> в областта на образованието и обучението, включително чрез популяризиране на модели на финансиране, които привличат частни участници и капитали</w:t>
            </w:r>
          </w:p>
          <w:p>
            <w:pPr>
              <w:pStyle w:val="Brdtext"/>
              <w:spacing w:after="0" w:line="240" w:lineRule="auto"/>
              <w:ind w:left="360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Насърчаване на държавите членки да се основават на обективни данни при създаването на политики, като така се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наблюдава изпълнението на политиките и съответно начертават реформи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>, целящи по-ефективното предоставяне на качествено образование</w:t>
            </w:r>
          </w:p>
          <w:p>
            <w:pPr>
              <w:pStyle w:val="Brdtext"/>
              <w:spacing w:after="0" w:line="240" w:lineRule="auto"/>
              <w:ind w:left="431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Насърчаване на новаторски практики за гарантиране на 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>устойчиви инвестиции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във всички форми и степени на учението, включително финансиране на база постижения и споделяне на разходите</w:t>
            </w:r>
          </w:p>
        </w:tc>
      </w:tr>
    </w:tbl>
    <w:p>
      <w:pPr>
        <w:pStyle w:val="Brdtext"/>
        <w:widowControl w:val="0"/>
        <w:spacing w:after="0" w:line="240" w:lineRule="auto"/>
        <w:rPr>
          <w:rFonts w:hAnsi="Times New Roman" w:cs="Times New Roman"/>
          <w:smallCaps/>
          <w:noProof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smallCaps/>
          <w:noProof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br w:type="page"/>
      </w:r>
    </w:p>
    <w:p>
      <w:pPr>
        <w:pStyle w:val="Brdtext"/>
        <w:spacing w:after="0" w:line="240" w:lineRule="auto"/>
        <w:jc w:val="left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Приложение 2: Специфични приоритети в областта на професионалното образование и обучение и ученето за възрастни до 2020 г.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За секторните програми за професионално образование и обучение (процесът от Копенхаген и Брюж) и обновената европейска програма за учене за възрастни е необходима по-точна идентификация — и одобрение чрез настоящия съвместен доклад — на целевите резултати/приоритетите за периода до 2020 г.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b/>
          <w:bCs/>
          <w:noProof/>
          <w:spacing w:val="-6"/>
        </w:rPr>
      </w:pPr>
      <w:r>
        <w:rPr>
          <w:rFonts w:hAnsi="Times New Roman" w:cs="Times New Roman"/>
          <w:b/>
          <w:noProof/>
          <w:spacing w:val="-6"/>
        </w:rPr>
        <w:t>Средносрочни целеви резултати от Рига в професионалното образование и обучение</w:t>
      </w: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noProof/>
        </w:rPr>
      </w:pPr>
    </w:p>
    <w:p>
      <w:pPr>
        <w:pStyle w:val="ListParagraph"/>
        <w:numPr>
          <w:ilvl w:val="0"/>
          <w:numId w:val="28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Насърчаване на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ученето в процеса на работа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във всичките му форми, като се обръща специално внимание на чиракуването, чрез участие на социалните партньори, дружествата, търговските камари и заведенията за професионално образование и обучение, както и чрез стимулиране на иновациите и предприемачеството</w:t>
      </w:r>
    </w:p>
    <w:p>
      <w:pPr>
        <w:pStyle w:val="ListParagraph"/>
        <w:numPr>
          <w:ilvl w:val="0"/>
          <w:numId w:val="29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По-нататъшно разработване на механизми за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осигуряване на качеството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в професионалното образование и обучение в съответствие с Препоръката за Европейска референтна рамка за осигуряване на качество в професионалното образование и обучение и, като част от системите за осигуряване на качеството, установяване на постоянен поток от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 информация и обратна връзка в системите за първоначално и продължаващо професионално образование и обучение, базиран на учебните резултати</w:t>
      </w:r>
    </w:p>
    <w:p>
      <w:pPr>
        <w:pStyle w:val="ListParagraph"/>
        <w:numPr>
          <w:ilvl w:val="0"/>
          <w:numId w:val="30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Подобряване на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достъпа до професионално образование и обучение и квалификации за всички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чрез по-голяма гъвкавост и пропускаемост на системите, по-конкретно чрез предоставяне на ефективни и интегрирани услуги за професионално ориентиране и валидиране на неформалното и самостоятелното учене</w:t>
      </w:r>
    </w:p>
    <w:p>
      <w:pPr>
        <w:pStyle w:val="ListParagraph"/>
        <w:numPr>
          <w:ilvl w:val="0"/>
          <w:numId w:val="31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По-нататъшно укрепване на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ключовите компетентности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в учебните програми за професионално образование и обучение и осигуряване на повече действителни възможности за придобиване или развиване на тези умения чрез първоначално и продължаващо професионално образование и обучение</w:t>
      </w:r>
    </w:p>
    <w:p>
      <w:pPr>
        <w:pStyle w:val="ListParagraph"/>
        <w:numPr>
          <w:ilvl w:val="0"/>
          <w:numId w:val="32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Въвеждане на систематични подходи и възможности за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първоначално и продължаващо професионално развитие на учителите, обучаващите и наставниците, работещи в професионалното образование и обучение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, както в училищата, така и в работната среда</w:t>
      </w: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noProof/>
        </w:rPr>
      </w:pP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b/>
          <w:bCs/>
          <w:noProof/>
        </w:rPr>
      </w:pPr>
      <w:r>
        <w:rPr>
          <w:rFonts w:hAnsi="Times New Roman" w:cs="Times New Roman"/>
          <w:b/>
          <w:noProof/>
        </w:rPr>
        <w:t>Обновена европейска програма за приоритетите в ученето за възрастни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ListParagraph"/>
        <w:numPr>
          <w:ilvl w:val="0"/>
          <w:numId w:val="33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Управление: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осигуряване на съгласуваност на обучението за възрастни с други области на политиката, подобряване на координацията, ефективността и съответствието с потребностите на обществото,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икономиката и околната среда; повишаване на инвестициите</w:t>
      </w:r>
    </w:p>
    <w:p>
      <w:pPr>
        <w:pStyle w:val="ListParagraph"/>
        <w:numPr>
          <w:ilvl w:val="0"/>
          <w:numId w:val="34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Предлагане и разпространение: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значително увеличаване на предлагането на висококачествено учене за възрастни, по-специално за придобиване на езикова и математическа грамотност и цифрови умения, и повишаване на разпространението чрез ефективни информационни кампании, насоки и мотивационни стратегии, насочени към най-нуждаещите се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групи</w:t>
      </w:r>
    </w:p>
    <w:p>
      <w:pPr>
        <w:pStyle w:val="ListParagraph"/>
        <w:numPr>
          <w:ilvl w:val="0"/>
          <w:numId w:val="35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Гъвкавост и достъп: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разширяване на достъпа чрез повишаване на възможностите за учене в процеса на работа и ефективно използване на ИКТ; създаване на процедури за идентификация и оценяване на уменията на нискоквалифицираните възрастни и предоставяне на достатъчно възможности за втори шанс, които да водят до получаването на признати съгласно Европейската квалификационна рамка квалификации за тези, които нямат квалификации от степен 3</w:t>
      </w:r>
    </w:p>
    <w:p>
      <w:pPr>
        <w:pStyle w:val="ListParagraph"/>
        <w:numPr>
          <w:ilvl w:val="0"/>
          <w:numId w:val="36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Качество: </w:t>
      </w:r>
      <w:r>
        <w:rPr>
          <w:rFonts w:ascii="Times New Roman" w:hAnsi="Times New Roman" w:cs="Times New Roman"/>
          <w:noProof/>
          <w:sz w:val="24"/>
          <w:szCs w:val="24"/>
        </w:rPr>
        <w:t>подобряване на осигуряването на качеството, включително наблюдението и оценката на въздействието, подобряване на първоначалното и продължаващото обучение на преподавателите за възрастни и събиране на необходимите данни относно потребностите, които действително трябва да бъдат посрещнати, и начините за това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21" w:right="1701" w:bottom="1021" w:left="1588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28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spacing w:after="0" w:line="240" w:lineRule="auto"/>
        <w:ind w:left="0" w:firstLine="0"/>
        <w:rPr>
          <w:lang w:val="en-GB"/>
        </w:rPr>
      </w:pPr>
      <w:r>
        <w:rPr>
          <w:rStyle w:val="FootnoteReference"/>
        </w:rPr>
        <w:footnoteRef/>
      </w:r>
      <w:r>
        <w:t xml:space="preserve"> Неформалното образование играе важна роля за насърчаването на социалното и демократичното участие на младите хора, което е приоритет по линия на Рамката за сътрудничество на ЕС по въпросите на младежта (вж. предстоящия „Доклад на ЕС за младежта за 2015 г.“).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3774440</wp:posOffset>
              </wp:positionV>
              <wp:extent cx="5237480" cy="3142615"/>
              <wp:effectExtent l="342900" t="1409700" r="306070" b="1410335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dtext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  <w:suppressAutoHyphens/>
                            <w:spacing w:after="0" w:line="240" w:lineRule="auto"/>
                            <w:jc w:val="left"/>
                            <w:outlineLvl w:val="0"/>
                          </w:pP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left:0;text-align:left;margin-left:88.6pt;margin-top:297.2pt;width:412.4pt;height:247.45pt;rotation:-45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" filled="f" stroked="f" strokeweight="1pt">
              <v:stroke miterlimit="4"/>
              <v:path arrowok="t"/>
              <v:textbox inset="0,0,0,0">
                <w:txbxContent>
                  <w:p>
                    <w:pPr>
                      <w:pStyle w:val="Brdtext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  <w:suppressAutoHyphens/>
                      <w:spacing w:after="0" w:line="240" w:lineRule="auto"/>
                      <w:jc w:val="left"/>
                      <w:outlineLvl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5B7798"/>
    <w:multiLevelType w:val="multilevel"/>
    <w:tmpl w:val="B82601F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B24081C"/>
    <w:multiLevelType w:val="multilevel"/>
    <w:tmpl w:val="A2122FD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D30EA6"/>
    <w:multiLevelType w:val="multilevel"/>
    <w:tmpl w:val="56C2A6EA"/>
    <w:styleLink w:val="List0"/>
    <w:lvl w:ilvl="0"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</w:abstractNum>
  <w:abstractNum w:abstractNumId="4">
    <w:nsid w:val="0FE56BB3"/>
    <w:multiLevelType w:val="multilevel"/>
    <w:tmpl w:val="F0A8DD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04B2EAE"/>
    <w:multiLevelType w:val="multilevel"/>
    <w:tmpl w:val="F9886196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>
    <w:nsid w:val="13554F3C"/>
    <w:multiLevelType w:val="multilevel"/>
    <w:tmpl w:val="D53625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>
    <w:nsid w:val="18AF35D0"/>
    <w:multiLevelType w:val="multilevel"/>
    <w:tmpl w:val="73588A5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9464EBE"/>
    <w:multiLevelType w:val="multilevel"/>
    <w:tmpl w:val="210E61DE"/>
    <w:lvl w:ilvl="0"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</w:abstractNum>
  <w:abstractNum w:abstractNumId="11">
    <w:nsid w:val="19A32EB5"/>
    <w:multiLevelType w:val="multilevel"/>
    <w:tmpl w:val="29060FA6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A310A9F"/>
    <w:multiLevelType w:val="multilevel"/>
    <w:tmpl w:val="6212AA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AB5421A"/>
    <w:multiLevelType w:val="multilevel"/>
    <w:tmpl w:val="600C4858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C313F0A"/>
    <w:multiLevelType w:val="multilevel"/>
    <w:tmpl w:val="6812F1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5F2472"/>
    <w:multiLevelType w:val="multilevel"/>
    <w:tmpl w:val="AD8A25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970612"/>
    <w:multiLevelType w:val="multilevel"/>
    <w:tmpl w:val="39A862D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1D6557D"/>
    <w:multiLevelType w:val="multilevel"/>
    <w:tmpl w:val="BCDE09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18">
    <w:nsid w:val="232867C5"/>
    <w:multiLevelType w:val="multilevel"/>
    <w:tmpl w:val="9B90831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0">
    <w:nsid w:val="29752FDE"/>
    <w:multiLevelType w:val="multilevel"/>
    <w:tmpl w:val="21BA663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2">
    <w:nsid w:val="2E7B638F"/>
    <w:multiLevelType w:val="multilevel"/>
    <w:tmpl w:val="3DA2FC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23">
    <w:nsid w:val="31B7071E"/>
    <w:multiLevelType w:val="multilevel"/>
    <w:tmpl w:val="68BA36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24">
    <w:nsid w:val="37E058EB"/>
    <w:multiLevelType w:val="multilevel"/>
    <w:tmpl w:val="F4B08E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>
    <w:nsid w:val="3BB12D54"/>
    <w:multiLevelType w:val="multilevel"/>
    <w:tmpl w:val="46C424E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27">
    <w:nsid w:val="3BF73649"/>
    <w:multiLevelType w:val="multilevel"/>
    <w:tmpl w:val="92182D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EE46E37"/>
    <w:multiLevelType w:val="multilevel"/>
    <w:tmpl w:val="29EE19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68947AE"/>
    <w:multiLevelType w:val="multilevel"/>
    <w:tmpl w:val="210AC12C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49115D01"/>
    <w:multiLevelType w:val="multilevel"/>
    <w:tmpl w:val="5ADE72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35">
    <w:nsid w:val="49A6196E"/>
    <w:multiLevelType w:val="multilevel"/>
    <w:tmpl w:val="9964FF4E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B373E02"/>
    <w:multiLevelType w:val="multilevel"/>
    <w:tmpl w:val="1AD6E5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37">
    <w:nsid w:val="4DB67F0E"/>
    <w:multiLevelType w:val="multilevel"/>
    <w:tmpl w:val="2A0468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38">
    <w:nsid w:val="4E42769F"/>
    <w:multiLevelType w:val="multilevel"/>
    <w:tmpl w:val="2AC660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>
    <w:nsid w:val="55A448CE"/>
    <w:multiLevelType w:val="multilevel"/>
    <w:tmpl w:val="87705274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41">
    <w:nsid w:val="5BFB7A0F"/>
    <w:multiLevelType w:val="multilevel"/>
    <w:tmpl w:val="D9E8289A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>
    <w:nsid w:val="68D338F7"/>
    <w:multiLevelType w:val="multilevel"/>
    <w:tmpl w:val="2B9207A0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68DE5CDA"/>
    <w:multiLevelType w:val="multilevel"/>
    <w:tmpl w:val="B1489B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6A3D6936"/>
    <w:multiLevelType w:val="multilevel"/>
    <w:tmpl w:val="2822E60E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48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9">
    <w:nsid w:val="75FB7E37"/>
    <w:multiLevelType w:val="multilevel"/>
    <w:tmpl w:val="99D64BE0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AA020F8"/>
    <w:multiLevelType w:val="multilevel"/>
    <w:tmpl w:val="16E6CB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50"/>
  </w:num>
  <w:num w:numId="5">
    <w:abstractNumId w:val="5"/>
  </w:num>
  <w:num w:numId="6">
    <w:abstractNumId w:val="2"/>
  </w:num>
  <w:num w:numId="7">
    <w:abstractNumId w:val="7"/>
  </w:num>
  <w:num w:numId="8">
    <w:abstractNumId w:val="28"/>
  </w:num>
  <w:num w:numId="9">
    <w:abstractNumId w:val="4"/>
  </w:num>
  <w:num w:numId="10">
    <w:abstractNumId w:val="24"/>
  </w:num>
  <w:num w:numId="11">
    <w:abstractNumId w:val="14"/>
  </w:num>
  <w:num w:numId="12">
    <w:abstractNumId w:val="16"/>
  </w:num>
  <w:num w:numId="13">
    <w:abstractNumId w:val="35"/>
  </w:num>
  <w:num w:numId="14">
    <w:abstractNumId w:val="41"/>
  </w:num>
  <w:num w:numId="15">
    <w:abstractNumId w:val="45"/>
  </w:num>
  <w:num w:numId="16">
    <w:abstractNumId w:val="49"/>
  </w:num>
  <w:num w:numId="17">
    <w:abstractNumId w:val="12"/>
  </w:num>
  <w:num w:numId="18">
    <w:abstractNumId w:val="1"/>
  </w:num>
  <w:num w:numId="19">
    <w:abstractNumId w:val="27"/>
  </w:num>
  <w:num w:numId="20">
    <w:abstractNumId w:val="15"/>
  </w:num>
  <w:num w:numId="21">
    <w:abstractNumId w:val="9"/>
  </w:num>
  <w:num w:numId="22">
    <w:abstractNumId w:val="13"/>
  </w:num>
  <w:num w:numId="23">
    <w:abstractNumId w:val="46"/>
  </w:num>
  <w:num w:numId="24">
    <w:abstractNumId w:val="20"/>
  </w:num>
  <w:num w:numId="25">
    <w:abstractNumId w:val="11"/>
  </w:num>
  <w:num w:numId="26">
    <w:abstractNumId w:val="38"/>
  </w:num>
  <w:num w:numId="27">
    <w:abstractNumId w:val="32"/>
  </w:num>
  <w:num w:numId="28">
    <w:abstractNumId w:val="26"/>
  </w:num>
  <w:num w:numId="29">
    <w:abstractNumId w:val="23"/>
  </w:num>
  <w:num w:numId="30">
    <w:abstractNumId w:val="34"/>
  </w:num>
  <w:num w:numId="31">
    <w:abstractNumId w:val="37"/>
  </w:num>
  <w:num w:numId="32">
    <w:abstractNumId w:val="40"/>
  </w:num>
  <w:num w:numId="33">
    <w:abstractNumId w:val="17"/>
  </w:num>
  <w:num w:numId="34">
    <w:abstractNumId w:val="36"/>
  </w:num>
  <w:num w:numId="35">
    <w:abstractNumId w:val="22"/>
  </w:num>
  <w:num w:numId="36">
    <w:abstractNumId w:val="47"/>
  </w:num>
  <w:num w:numId="37">
    <w:abstractNumId w:val="39"/>
  </w:num>
  <w:num w:numId="38">
    <w:abstractNumId w:val="25"/>
  </w:num>
  <w:num w:numId="39">
    <w:abstractNumId w:val="21"/>
  </w:num>
  <w:num w:numId="40">
    <w:abstractNumId w:val="8"/>
  </w:num>
  <w:num w:numId="41">
    <w:abstractNumId w:val="6"/>
  </w:num>
  <w:num w:numId="42">
    <w:abstractNumId w:val="42"/>
  </w:num>
  <w:num w:numId="43">
    <w:abstractNumId w:val="44"/>
  </w:num>
  <w:num w:numId="44">
    <w:abstractNumId w:val="43"/>
  </w:num>
  <w:num w:numId="45">
    <w:abstractNumId w:val="48"/>
  </w:num>
  <w:num w:numId="46">
    <w:abstractNumId w:val="19"/>
  </w:num>
  <w:num w:numId="47">
    <w:abstractNumId w:val="29"/>
  </w:num>
  <w:num w:numId="48">
    <w:abstractNumId w:val="31"/>
  </w:num>
  <w:num w:numId="49">
    <w:abstractNumId w:val="30"/>
  </w:num>
  <w:num w:numId="50">
    <w:abstractNumId w:val="0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&lt;UNUSED&gt;"/>
    <w:docVar w:name="LW_CONFIDENCE" w:val=" "/>
    <w:docVar w:name="LW_CONST_RESTREINT_UE" w:val="RESTREINT UE"/>
    <w:docVar w:name="LW_CORRIGENDUM" w:val="&lt;UNUSED&gt;"/>
    <w:docVar w:name="LW_COVERPAGE_GUID" w:val="AC27E845CA57461AB0A96B8D0DE3228E"/>
    <w:docVar w:name="LW_CROSSREFERENCE" w:val="{SWD(2015) 161 final}"/>
    <w:docVar w:name="LW_DATE.ADOPT.CP_ISODATE" w:val="&lt;EMPTY&gt;"/>
    <w:docVar w:name="LW_DocType" w:val="NORMAL"/>
    <w:docVar w:name="LW_EMISSION" w:val="26.8.2015"/>
    <w:docVar w:name="LW_EMISSION_ISODATE" w:val="2015-08-26"/>
    <w:docVar w:name="LW_EMISSION_LOCATION" w:val="BRX"/>
    <w:docVar w:name="LW_EMISSION_PREFIX" w:val="Брюксел, "/>
    <w:docVar w:name="LW_EMISSION_SUFFIX" w:val=" \u1075?."/>
    <w:docVar w:name="LW_ID_DOCTYPE_NONLW" w:val="CP-014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408"/>
    <w:docVar w:name="LW_REF.INTERNE" w:val="&lt;UNUSED&gt;"/>
    <w:docVar w:name="LW_SOUS.TITRE.OBJ" w:val="\u1053?\u1086?\u1074?\u1080? \u1087?\u1088?\u1080?\u1086?\u1088?\u1080?\u1090?\u1077?\u1090?\u1080? \u1079?\u1072? \u1077?\u1074?\u1088?\u1086?\u1087?\u1077?\u1081?\u1089?\u1082?\u1086?\u1090?\u1086? \u1089?\u1098?\u1090?\u1088?\u1091?\u1076?\u1085?\u1080?\u1095?\u1077?\u1089?\u1090?\u1074?\u1086? \u1074? \u1086?\u1073?\u1083?\u1072?\u1089?\u1090?\u1090?\u1072? \u1085?\u1072? \u1086?\u1073?\u1088?\u1072?\u1079?\u1086?\u1074?\u1072?\u1085?\u1080?\u1077?\u1090?\u1086? \u1080? \u1086?\u1073?\u1091?\u1095?\u1077?\u1085?\u1080?\u1077?\u1090?\u1086?_x000b_"/>
    <w:docVar w:name="LW_SOUS.TITRE.OBJ.CP" w:val="\u1053?\u1086?\u1074?\u1080? \u1087?\u1088?\u1080?\u1086?\u1088?\u1080?\u1090?\u1077?\u1090?\u1080? \u1079?\u1072? \u1077?\u1074?\u1088?\u1086?\u1087?\u1077?\u1081?\u1089?\u1082?\u1086?\u1090?\u1086? \u1089?\u1098?\u1090?\u1088?\u1091?\u1076?\u1085?\u1080?\u1095?\u1077?\u1089?\u1090?\u1074?\u1086? \u1074? \u1086?\u1073?\u1083?\u1072?\u1089?\u1090?\u1090?\u1072? \u1085?\u1072? \u1086?\u1073?\u1088?\u1072?\u1079?\u1086?\u1074?\u1072?\u1085?\u1080?\u1077?\u1090?\u1086? \u1080? \u1086?\u1073?\u1091?\u1095?\u1077?\u1085?\u1080?\u1077?\u1090?\u1086?_x000b_"/>
    <w:docVar w:name="LW_SUPERTITRE" w:val="&lt;UNUSED&gt;"/>
    <w:docVar w:name="LW_TITRE.OBJ.CP" w:val="\u1055?\u1088?\u1086?\u1077?\u1082?\u1090? \u1085?\u1072? \u1089?\u1098?\u1074?\u1084?\u1077?\u1089?\u1090?\u1077?\u1085? \u1076?\u1086?\u1082?\u1083?\u1072?\u1076? \u1085?\u1072? \u1057?\u1098?\u1074?\u1077?\u1090?\u1072? \u1080? \u1085?\u1072? \u1050?\u1086?\u1084?\u1080?\u1089?\u1080?\u1103?\u1090?\u1072? \u1086?\u1090? 2015 \u1075?. \u1086?\u1090?\u1085?\u1086?\u1089?\u1085?\u1086? \u1080?\u1079?\u1087?\u1098?\u1083?\u1085?\u1077?\u1085?\u1080?\u1077?\u1090?\u1086? \u1085?\u1072? \u1089?\u1090?\u1088?\u1072?\u1090?\u1077?\u1075?\u1080?\u1095?\u1077?\u1089?\u1082?\u1072?\u1090?\u1072? \u1088?\u1072?\u1084?\u1082?\u1072? \u1079?\u1072? \u1077?\u1074?\u1088?\u1086?\u1087?\u1077?\u1081?\u1089?\u1082?\u1086? \u1089?\u1098?\u1090?\u1088?\u1091?\u1076?\u1085?\u1080?\u1095?\u1077?\u1089?\u1090?\u1074?\u1086? \u1074? \u1086?\u1073?\u1083?\u1072?\u1089?\u1090?\u1090?\u1072? \u1085?\u1072? \u1086?\u1073?\u1088?\u1072?\u1079?\u1086?\u1074?\u1072?\u1085?\u1080?\u1077?\u1090?\u1086? \u1080? \u1086?\u1073?\u1091?\u1095?\u1077?\u1085?\u1080?\u1077?\u1090?\u1086? (\u8222?\u1054?\u1073?\u1088?\u1072?\u1079?\u1086?\u1074?\u1072?\u1085?\u1080?\u1077? \u1080? \u1086?\u1073?\u1091?\u1095?\u1077?\u1085?\u1080?\u1077? 2020\u8220?)_x000b_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  <w:docVar w:name="LW_TYPEACTEPRINCIPAL.CP" w:val="&lt;UNUSED&gt;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">
    <w:name w:val="Brödtext"/>
    <w:pPr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spacing w:line="28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aption">
    <w:name w:val="caption"/>
    <w:next w:val="Brdtext"/>
    <w:pPr>
      <w:spacing w:before="120" w:after="120" w:line="280" w:lineRule="atLeast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ZCom">
    <w:name w:val="Z_Com"/>
    <w:next w:val="ZDGName"/>
    <w:pPr>
      <w:widowControl w:val="0"/>
      <w:spacing w:line="280" w:lineRule="atLeast"/>
      <w:ind w:right="85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ZDGName">
    <w:name w:val="Z_DGName"/>
    <w:pPr>
      <w:widowControl w:val="0"/>
      <w:spacing w:line="280" w:lineRule="atLeast"/>
      <w:ind w:right="85"/>
    </w:pPr>
    <w:rPr>
      <w:rFonts w:ascii="Arial" w:hAnsi="Arial Unicode MS" w:cs="Arial Unicode MS"/>
      <w:color w:val="000000"/>
      <w:sz w:val="16"/>
      <w:szCs w:val="16"/>
      <w:u w:color="000000"/>
    </w:rPr>
  </w:style>
  <w:style w:type="paragraph" w:styleId="Date">
    <w:name w:val="Date"/>
    <w:pPr>
      <w:spacing w:line="280" w:lineRule="atLeast"/>
      <w:ind w:left="5103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8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FootnoteText">
    <w:name w:val="footnote text"/>
    <w:link w:val="FootnoteTextChar"/>
    <w:uiPriority w:val="99"/>
    <w:pPr>
      <w:spacing w:after="360" w:line="280" w:lineRule="atLeast"/>
      <w:ind w:left="357" w:hanging="357"/>
      <w:jc w:val="both"/>
    </w:pPr>
    <w:rPr>
      <w:rFonts w:eastAsia="Times New Roman"/>
      <w:color w:val="000000"/>
      <w:u w:color="000000"/>
    </w:rPr>
  </w:style>
  <w:style w:type="paragraph" w:customStyle="1" w:styleId="Text1">
    <w:name w:val="Text 1"/>
    <w:pPr>
      <w:spacing w:after="360" w:line="280" w:lineRule="atLeast"/>
      <w:ind w:left="482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00"/>
      <w:u w:val="single" w:color="000000"/>
      <w:lang w:val="bg-BG"/>
    </w:rPr>
  </w:style>
  <w:style w:type="paragraph" w:customStyle="1" w:styleId="Default">
    <w:name w:val="Default"/>
    <w:pPr>
      <w:spacing w:after="360" w:line="280" w:lineRule="atLeast"/>
      <w:jc w:val="both"/>
    </w:pPr>
    <w:rPr>
      <w:rFonts w:ascii="EUAlbertina" w:eastAsia="EUAlbertina" w:hAnsi="EUAlbertina" w:cs="EUAlbertin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2"/>
    <w:pPr>
      <w:numPr>
        <w:numId w:val="2"/>
      </w:numPr>
    </w:pPr>
  </w:style>
  <w:style w:type="numbering" w:customStyle="1" w:styleId="Importeradestilen2">
    <w:name w:val="Importerade stilen 2"/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radestilen3"/>
    <w:pPr>
      <w:numPr>
        <w:numId w:val="5"/>
      </w:numPr>
    </w:pPr>
  </w:style>
  <w:style w:type="numbering" w:customStyle="1" w:styleId="Importeradestilen3">
    <w:name w:val="Importerade stilen 3"/>
  </w:style>
  <w:style w:type="numbering" w:customStyle="1" w:styleId="List21">
    <w:name w:val="List 21"/>
    <w:basedOn w:val="Importeradestilen4"/>
    <w:pPr>
      <w:numPr>
        <w:numId w:val="25"/>
      </w:numPr>
    </w:pPr>
  </w:style>
  <w:style w:type="numbering" w:customStyle="1" w:styleId="Importeradestilen4">
    <w:name w:val="Importerade stilen 4"/>
  </w:style>
  <w:style w:type="paragraph" w:customStyle="1" w:styleId="Text2">
    <w:name w:val="Text 2"/>
    <w:pPr>
      <w:tabs>
        <w:tab w:val="left" w:pos="2160"/>
      </w:tabs>
      <w:spacing w:after="360" w:line="280" w:lineRule="atLeast"/>
      <w:ind w:left="1077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">
    <w:name w:val="List 31"/>
    <w:basedOn w:val="Importeradestilen5"/>
    <w:pPr>
      <w:numPr>
        <w:numId w:val="13"/>
      </w:numPr>
    </w:pPr>
  </w:style>
  <w:style w:type="numbering" w:customStyle="1" w:styleId="Importeradestilen5">
    <w:name w:val="Importerade stilen 5"/>
  </w:style>
  <w:style w:type="numbering" w:customStyle="1" w:styleId="List41">
    <w:name w:val="List 41"/>
    <w:basedOn w:val="Importeradestilen6"/>
    <w:pPr>
      <w:numPr>
        <w:numId w:val="14"/>
      </w:numPr>
    </w:pPr>
  </w:style>
  <w:style w:type="numbering" w:customStyle="1" w:styleId="Importeradestilen6">
    <w:name w:val="Importerade stilen 6"/>
  </w:style>
  <w:style w:type="numbering" w:customStyle="1" w:styleId="List51">
    <w:name w:val="List 51"/>
    <w:basedOn w:val="Importeradestilen7"/>
    <w:pPr>
      <w:numPr>
        <w:numId w:val="15"/>
      </w:numPr>
    </w:pPr>
  </w:style>
  <w:style w:type="numbering" w:customStyle="1" w:styleId="Importeradestilen7">
    <w:name w:val="Importerade stilen 7"/>
  </w:style>
  <w:style w:type="numbering" w:customStyle="1" w:styleId="List6">
    <w:name w:val="List 6"/>
    <w:basedOn w:val="Importeradestilen8"/>
    <w:pPr>
      <w:numPr>
        <w:numId w:val="16"/>
      </w:numPr>
    </w:pPr>
  </w:style>
  <w:style w:type="numbering" w:customStyle="1" w:styleId="Importeradestilen8">
    <w:name w:val="Importerade stilen 8"/>
  </w:style>
  <w:style w:type="numbering" w:customStyle="1" w:styleId="List7">
    <w:name w:val="List 7"/>
    <w:basedOn w:val="Importeradestilen40"/>
    <w:pPr>
      <w:numPr>
        <w:numId w:val="22"/>
      </w:numPr>
    </w:pPr>
  </w:style>
  <w:style w:type="numbering" w:customStyle="1" w:styleId="Importeradestilen40">
    <w:name w:val="Importerade stilen 4.0"/>
  </w:style>
  <w:style w:type="numbering" w:customStyle="1" w:styleId="List8">
    <w:name w:val="List 8"/>
    <w:basedOn w:val="Importeradestilen9"/>
    <w:pPr>
      <w:numPr>
        <w:numId w:val="24"/>
      </w:numPr>
    </w:pPr>
  </w:style>
  <w:style w:type="numbering" w:customStyle="1" w:styleId="Importeradestilen9">
    <w:name w:val="Importerade stilen 9"/>
  </w:style>
  <w:style w:type="numbering" w:customStyle="1" w:styleId="List9">
    <w:name w:val="List 9"/>
    <w:basedOn w:val="Importeradestilen10"/>
    <w:pPr>
      <w:numPr>
        <w:numId w:val="27"/>
      </w:numPr>
    </w:pPr>
  </w:style>
  <w:style w:type="numbering" w:customStyle="1" w:styleId="Importeradestilen10">
    <w:name w:val="Importerade stilen 10"/>
  </w:style>
  <w:style w:type="character" w:customStyle="1" w:styleId="Hyperlink1">
    <w:name w:val="Hyperlink.1"/>
    <w:basedOn w:val="Lnk"/>
    <w:rPr>
      <w:color w:val="000000"/>
      <w:u w:val="single" w:color="000000"/>
      <w:lang w:val="bg-BG"/>
    </w:rPr>
  </w:style>
  <w:style w:type="numbering" w:customStyle="1" w:styleId="List10">
    <w:name w:val="List 10"/>
    <w:basedOn w:val="Importeradestilen11"/>
    <w:pPr>
      <w:numPr>
        <w:numId w:val="32"/>
      </w:numPr>
    </w:pPr>
  </w:style>
  <w:style w:type="numbering" w:customStyle="1" w:styleId="Importeradestilen11">
    <w:name w:val="Importerade stilen 11"/>
  </w:style>
  <w:style w:type="numbering" w:customStyle="1" w:styleId="List11">
    <w:name w:val="List 11"/>
    <w:basedOn w:val="Importeradestilen12"/>
    <w:pPr>
      <w:numPr>
        <w:numId w:val="36"/>
      </w:numPr>
    </w:pPr>
  </w:style>
  <w:style w:type="numbering" w:customStyle="1" w:styleId="Importeradestilen12">
    <w:name w:val="Importerade stilen 1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u w:color="000000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6"/>
      <w:szCs w:val="16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Contact">
    <w:name w:val="Contact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ind w:left="567" w:hanging="567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">
    <w:name w:val="List Bullet"/>
    <w:basedOn w:val="Normal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Bullet1">
    <w:name w:val="List Bullet 1"/>
    <w:basedOn w:val="Text1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2">
    <w:name w:val="List Bullet 2"/>
    <w:basedOn w:val="Text2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3">
    <w:name w:val="List Bullet 3"/>
    <w:basedOn w:val="Normal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4">
    <w:name w:val="List Bullet 4"/>
    <w:basedOn w:val="Normal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">
    <w:name w:val="List Dash"/>
    <w:basedOn w:val="Normal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1">
    <w:name w:val="List Dash 1"/>
    <w:basedOn w:val="Text1"/>
    <w:pPr>
      <w:numPr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2">
    <w:name w:val="List Dash 2"/>
    <w:basedOn w:val="Text2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3">
    <w:name w:val="List Dash 3"/>
    <w:basedOn w:val="Normal"/>
    <w:pPr>
      <w:numPr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4">
    <w:name w:val="List Dash 4"/>
    <w:basedOn w:val="Normal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">
    <w:name w:val="List Number"/>
    <w:basedOn w:val="Normal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">
    <w:name w:val="List Number 1"/>
    <w:basedOn w:val="Text1"/>
    <w:pPr>
      <w:numPr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2">
    <w:name w:val="List Number 2"/>
    <w:basedOn w:val="Text2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3">
    <w:name w:val="List Number 3"/>
    <w:basedOn w:val="Normal"/>
    <w:pPr>
      <w:numPr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4">
    <w:name w:val="List Number 4"/>
    <w:basedOn w:val="Normal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3">
    <w:name w:val="List Number 2 (Level 3)"/>
    <w:basedOn w:val="Text2"/>
    <w:pPr>
      <w:numPr>
        <w:ilvl w:val="2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4">
    <w:name w:val="List Number 2 (Level 4)"/>
    <w:basedOn w:val="Text2"/>
    <w:pPr>
      <w:numPr>
        <w:ilvl w:val="3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TOC5">
    <w:name w:val="toc 5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240" w:after="120"/>
      <w:ind w:right="720"/>
      <w:jc w:val="both"/>
    </w:pPr>
    <w:rPr>
      <w:rFonts w:eastAsia="Times New Roman"/>
      <w:caps/>
      <w:szCs w:val="20"/>
      <w:bdr w:val="none" w:sz="0" w:space="0" w:color="auto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bg-BG" w:eastAsia="bg-BG"/>
    </w:rPr>
  </w:style>
  <w:style w:type="paragraph" w:styleId="TOCHeading">
    <w:name w:val="TOC Heading"/>
    <w:basedOn w:val="Normal"/>
    <w:next w:val="Normal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eastAsia="Times New Roman"/>
      <w:b/>
      <w:szCs w:val="20"/>
      <w:bdr w:val="none" w:sz="0" w:space="0" w:color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bg-BG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">
    <w:name w:val="Brödtext"/>
    <w:pPr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spacing w:line="28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aption">
    <w:name w:val="caption"/>
    <w:next w:val="Brdtext"/>
    <w:pPr>
      <w:spacing w:before="120" w:after="120" w:line="280" w:lineRule="atLeast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ZCom">
    <w:name w:val="Z_Com"/>
    <w:next w:val="ZDGName"/>
    <w:pPr>
      <w:widowControl w:val="0"/>
      <w:spacing w:line="280" w:lineRule="atLeast"/>
      <w:ind w:right="85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ZDGName">
    <w:name w:val="Z_DGName"/>
    <w:pPr>
      <w:widowControl w:val="0"/>
      <w:spacing w:line="280" w:lineRule="atLeast"/>
      <w:ind w:right="85"/>
    </w:pPr>
    <w:rPr>
      <w:rFonts w:ascii="Arial" w:hAnsi="Arial Unicode MS" w:cs="Arial Unicode MS"/>
      <w:color w:val="000000"/>
      <w:sz w:val="16"/>
      <w:szCs w:val="16"/>
      <w:u w:color="000000"/>
    </w:rPr>
  </w:style>
  <w:style w:type="paragraph" w:styleId="Date">
    <w:name w:val="Date"/>
    <w:pPr>
      <w:spacing w:line="280" w:lineRule="atLeast"/>
      <w:ind w:left="5103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8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FootnoteText">
    <w:name w:val="footnote text"/>
    <w:link w:val="FootnoteTextChar"/>
    <w:uiPriority w:val="99"/>
    <w:pPr>
      <w:spacing w:after="360" w:line="280" w:lineRule="atLeast"/>
      <w:ind w:left="357" w:hanging="357"/>
      <w:jc w:val="both"/>
    </w:pPr>
    <w:rPr>
      <w:rFonts w:eastAsia="Times New Roman"/>
      <w:color w:val="000000"/>
      <w:u w:color="000000"/>
    </w:rPr>
  </w:style>
  <w:style w:type="paragraph" w:customStyle="1" w:styleId="Text1">
    <w:name w:val="Text 1"/>
    <w:pPr>
      <w:spacing w:after="360" w:line="280" w:lineRule="atLeast"/>
      <w:ind w:left="482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00"/>
      <w:u w:val="single" w:color="000000"/>
      <w:lang w:val="bg-BG"/>
    </w:rPr>
  </w:style>
  <w:style w:type="paragraph" w:customStyle="1" w:styleId="Default">
    <w:name w:val="Default"/>
    <w:pPr>
      <w:spacing w:after="360" w:line="280" w:lineRule="atLeast"/>
      <w:jc w:val="both"/>
    </w:pPr>
    <w:rPr>
      <w:rFonts w:ascii="EUAlbertina" w:eastAsia="EUAlbertina" w:hAnsi="EUAlbertina" w:cs="EUAlbertin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2"/>
    <w:pPr>
      <w:numPr>
        <w:numId w:val="2"/>
      </w:numPr>
    </w:pPr>
  </w:style>
  <w:style w:type="numbering" w:customStyle="1" w:styleId="Importeradestilen2">
    <w:name w:val="Importerade stilen 2"/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radestilen3"/>
    <w:pPr>
      <w:numPr>
        <w:numId w:val="5"/>
      </w:numPr>
    </w:pPr>
  </w:style>
  <w:style w:type="numbering" w:customStyle="1" w:styleId="Importeradestilen3">
    <w:name w:val="Importerade stilen 3"/>
  </w:style>
  <w:style w:type="numbering" w:customStyle="1" w:styleId="List21">
    <w:name w:val="List 21"/>
    <w:basedOn w:val="Importeradestilen4"/>
    <w:pPr>
      <w:numPr>
        <w:numId w:val="25"/>
      </w:numPr>
    </w:pPr>
  </w:style>
  <w:style w:type="numbering" w:customStyle="1" w:styleId="Importeradestilen4">
    <w:name w:val="Importerade stilen 4"/>
  </w:style>
  <w:style w:type="paragraph" w:customStyle="1" w:styleId="Text2">
    <w:name w:val="Text 2"/>
    <w:pPr>
      <w:tabs>
        <w:tab w:val="left" w:pos="2160"/>
      </w:tabs>
      <w:spacing w:after="360" w:line="280" w:lineRule="atLeast"/>
      <w:ind w:left="1077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">
    <w:name w:val="List 31"/>
    <w:basedOn w:val="Importeradestilen5"/>
    <w:pPr>
      <w:numPr>
        <w:numId w:val="13"/>
      </w:numPr>
    </w:pPr>
  </w:style>
  <w:style w:type="numbering" w:customStyle="1" w:styleId="Importeradestilen5">
    <w:name w:val="Importerade stilen 5"/>
  </w:style>
  <w:style w:type="numbering" w:customStyle="1" w:styleId="List41">
    <w:name w:val="List 41"/>
    <w:basedOn w:val="Importeradestilen6"/>
    <w:pPr>
      <w:numPr>
        <w:numId w:val="14"/>
      </w:numPr>
    </w:pPr>
  </w:style>
  <w:style w:type="numbering" w:customStyle="1" w:styleId="Importeradestilen6">
    <w:name w:val="Importerade stilen 6"/>
  </w:style>
  <w:style w:type="numbering" w:customStyle="1" w:styleId="List51">
    <w:name w:val="List 51"/>
    <w:basedOn w:val="Importeradestilen7"/>
    <w:pPr>
      <w:numPr>
        <w:numId w:val="15"/>
      </w:numPr>
    </w:pPr>
  </w:style>
  <w:style w:type="numbering" w:customStyle="1" w:styleId="Importeradestilen7">
    <w:name w:val="Importerade stilen 7"/>
  </w:style>
  <w:style w:type="numbering" w:customStyle="1" w:styleId="List6">
    <w:name w:val="List 6"/>
    <w:basedOn w:val="Importeradestilen8"/>
    <w:pPr>
      <w:numPr>
        <w:numId w:val="16"/>
      </w:numPr>
    </w:pPr>
  </w:style>
  <w:style w:type="numbering" w:customStyle="1" w:styleId="Importeradestilen8">
    <w:name w:val="Importerade stilen 8"/>
  </w:style>
  <w:style w:type="numbering" w:customStyle="1" w:styleId="List7">
    <w:name w:val="List 7"/>
    <w:basedOn w:val="Importeradestilen40"/>
    <w:pPr>
      <w:numPr>
        <w:numId w:val="22"/>
      </w:numPr>
    </w:pPr>
  </w:style>
  <w:style w:type="numbering" w:customStyle="1" w:styleId="Importeradestilen40">
    <w:name w:val="Importerade stilen 4.0"/>
  </w:style>
  <w:style w:type="numbering" w:customStyle="1" w:styleId="List8">
    <w:name w:val="List 8"/>
    <w:basedOn w:val="Importeradestilen9"/>
    <w:pPr>
      <w:numPr>
        <w:numId w:val="24"/>
      </w:numPr>
    </w:pPr>
  </w:style>
  <w:style w:type="numbering" w:customStyle="1" w:styleId="Importeradestilen9">
    <w:name w:val="Importerade stilen 9"/>
  </w:style>
  <w:style w:type="numbering" w:customStyle="1" w:styleId="List9">
    <w:name w:val="List 9"/>
    <w:basedOn w:val="Importeradestilen10"/>
    <w:pPr>
      <w:numPr>
        <w:numId w:val="27"/>
      </w:numPr>
    </w:pPr>
  </w:style>
  <w:style w:type="numbering" w:customStyle="1" w:styleId="Importeradestilen10">
    <w:name w:val="Importerade stilen 10"/>
  </w:style>
  <w:style w:type="character" w:customStyle="1" w:styleId="Hyperlink1">
    <w:name w:val="Hyperlink.1"/>
    <w:basedOn w:val="Lnk"/>
    <w:rPr>
      <w:color w:val="000000"/>
      <w:u w:val="single" w:color="000000"/>
      <w:lang w:val="bg-BG"/>
    </w:rPr>
  </w:style>
  <w:style w:type="numbering" w:customStyle="1" w:styleId="List10">
    <w:name w:val="List 10"/>
    <w:basedOn w:val="Importeradestilen11"/>
    <w:pPr>
      <w:numPr>
        <w:numId w:val="32"/>
      </w:numPr>
    </w:pPr>
  </w:style>
  <w:style w:type="numbering" w:customStyle="1" w:styleId="Importeradestilen11">
    <w:name w:val="Importerade stilen 11"/>
  </w:style>
  <w:style w:type="numbering" w:customStyle="1" w:styleId="List11">
    <w:name w:val="List 11"/>
    <w:basedOn w:val="Importeradestilen12"/>
    <w:pPr>
      <w:numPr>
        <w:numId w:val="36"/>
      </w:numPr>
    </w:pPr>
  </w:style>
  <w:style w:type="numbering" w:customStyle="1" w:styleId="Importeradestilen12">
    <w:name w:val="Importerade stilen 1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bg-BG" w:eastAsia="bg-BG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u w:color="000000"/>
      <w:lang w:val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6"/>
      <w:szCs w:val="16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Contact">
    <w:name w:val="Contact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ind w:left="567" w:hanging="567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">
    <w:name w:val="List Bullet"/>
    <w:basedOn w:val="Normal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Bullet1">
    <w:name w:val="List Bullet 1"/>
    <w:basedOn w:val="Text1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2">
    <w:name w:val="List Bullet 2"/>
    <w:basedOn w:val="Text2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3">
    <w:name w:val="List Bullet 3"/>
    <w:basedOn w:val="Normal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4">
    <w:name w:val="List Bullet 4"/>
    <w:basedOn w:val="Normal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">
    <w:name w:val="List Dash"/>
    <w:basedOn w:val="Normal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1">
    <w:name w:val="List Dash 1"/>
    <w:basedOn w:val="Text1"/>
    <w:pPr>
      <w:numPr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2">
    <w:name w:val="List Dash 2"/>
    <w:basedOn w:val="Text2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3">
    <w:name w:val="List Dash 3"/>
    <w:basedOn w:val="Normal"/>
    <w:pPr>
      <w:numPr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4">
    <w:name w:val="List Dash 4"/>
    <w:basedOn w:val="Normal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">
    <w:name w:val="List Number"/>
    <w:basedOn w:val="Normal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">
    <w:name w:val="List Number 1"/>
    <w:basedOn w:val="Text1"/>
    <w:pPr>
      <w:numPr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2">
    <w:name w:val="List Number 2"/>
    <w:basedOn w:val="Text2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3">
    <w:name w:val="List Number 3"/>
    <w:basedOn w:val="Normal"/>
    <w:pPr>
      <w:numPr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4">
    <w:name w:val="List Number 4"/>
    <w:basedOn w:val="Normal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3">
    <w:name w:val="List Number 2 (Level 3)"/>
    <w:basedOn w:val="Text2"/>
    <w:pPr>
      <w:numPr>
        <w:ilvl w:val="2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4">
    <w:name w:val="List Number 2 (Level 4)"/>
    <w:basedOn w:val="Text2"/>
    <w:pPr>
      <w:numPr>
        <w:ilvl w:val="3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TOC5">
    <w:name w:val="toc 5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240" w:after="120"/>
      <w:ind w:right="720"/>
      <w:jc w:val="both"/>
    </w:pPr>
    <w:rPr>
      <w:rFonts w:eastAsia="Times New Roman"/>
      <w:caps/>
      <w:szCs w:val="20"/>
      <w:bdr w:val="none" w:sz="0" w:space="0" w:color="auto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bg-BG" w:eastAsia="bg-BG"/>
    </w:rPr>
  </w:style>
  <w:style w:type="paragraph" w:styleId="TOCHeading">
    <w:name w:val="TOC Heading"/>
    <w:basedOn w:val="Normal"/>
    <w:next w:val="Normal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eastAsia="Times New Roman"/>
      <w:b/>
      <w:szCs w:val="20"/>
      <w:bdr w:val="none" w:sz="0" w:space="0" w:color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ts val="2800"/>
          </a:lnSpc>
          <a:spcBef>
            <a:spcPts val="1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EF3DD52A00642B1CF603C340C58E0" ma:contentTypeVersion="0" ma:contentTypeDescription="Create a new document." ma:contentTypeScope="" ma:versionID="77c9195bc15cc93ca92ef0b19dd5c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15F35-CF0E-4825-BE43-E2997D115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01CF6-B29B-47A7-8768-E9227F92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501E5-ABE3-4E6A-A499-B034D2309C9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552C3B-73A9-4D75-8D73-D31BA42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60</TotalTime>
  <Pages>16</Pages>
  <Words>5045</Words>
  <Characters>31939</Characters>
  <Application>Microsoft Office Word</Application>
  <DocSecurity>0</DocSecurity>
  <Lines>725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35</cp:revision>
  <cp:lastPrinted>2015-07-15T13:35:00Z</cp:lastPrinted>
  <dcterms:created xsi:type="dcterms:W3CDTF">2015-08-11T12:49:00Z</dcterms:created>
  <dcterms:modified xsi:type="dcterms:W3CDTF">2015-08-27T07:24:00Z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ContentTypeId">
    <vt:lpwstr>0x010100930EF3DD52A00642B1CF603C340C58E0</vt:lpwstr>
  </property>
  <property fmtid="{D5CDD505-2E9C-101B-9397-08002B2CF9AE}" pid="6" name="ELDocType">
    <vt:lpwstr>NOT.DOT</vt:lpwstr>
  </property>
  <property fmtid="{D5CDD505-2E9C-101B-9397-08002B2CF9AE}" pid="7" name="Created using">
    <vt:lpwstr>3.0</vt:lpwstr>
  </property>
  <property fmtid="{D5CDD505-2E9C-101B-9397-08002B2CF9AE}" pid="8" name="Last edited using">
    <vt:lpwstr>EL </vt:lpwstr>
  </property>
  <property fmtid="{D5CDD505-2E9C-101B-9397-08002B2CF9AE}" pid="9" name="DocStatus">
    <vt:lpwstr>Green</vt:lpwstr>
  </property>
</Properties>
</file>