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9D8A837E852463782C4A85D2C0ED73F" style="width:450.75pt;height:307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_GoBack"/>
      <w:bookmarkEnd w:id="1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СЪОБЩЕНИЕ НА КОМИСИЯТА ДО СЪВЕТА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Участието на Европейския съюз в Седмата министерска конференция за защита на горите в Европа — „Forest Europe“ (Мадрид, 20—21 октомври 2015 г.)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Седмата министерска конференция „Forest Europe“ ще се проведе в Мадрид на 20—21 октомври 2015 г. В конференцията, която се организира съвместно от Испания и Словакия, ще участват повече от 40 европейски държави, сред които всички държави — членки на Европейския съюз, както и Европейският съюз, представляван от Европейската комисия.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Обсъждането на политиката за горите в рамките на министерски конференции, което през 2009 г. бе преименуванo на „Forest Europe“, представлява междуправителствен процес, направляван от съответните държави, чието начало беше поставено през 1990 г. с цел насърчаване на устойчивото управление на горите в Европа. То се осъществява чрез доброволни ангажименти, поети от страните по него, които понастоящем са 47. Европейският съюз участва в процеса от самото начало и досега е подписал всички резолюции и декларации.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От 1990 г. досега са били проведени шест министерски конференции „Forest Europe“ (известни преди като министерски конференции за защита на горите в Европа). 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Първата министерска конференция, състояла се през декември 1990 г. в Страсбург, бе посветена до голяма степен на наблюдението и защитата на горите, както и на въпроси, свързани с изследователската дейност в областта на горите.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 втората, проведена през юни 1993 г. в Хелзинки, бяха разгледани най-вече устойчивото управление на горите, опазването на биологичното разнообразие в тях, взаимовръзката между горите и климата, както и въпроси във връзка с горите в държавите от Централна и Източна Европа. 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 третата, проведена през юни 1998 г. в Лисабон, основният акцент бе върху социално-икономическите аспекти на сектора на горското стопанство в Европа, критериите и показателите за устойчиво управление на горите и опазването на биологичното и ландшафтното разнообразие на горите. 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 Четвъртата министерска конференция, състояла се през април 2003 г. във Виена, бе обърнато внимание основно на включването на устойчивото управление на горите в по-широкия контекст на устойчивото развитие. 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 петата, проведена във Варшава през ноември 2007 г., бяха разгледани две основни теми: взаимовръзката между горите, дървения материал и енергетиката, и между горите и водите.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Последната министерска конференция бе свикана през юни 2011 г. в Осло, Норвегия. На нея министрите приеха европейски цели за 2020 г. по отношение на опазването и устойчивото управление на горите и взеха решение да започнат  преговори за правно обвързващо споразумение за горите в Европа.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 тези шест конференции Комисията взе участие от името на Европейския съюз и подписа заключителните актове редом с държавите членки.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Както и в случая с предишните конференции, Седмата министерска конференция „Forest Europe“ е крачка напред към прилагането спрямо горите в Европа на различните ангажименти, поети по време на Конференцията на Обединените нации по околна среда и развитие, проведена в Рио де Жанейро през 1992 г., в това число Конвенцията за биологичното разнообразие, Конвенцията за борба с опустиняването и Рамковата конвенция по изменение на климата, както и ангажиментите, поети на Световната среща на върха за устойчиво развитие, проведена в Йоханесбург през 2002 г., и на Форума на ООН по горите (ФООНГ, от 2000 г. до момента).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 Седмата министерска конференция „Forest Europe“ в Мадрид ще бъдат разгледани следните теми: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- зелена икономика и социални аспекти на устойчивото управление на горите,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- защита на горите в контекста на една изменяща се околна среда,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- бъдещата посока на „Forest Europe“.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Очаква се на министрите да бъдат представени обща декларация и две резолюции, свързани съответно с първите две посочени по-горе теми. Предложените декларация и резолюции не представляват правно обвързващи инструменти; с тях участниците в конференцията поемат политически ангажименти. В допълнение се очаква на министрите да бъде представено „решение“, което да се приеме с консенсус, относно бъдещата посока на „Forest Europe“.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Ресорните служби на Комисията участваха активно в подготвителния етап на тази конференция с оглед изготвянето на правно необвързващите декларация и резолюции. Всички съставни части на декларацията и резолюциите са в съответствие с текущо провежданите политики.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Участието на Европейския съюз в конференцията се налага поради следните причини:</w:t>
      </w:r>
    </w:p>
    <w:p>
      <w:pPr>
        <w:tabs>
          <w:tab w:val="num" w:pos="850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— Конференцията е свързана с изпълнението на общоевропейско равнище на международните ангажименти, поети не само от държавите членки, но и от Европейския съюз,</w:t>
      </w:r>
    </w:p>
    <w:p>
      <w:pPr>
        <w:tabs>
          <w:tab w:val="num" w:pos="850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— като страна по резолюциите от Страсбург, Хелзинки, Лисабон, Виена, Варшава и Осло Европейският съюз взема непосредствено участие в свързаните с тях последващи действия и изпълнение,</w:t>
      </w:r>
    </w:p>
    <w:p>
      <w:pPr>
        <w:tabs>
          <w:tab w:val="num" w:pos="850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— с резолюциите от Страсбург, Хелзинки, Лисабон, Виена, Варшава и Осло, както и с планираните за Мадрид резолюции държавите в Европа са си изготвили подробни насоки за политиката за горите, определящи общи цели и засилващи координацията и сътрудничеството в тази област. Това е в съответствие с новата стратегия на ЕС за горите и сектора на горското стопанство</w:t>
      </w:r>
      <w:r>
        <w:rPr>
          <w:rFonts w:ascii="Times New Roman" w:hAnsi="Times New Roman"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</w:rPr>
        <w:t>, както и свързаните с нея заключения на Съвета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и доклад по собствена инициатива от Европейския парламент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>. И двата горепосочени документа подкрепят предложението от стратегията на ЕС за горите да се подобри координацията и сътрудничеството между Комисията и държавите членки, както и между държавите членки, във всички области на политика, свързани със сектора на горското стопанство,</w:t>
      </w:r>
    </w:p>
    <w:p>
      <w:pPr>
        <w:tabs>
          <w:tab w:val="num" w:pos="850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— темите на Конференцията са свързани с области, частично обхванати от мерките по отношение на горското стопанство на Съюза, особено мерките, свързани с Регламента за развитие на селските райони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>, Седмата програма за действие за околната среда</w:t>
      </w:r>
      <w:r>
        <w:rPr>
          <w:rFonts w:ascii="Times New Roman" w:hAnsi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>, Рамковата програма на ЕС за научни изследвания и иновации „Хоризонт 2020“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>, както и с целите на политиките на ЕС, включително развитието на селските райони, климат, енергетика, околна среда и биологично разнообразие, научноизследователска дейност и технологично развитие.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резултат на това Комисията ще:</w:t>
      </w:r>
    </w:p>
    <w:p>
      <w:pPr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Участва, от името на Европейския съюз и редом с държавите членки, в Седмата министерска конференция за защита на горите в Европа — „Forest Europe“, която ще се проведе в Мадрид на 20 и 21 октомври 2015 г.</w:t>
      </w:r>
    </w:p>
    <w:p>
      <w:pPr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Подпише актовете, произтичащи от Конференцията, от името на Европейския съюз. Подписът на Комисията не представлява ангажимент за съвместни мерки, попадащи извън правомощията на Европейския съюз.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АКТОВЕ, КОИТО ЩЕ БЪДАТ ПРИЕТИ НА СЕДМАТА МИНИСТЕРСКА КОНФЕРЕНЦИЯ ЗА ЗАЩИТА НА ГОРИТЕ В ЕВРОПА „FOREST EUROPE“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декларация от Мадрид „25 години заедно за насърчаване на устойчивото управление на горите в Европа“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резолюция от Мадрид № 1: „Секторът на горите в центъра на зелената икономика“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резолюция от Мадрид № 2: „Защита на горите в контекста на една изменяща се околна среда“.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ДОПЪЛНИТЕЛНИ ДОКУМЕНТИ: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Проект на министерска декларация относно „Бъдещата посока на „FOREST EUROPE“.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3279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COM(2013) 659 final; Съобщение на Комисията „Нова стратегия на ЕС за горите: за горите и сектора на горското стопанство“.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http://www.consilium.europa.eu/uedocs/cms_data/docs/pressdata/en/agricult/142685.pdf</w:t>
        </w:r>
      </w:hyperlink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http://www.europarl.europa.eu/sides/getDoc.do?type=TA&amp;reference=P8-TA-2015-0109&amp;language=EN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Регламент (ЕС) № 1305/2013 на Европейския парламент и на Съвета  от 17 декември 2013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Решение № 1386/2013/ЕС.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>
        <w:r>
          <w:rPr>
            <w:rStyle w:val="Hyperlink"/>
          </w:rPr>
          <w:t>COM/2011/0808</w:t>
        </w:r>
      </w:hyperlink>
      <w:r>
        <w:t xml:space="preserve"> „Хоризонт 2020“ — Рамкова програма за научни изследвания и иновации“.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A93"/>
    <w:multiLevelType w:val="hybridMultilevel"/>
    <w:tmpl w:val="5CA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49D8A837E852463782C4A85D2C0ED73F"/>
    <w:docVar w:name="LW_CROSSREFERENCE" w:val="&lt;UNUSED&gt;"/>
    <w:docVar w:name="LW_DocType" w:val="NORMAL"/>
    <w:docVar w:name="LW_EMISSION" w:val="1.9.2015"/>
    <w:docVar w:name="LW_EMISSION_ISODATE" w:val="2015-09-01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414"/>
    <w:docVar w:name="LW_REF.INTERNE" w:val="&lt;UNUSED&gt;"/>
    <w:docVar w:name="LW_SOUS.TITRE.OBJ.CP" w:val="&lt;UNUSED&gt;"/>
    <w:docVar w:name="LW_SUPERTITRE" w:val="&lt;UNUSED&gt;"/>
    <w:docVar w:name="LW_TITRE.OBJ.CP" w:val="\u1059?\u1095?\u1072?\u1089?\u1090?\u1080?\u1077?\u1090?\u1086? \u1085?\u1072? \u1045?\u1074?\u1088?\u1086?\u1087?\u1077?\u1081?\u1089?\u1082?\u1080?\u1103? \u1089?\u1098?\u1102?\u1079? \u1074? \u1057?\u1077?\u1076?\u1084?\u1072?\u1090?\u1072? \u1084?\u1080?\u1085?\u1080?\u1089?\u1090?\u1077?\u1088?\u1089?\u1082?\u1072? \u1082?\u1086?\u1085?\u1092?\u1077?\u1088?\u1077?\u1085?\u1094?\u1080?\u1103? \u1079?\u1072? \u1079?\u1072?\u1097?\u1080?\u1090?\u1072? \u1085?\u1072? \u1075?\u1086?\u1088?\u1080?\u1090?\u1077? \u1074? \u1045?\u1074?\u1088?\u1086?\u1087?\u1072? \u8212? \u8222?Forest Europe\u8220? (\u1052?\u1072?\u1076?\u1088?\u1080?\u1076?, 20\u8212?21 \u1086?\u1082?\u1090?\u1086?\u1084?\u1074?\u1088?\u1080? 2015 \u1075?.)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xUriServ/LexUriServ.do?uri=CELEX:52011DC0808:BG:NOT" TargetMode="External"/><Relationship Id="rId1" Type="http://schemas.openxmlformats.org/officeDocument/2006/relationships/hyperlink" Target="http://www.consilium.europa.eu/uedocs/cms_data/docs/pressdata/en/agricult/14268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1034</Words>
  <Characters>5978</Characters>
  <Application>Microsoft Office Word</Application>
  <DocSecurity>0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2015-07-31T07:25:00Z</cp:lastPrinted>
  <dcterms:created xsi:type="dcterms:W3CDTF">2015-08-03T14:33:00Z</dcterms:created>
  <dcterms:modified xsi:type="dcterms:W3CDTF">2015-08-24T13:02:00Z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