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42EF6BD58764DD6A9896A306C612E86" style="width:450.35pt;height:352.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1"/>
      </w:r>
      <w:r>
        <w:rPr>
          <w:noProof/>
        </w:rPr>
        <w:t xml:space="preserve"> („Регламентът за ЕФПГ“).</w:t>
      </w:r>
    </w:p>
    <w:p>
      <w:pPr>
        <w:pStyle w:val="ManualNumPar1"/>
        <w:rPr>
          <w:noProof/>
        </w:rPr>
      </w:pPr>
      <w:r>
        <w:t>2.</w:t>
      </w:r>
      <w:r>
        <w:tab/>
      </w:r>
      <w:r>
        <w:rPr>
          <w:noProof/>
        </w:rPr>
        <w:t>На 26 февруари 2015 г. Германия подаде заявление EGF/2015/002 DE/Adam Opel за предоставяне на финансово участие от ЕФПГ във връзка с извършени съкращения</w:t>
      </w:r>
      <w:r>
        <w:rPr>
          <w:rStyle w:val="FootnoteReference"/>
          <w:noProof/>
        </w:rPr>
        <w:footnoteReference w:id="2"/>
      </w:r>
      <w:r>
        <w:rPr>
          <w:noProof/>
        </w:rPr>
        <w:t xml:space="preserve"> в Adam Opel AG и при един доставчик в Германия.</w:t>
      </w:r>
    </w:p>
    <w:p>
      <w:pPr>
        <w:pStyle w:val="ManualNumPar1"/>
        <w:rPr>
          <w:noProof/>
        </w:rPr>
      </w:pPr>
      <w:r>
        <w:t>3.</w:t>
      </w:r>
      <w:r>
        <w:tab/>
      </w:r>
      <w:r>
        <w:rPr>
          <w:noProof/>
        </w:rPr>
        <w:t>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shd w:val="clear" w:color="auto" w:fill="auto"/>
          </w:tcPr>
          <w:p>
            <w:pPr>
              <w:spacing w:before="60" w:after="60"/>
              <w:ind w:rightChars="192" w:right="461"/>
              <w:jc w:val="left"/>
              <w:rPr>
                <w:rFonts w:eastAsia="Calibri"/>
                <w:noProof/>
              </w:rPr>
            </w:pPr>
            <w:r>
              <w:rPr>
                <w:noProof/>
              </w:rPr>
              <w:t>EGF/2015/002 DE/Adam Opel</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shd w:val="clear" w:color="auto" w:fill="auto"/>
          </w:tcPr>
          <w:p>
            <w:pPr>
              <w:spacing w:before="60" w:after="60"/>
              <w:ind w:rightChars="192" w:right="461"/>
              <w:jc w:val="left"/>
              <w:rPr>
                <w:rFonts w:eastAsia="Calibri"/>
                <w:noProof/>
              </w:rPr>
            </w:pPr>
            <w:r>
              <w:rPr>
                <w:noProof/>
              </w:rPr>
              <w:t>Германия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Съответен район (съответни райони) (ниво 2 по NUTS):</w:t>
            </w:r>
          </w:p>
        </w:tc>
        <w:tc>
          <w:tcPr>
            <w:tcW w:w="4379" w:type="dxa"/>
            <w:tcBorders>
              <w:bottom w:val="single" w:sz="4" w:space="0" w:color="auto"/>
            </w:tcBorders>
            <w:shd w:val="clear" w:color="auto" w:fill="auto"/>
          </w:tcPr>
          <w:p>
            <w:pPr>
              <w:spacing w:before="0" w:after="0"/>
              <w:ind w:rightChars="192" w:right="461"/>
              <w:jc w:val="left"/>
              <w:rPr>
                <w:noProof/>
                <w:szCs w:val="24"/>
              </w:rPr>
            </w:pPr>
            <w:r>
              <w:rPr>
                <w:noProof/>
              </w:rPr>
              <w:t>Arnsberg (DE A5)</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26 февруари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12 март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12 март 2015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23 април 2015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t>Срок за приключване на оценката</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16 юли 2015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shd w:val="clear" w:color="auto" w:fill="auto"/>
          </w:tcPr>
          <w:p>
            <w:pPr>
              <w:spacing w:before="60" w:after="60"/>
              <w:ind w:rightChars="192" w:right="461"/>
              <w:jc w:val="left"/>
              <w:rPr>
                <w:rFonts w:eastAsia="Calibri"/>
                <w:noProof/>
              </w:rPr>
            </w:pPr>
            <w:r>
              <w:rPr>
                <w:noProof/>
              </w:rPr>
              <w:t>член 4, параграф 1, буква а)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Основно предприятие</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Adam Opel AG</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2</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(Разделение по NACE Revision 2)</w:t>
            </w:r>
            <w:r>
              <w:rPr>
                <w:rStyle w:val="FootnoteReference"/>
                <w:noProof/>
              </w:rPr>
              <w:footnoteReference w:id="3"/>
            </w:r>
          </w:p>
        </w:tc>
        <w:tc>
          <w:tcPr>
            <w:tcW w:w="4379" w:type="dxa"/>
            <w:shd w:val="clear" w:color="auto" w:fill="auto"/>
          </w:tcPr>
          <w:p>
            <w:pPr>
              <w:spacing w:before="60" w:after="60"/>
              <w:ind w:rightChars="192" w:right="461"/>
              <w:jc w:val="left"/>
              <w:rPr>
                <w:rFonts w:eastAsia="Calibri"/>
                <w:noProof/>
              </w:rPr>
            </w:pPr>
            <w:r>
              <w:rPr>
                <w:noProof/>
              </w:rPr>
              <w:t>Разделение 29 („Производство на автомобили, ремаркета и полуремаркета“)</w:t>
            </w:r>
          </w:p>
        </w:tc>
      </w:tr>
      <w:tr>
        <w:tc>
          <w:tcPr>
            <w:tcW w:w="4908" w:type="dxa"/>
            <w:shd w:val="clear" w:color="auto" w:fill="auto"/>
          </w:tcPr>
          <w:p>
            <w:pPr>
              <w:spacing w:before="60" w:after="60"/>
              <w:jc w:val="left"/>
              <w:rPr>
                <w:rFonts w:eastAsia="Calibri"/>
                <w:noProof/>
              </w:rPr>
            </w:pPr>
            <w:r>
              <w:rPr>
                <w:noProof/>
              </w:rPr>
              <w:br w:type="page"/>
              <w:t>Брой дъщерни предприятия, доставчици и производители надолу по веригата</w:t>
            </w:r>
          </w:p>
        </w:tc>
        <w:tc>
          <w:tcPr>
            <w:tcW w:w="4379" w:type="dxa"/>
            <w:shd w:val="clear" w:color="auto" w:fill="auto"/>
          </w:tcPr>
          <w:p>
            <w:pPr>
              <w:spacing w:before="60" w:after="60"/>
              <w:ind w:rightChars="192" w:right="461"/>
              <w:jc w:val="left"/>
              <w:rPr>
                <w:rFonts w:eastAsia="Calibri"/>
                <w:noProof/>
              </w:rPr>
            </w:pPr>
            <w:r>
              <w:rPr>
                <w:noProof/>
              </w:rPr>
              <w:t>1</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lastRenderedPageBreak/>
              <w:t>Референтен период от четири месеца:</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15 август 2014 г. – 15 декември 2014 г.</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 xml:space="preserve">Брой на съкращенията по време на референтния период </w:t>
            </w:r>
            <w:r>
              <w:rPr>
                <w:i/>
                <w:noProof/>
              </w:rPr>
              <w:t>а)</w:t>
            </w:r>
          </w:p>
        </w:tc>
        <w:tc>
          <w:tcPr>
            <w:tcW w:w="4379" w:type="dxa"/>
            <w:tcBorders>
              <w:bottom w:val="dotted" w:sz="4" w:space="0" w:color="auto"/>
            </w:tcBorders>
            <w:shd w:val="clear" w:color="auto" w:fill="auto"/>
          </w:tcPr>
          <w:p>
            <w:pPr>
              <w:spacing w:before="60" w:after="60"/>
              <w:ind w:rightChars="192" w:right="461"/>
              <w:jc w:val="left"/>
              <w:rPr>
                <w:noProof/>
              </w:rPr>
            </w:pPr>
            <w:r>
              <w:rPr>
                <w:noProof/>
              </w:rPr>
              <w:t>2881</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highlight w:val="magenta"/>
              </w:rPr>
            </w:pPr>
            <w:r>
              <w:rPr>
                <w:noProof/>
              </w:rPr>
              <w:t xml:space="preserve">Брой на съкращенията преди и след референтния период </w:t>
            </w:r>
            <w:r>
              <w:rPr>
                <w:i/>
                <w:noProof/>
              </w:rPr>
              <w:t>б)</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 xml:space="preserve">Общ брой на съкращенията </w:t>
            </w:r>
            <w:r>
              <w:rPr>
                <w:i/>
                <w:noProof/>
              </w:rPr>
              <w:t>(a + б)</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2881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2881</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2692</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Брой на младите хора от целевата група, които не работят и не са ангажирани в никаква форма на образование или обучение (NEET)</w:t>
            </w:r>
          </w:p>
        </w:tc>
        <w:tc>
          <w:tcPr>
            <w:tcW w:w="4379" w:type="dxa"/>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0</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11 151 640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във връзка с усвояването на отпуснатата помощ по линия на ЕФПГ</w:t>
            </w:r>
            <w:r>
              <w:rPr>
                <w:rStyle w:val="FootnoteReference"/>
                <w:noProof/>
              </w:rPr>
              <w:footnoteReference w:id="4"/>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446 066</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11 597 706</w:t>
            </w: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на ЕФПГ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6 958 623</w:t>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Германските органи подадоха заявление EGF/EGF/2015/002 DE/Adam Opel на 26 февруари 2015 г. в срок от 12 седмици от датата, на която са изпълнени критериите за намеса, определени в член 4 от Регламента за ЕФПГ. В двуседмичен срок от датата на подаването му — на 12 март 2015 г., Комисията потвърди, че е получила заявлението, и на същата дата поиска допълнителна информация от германските органи.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16 юли 2015 г.</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за 2881 работници, съкратени от Adam Opel AG и един доставчик. Основното предприятие осъществява дейност в икономическия отрасъл от разделение 29 по NACE Revision 2 („Производство на автомобили, ремаркета и полуремаркета“). Съкращенията, направени от основното предприятие, са съсредоточени основно в регион Arnsberg (DE A5) на ниво 2 по NUTS</w:t>
      </w:r>
      <w:r>
        <w:rPr>
          <w:rStyle w:val="FootnoteReference"/>
          <w:noProof/>
        </w:rPr>
        <w:footnoteReference w:id="5"/>
      </w:r>
      <w:r>
        <w:rPr>
          <w:noProof/>
        </w:rPr>
        <w:t>.</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Предприятия и брой на съкратените лица по време на референтния период</w:t>
            </w:r>
          </w:p>
        </w:tc>
      </w:tr>
      <w:tr>
        <w:tc>
          <w:tcPr>
            <w:tcW w:w="3360" w:type="dxa"/>
            <w:tcBorders>
              <w:bottom w:val="nil"/>
              <w:right w:val="nil"/>
            </w:tcBorders>
            <w:shd w:val="clear" w:color="auto" w:fill="auto"/>
            <w:vAlign w:val="center"/>
          </w:tcPr>
          <w:p>
            <w:pPr>
              <w:spacing w:before="0" w:after="0"/>
              <w:ind w:right="252"/>
              <w:jc w:val="left"/>
              <w:rPr>
                <w:noProof/>
                <w:sz w:val="20"/>
              </w:rPr>
            </w:pPr>
            <w:r>
              <w:rPr>
                <w:noProof/>
                <w:sz w:val="20"/>
              </w:rPr>
              <w:t>Adam Opel AG</w:t>
            </w:r>
          </w:p>
        </w:tc>
        <w:tc>
          <w:tcPr>
            <w:tcW w:w="840" w:type="dxa"/>
            <w:gridSpan w:val="2"/>
            <w:tcBorders>
              <w:left w:val="nil"/>
              <w:bottom w:val="nil"/>
            </w:tcBorders>
            <w:shd w:val="clear" w:color="auto" w:fill="auto"/>
            <w:vAlign w:val="center"/>
          </w:tcPr>
          <w:p>
            <w:pPr>
              <w:spacing w:before="0" w:after="0"/>
              <w:ind w:left="-828"/>
              <w:jc w:val="right"/>
              <w:rPr>
                <w:noProof/>
                <w:sz w:val="20"/>
                <w:szCs w:val="20"/>
              </w:rPr>
            </w:pPr>
            <w:r>
              <w:rPr>
                <w:noProof/>
                <w:sz w:val="20"/>
              </w:rPr>
              <w:t>2826</w:t>
            </w:r>
          </w:p>
        </w:tc>
        <w:tc>
          <w:tcPr>
            <w:tcW w:w="3540" w:type="dxa"/>
            <w:gridSpan w:val="2"/>
            <w:tcBorders>
              <w:bottom w:val="nil"/>
              <w:right w:val="nil"/>
            </w:tcBorders>
            <w:shd w:val="clear" w:color="auto" w:fill="auto"/>
            <w:vAlign w:val="center"/>
          </w:tcPr>
          <w:p>
            <w:pPr>
              <w:spacing w:before="0" w:after="0"/>
              <w:jc w:val="left"/>
              <w:rPr>
                <w:noProof/>
                <w:sz w:val="20"/>
              </w:rPr>
            </w:pPr>
            <w:r>
              <w:rPr>
                <w:noProof/>
                <w:sz w:val="20"/>
              </w:rPr>
              <w:t>Johnson Controls</w:t>
            </w:r>
          </w:p>
        </w:tc>
        <w:tc>
          <w:tcPr>
            <w:tcW w:w="600" w:type="dxa"/>
            <w:tcBorders>
              <w:left w:val="nil"/>
              <w:bottom w:val="nil"/>
            </w:tcBorders>
            <w:shd w:val="clear" w:color="auto" w:fill="auto"/>
            <w:vAlign w:val="center"/>
          </w:tcPr>
          <w:p>
            <w:pPr>
              <w:spacing w:before="0" w:after="0"/>
              <w:ind w:left="-828"/>
              <w:jc w:val="right"/>
              <w:rPr>
                <w:noProof/>
                <w:sz w:val="20"/>
              </w:rPr>
            </w:pPr>
            <w:r>
              <w:rPr>
                <w:noProof/>
                <w:sz w:val="20"/>
              </w:rPr>
              <w:t>55</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Общо предприятия:</w:t>
            </w:r>
            <w:r>
              <w:rPr>
                <w:b/>
                <w:noProof/>
                <w:sz w:val="22"/>
              </w:rPr>
              <w:t xml:space="preserve"> </w:t>
            </w:r>
            <w:r>
              <w:rPr>
                <w:b/>
                <w:noProof/>
              </w:rPr>
              <w:t>2</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Общо съкратени лица:</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2881</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Общо самостоятелно заети лица, чиято дейност е прекратена:</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Общо отговарящи на критериите работници и самостоятелно заети лица: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2881</w:t>
            </w:r>
          </w:p>
        </w:tc>
      </w:tr>
    </w:tbl>
    <w:p>
      <w:pPr>
        <w:pStyle w:val="ManualHeading3"/>
        <w:rPr>
          <w:noProof/>
        </w:rPr>
      </w:pPr>
      <w:r>
        <w:rPr>
          <w:noProof/>
        </w:rPr>
        <w:t>Критерии за намеса</w:t>
      </w:r>
    </w:p>
    <w:p>
      <w:pPr>
        <w:pStyle w:val="ManualNumPar1"/>
        <w:rPr>
          <w:noProof/>
        </w:rPr>
      </w:pPr>
      <w:r>
        <w:t>6.</w:t>
      </w:r>
      <w:r>
        <w:tab/>
      </w:r>
      <w:r>
        <w:rPr>
          <w:noProof/>
        </w:rPr>
        <w:t>Германия подаде заявлението в съответствие с критериите за намеса по член 4, параграф 1, буква а) от Регламента за ЕФПГ, съгласно които е необходимо за референтен период от четири месеца в дадено предприятие в държава членка да са били съкратени най-малко 500 работници, включително при неговите доставчици и производители надолу по веригата и/или самостоятелно заети лица, които са прекратили своята дейност.</w:t>
      </w:r>
    </w:p>
    <w:p>
      <w:pPr>
        <w:pStyle w:val="ManualNumPar1"/>
        <w:rPr>
          <w:noProof/>
        </w:rPr>
      </w:pPr>
      <w:bookmarkStart w:id="1" w:name="_Ref372189348"/>
      <w:r>
        <w:t>7.</w:t>
      </w:r>
      <w:r>
        <w:tab/>
      </w:r>
      <w:r>
        <w:rPr>
          <w:noProof/>
        </w:rPr>
        <w:t xml:space="preserve">Четиримесечният референтен период за заявлението е от 15 август 2014 г. до </w:t>
      </w:r>
      <w:bookmarkEnd w:id="1"/>
      <w:r>
        <w:rPr>
          <w:noProof/>
        </w:rPr>
        <w:t>15 декември 2014 г.</w:t>
      </w:r>
    </w:p>
    <w:p>
      <w:pPr>
        <w:pStyle w:val="ManualNumPar1"/>
        <w:rPr>
          <w:noProof/>
        </w:rPr>
      </w:pPr>
      <w:r>
        <w:t>8.</w:t>
      </w:r>
      <w:r>
        <w:tab/>
      </w:r>
      <w:r>
        <w:rPr>
          <w:noProof/>
        </w:rPr>
        <w:t>Съкращенията по време на референтния период са, както следва:</w:t>
      </w:r>
    </w:p>
    <w:p>
      <w:pPr>
        <w:pStyle w:val="Tiret1"/>
        <w:numPr>
          <w:ilvl w:val="0"/>
          <w:numId w:val="13"/>
        </w:numPr>
        <w:rPr>
          <w:noProof/>
        </w:rPr>
      </w:pPr>
      <w:r>
        <w:rPr>
          <w:noProof/>
        </w:rPr>
        <w:t>2826 работници, съкратени от Adam Opel AG,</w:t>
      </w:r>
    </w:p>
    <w:p>
      <w:pPr>
        <w:pStyle w:val="Tiret1"/>
        <w:numPr>
          <w:ilvl w:val="0"/>
          <w:numId w:val="13"/>
        </w:numPr>
        <w:rPr>
          <w:noProof/>
        </w:rPr>
      </w:pPr>
      <w:r>
        <w:rPr>
          <w:noProof/>
        </w:rPr>
        <w:t>55 работници, съкратени от Johnson Controls Objekt Bochum GmbH &amp; Co. KG, доставчик на Adam Opel AG.</w:t>
      </w:r>
    </w:p>
    <w:p>
      <w:pPr>
        <w:pStyle w:val="ManualHeading3"/>
        <w:rPr>
          <w:noProof/>
        </w:rPr>
      </w:pPr>
      <w:r>
        <w:rPr>
          <w:noProof/>
        </w:rPr>
        <w:t>Изчисляване на съкращенията и на прекратяването на дейност</w:t>
      </w:r>
    </w:p>
    <w:p>
      <w:pPr>
        <w:pStyle w:val="ManualNumPar1"/>
        <w:rPr>
          <w:noProof/>
        </w:rPr>
      </w:pPr>
      <w:r>
        <w:t>9.</w:t>
      </w:r>
      <w:r>
        <w:tab/>
      </w:r>
      <w:r>
        <w:rPr>
          <w:noProof/>
        </w:rPr>
        <w:t>Съкращенията по време на референтния период са изчислени, както следва:</w:t>
      </w:r>
    </w:p>
    <w:p>
      <w:pPr>
        <w:pStyle w:val="Tiret1"/>
        <w:numPr>
          <w:ilvl w:val="0"/>
          <w:numId w:val="1"/>
        </w:numPr>
        <w:rPr>
          <w:noProof/>
        </w:rPr>
      </w:pPr>
      <w:r>
        <w:rPr>
          <w:noProof/>
        </w:rPr>
        <w:t>2881, считано от датата на индивидуалното предизвестие от работодателя за съкращаване или за прекратяване на трудовия договор на работника.</w:t>
      </w:r>
    </w:p>
    <w:p>
      <w:pPr>
        <w:pStyle w:val="ManualHeading3"/>
        <w:rPr>
          <w:noProof/>
        </w:rPr>
      </w:pPr>
      <w:r>
        <w:rPr>
          <w:noProof/>
        </w:rPr>
        <w:t>Бенефициери, отговарящи на критериите</w:t>
      </w:r>
    </w:p>
    <w:p>
      <w:pPr>
        <w:pStyle w:val="ManualNumPar1"/>
        <w:rPr>
          <w:noProof/>
        </w:rPr>
      </w:pPr>
      <w:r>
        <w:t>10.</w:t>
      </w:r>
      <w:r>
        <w:tab/>
      </w:r>
      <w:r>
        <w:rPr>
          <w:noProof/>
        </w:rPr>
        <w:t>Общият брой на отговарящите на критериите бенефициери е 2881 души.</w:t>
      </w:r>
    </w:p>
    <w:p>
      <w:pPr>
        <w:pStyle w:val="ManualHeading3"/>
        <w:rPr>
          <w:noProof/>
        </w:rPr>
      </w:pPr>
      <w:r>
        <w:rPr>
          <w:noProof/>
        </w:rPr>
        <w:t>Връзка между съкращенията и световната финансова и икономическа криза, предмет на разпоредбите на Регламент (ЕО) № 546/2009</w:t>
      </w:r>
    </w:p>
    <w:p>
      <w:pPr>
        <w:pStyle w:val="ManualNumPar1"/>
        <w:rPr>
          <w:noProof/>
        </w:rPr>
      </w:pPr>
      <w:r>
        <w:t>11.</w:t>
      </w:r>
      <w:r>
        <w:tab/>
      </w:r>
      <w:r>
        <w:rPr>
          <w:noProof/>
        </w:rPr>
        <w:t>С цел да се установи връзката между съкращенията и световната финансова и икономическа криза, предмет на Регламент (ЕО) № 546/2009, Германия изтъква аргумента, че поради финансовата криза броят на подадените леки автомобили в Европа е най-нисък от 1997 г. насам. В Западна Европа продажбите са намалели значително и са достигнали рекордно ниски стойности</w:t>
      </w:r>
      <w:r>
        <w:rPr>
          <w:rStyle w:val="FootnoteReference"/>
          <w:noProof/>
        </w:rPr>
        <w:footnoteReference w:id="6"/>
      </w:r>
      <w:r>
        <w:rPr>
          <w:noProof/>
        </w:rPr>
        <w:t xml:space="preserve"> за последните 20 години. В резултат на финансовата и икономическа криза броят на новорегистрираните леки автомобили в държавите — членки на ЕС и ЕАСТ, е отбелязал спад от 25 % между 2007 и 2013 г. (от повече от 16 милиона новорегистрирани леки автомобили до 12 милиона, според Европейската асоциация на автомобилните производители). Производителите на малки и средни автомобили от средния ценови сегмент са били особено тежко засегнати, докато продажбите на икономични автомобили, както и на автомобили от висок клас или на луксозни автомобили не са били засегнати до такава степен от кризата. Германската асоциация на автомобилните производители (Verband der Automobilindustrie) докладва рязък спад в пазарния дял за всички засегнати производители на европейския пазар на малки и средни автомобили от средния ценови сегмент, като например Opel, Fiat, PSA, Renault (с изключение на Dacia), Ford и Toyota от 2007 г. насам. В допълнение към този общ спад в продажбите на леки автомобили се наблюдава и преориентиране от автомобили от средния ценови сегмент към икономични автомобили. Резкият спад в продажбите на леки автомобили като цяло може да бъде приписан на продължаващата икономическа и финансова криза. ЕВРОСТАТ отчита значително нарастване на безработицата в ЕС между 2007 и 2013 г. (от 7,2 % през 2007 г. до 10,8 % през 2013 г.), което вероятно е оказало отражение върху разходите на потребителите.</w:t>
      </w:r>
    </w:p>
    <w:p>
      <w:pPr>
        <w:pStyle w:val="ManualNumPar1"/>
        <w:rPr>
          <w:noProof/>
        </w:rPr>
      </w:pPr>
      <w:r>
        <w:t>12.</w:t>
      </w:r>
      <w:r>
        <w:tab/>
      </w:r>
      <w:r>
        <w:rPr>
          <w:noProof/>
        </w:rPr>
        <w:t>Adam Opel AG, германски производител на автомобили, придобит от General Motors през 1931 г., продава своите автомобили с марки Opel и Vauxhall предимно на европейския пазар и е един от основните участници в средния ценови сегмент на малките и средните автомобили. Поради това дружеството Adam Opel AG е засегнато изключително остро от кризата. В резултат на описаните по-горе тенденции продажбите на автомобили с марка Opel/Vauxhall в Европа са спаднали драстично. Между 2007 и 2013 г. нивото на продажбите е спаднало с 39 %.</w:t>
      </w:r>
    </w:p>
    <w:p>
      <w:pPr>
        <w:pStyle w:val="ManualNumPar1"/>
        <w:rPr>
          <w:noProof/>
        </w:rPr>
      </w:pPr>
      <w:r>
        <w:t>13.</w:t>
      </w:r>
      <w:r>
        <w:tab/>
      </w:r>
      <w:r>
        <w:rPr>
          <w:noProof/>
        </w:rPr>
        <w:t>Вследствие на резкия спад на продажбите на автомобили Adam Opel AG е било изправено пред проблем, свързан със свръхкапацитета. Тъй като фиксираните разходи за експлоатация на даден завод за производство са останали непроменени, намаляването на броя на произведените автомобили е означавало нарастване на производствените разходи за всеки произведен автомобил и следователно по-малък марж на печалба. Adam Opel AG понастоящем експлоатира пет завода за производство на автомобили с марки Opel и Vauxhall в Европа: два в Германия (третият завод, в Бохум, е закрит от 31 декември 2014 г. и е предмет на настоящото предложение), както и по един в Полша, Обединеното кралство и Испания.</w:t>
      </w:r>
    </w:p>
    <w:p>
      <w:pPr>
        <w:pStyle w:val="ManualNumPar1"/>
        <w:rPr>
          <w:noProof/>
        </w:rPr>
      </w:pPr>
      <w:r>
        <w:t>14.</w:t>
      </w:r>
      <w:r>
        <w:tab/>
      </w:r>
      <w:r>
        <w:rPr>
          <w:noProof/>
        </w:rPr>
        <w:t>Към днешна дата за разделение 29 по NACE Revision 2 („Производство на автомобили, ремаркета и полуремаркета“) са били подадени 21 заявления за подкрепа от ЕФПГ, 11 от които се основават на свързана с търговията глобализация, а 10 — на световната финансова и икономическа криза.</w:t>
      </w:r>
      <w:r>
        <w:rPr>
          <w:noProof/>
          <w:color w:val="1F497D"/>
        </w:rPr>
        <w:t xml:space="preserve"> </w:t>
      </w:r>
      <w:r>
        <w:rPr>
          <w:noProof/>
        </w:rPr>
        <w:t>В много от тези случаи и двата критерия (глобализацията и кризата) в различна степен са оказали влияние върху решението за съкращаване на работници. Впоследствие самата държава членка следва да определи коя е основната причина в конкретното заявление и да предостави аргументиран анализ на връзката между съкращенията и този критерий, показвайки ясна причинно-следствена връзка.</w:t>
      </w:r>
    </w:p>
    <w:p>
      <w:pPr>
        <w:pStyle w:val="ManualHeading3"/>
        <w:rPr>
          <w:noProof/>
        </w:rPr>
      </w:pPr>
      <w:r>
        <w:rPr>
          <w:noProof/>
        </w:rPr>
        <w:t>Събития, довели до съкращенията и до прекратяване на дейността</w:t>
      </w:r>
    </w:p>
    <w:p>
      <w:pPr>
        <w:pStyle w:val="ManualNumPar1"/>
        <w:rPr>
          <w:noProof/>
        </w:rPr>
      </w:pPr>
      <w:r>
        <w:t>15.</w:t>
      </w:r>
      <w:r>
        <w:tab/>
      </w:r>
      <w:r>
        <w:rPr>
          <w:noProof/>
        </w:rPr>
        <w:t>Събитието, довело до съкращенията, е пълното закриване на завода на Adam Opel AG в Бохум. Между 2007 и 2013 г. Opel е намалило обема на производството на завода в Бохум с 55 %. Свръхпроизводството, причинено от резкия спад в продажбите на леки автомобили в резултат на финансовата и икономическа криза, е принудило Adam Opel AG да адаптира своите производствени мощности в Европа с цел привеждането им в съответствие с търсенето. Последващият процес на преструктуриране е довел до закриването на производственото съоръжение на Opel в Антверпен, Белгия. Закриването на завода в Антверпен е било предмет на заявление EGF/2010/031 BE/Generals Motors Belgium, което Белгия е обосновала с критерия, свързан с икономическата криза. Продължаващата световна финансова и икономическа криза е принудила Adam Opel AG да намали производствения си капацитет и да закрие един от останалите си заводи. Тъй като производствените линии за автомобили в завода в Бохум вече почти са били достигнали края на съответните си производствени цикли, Adam Opel AG е решило да закрие този завод.</w:t>
      </w:r>
    </w:p>
    <w:p>
      <w:pPr>
        <w:pStyle w:val="ManualNumPar1"/>
        <w:rPr>
          <w:noProof/>
        </w:rPr>
      </w:pPr>
      <w:r>
        <w:t>16.</w:t>
      </w:r>
      <w:r>
        <w:tab/>
      </w:r>
      <w:r>
        <w:rPr>
          <w:noProof/>
        </w:rPr>
        <w:t xml:space="preserve">През февруари 2013 г. Adam Opel AG се е опитало да договори колективен трудов договор със своята германска работна сила, като е предложило продължаване на функционирането на всички германски производствени инсталации и гарантирана заетост на всички лица, работещи в Германия, до края на декември 2016 г. Заводът в Бохум е щял да бъде закрит до края на този период. Социалните партньори от всички заводи, с изключение на Бохум, са постигнали съгласие по плана. Що се отнася до завода в Бохум, в който през 2013 г. все още са били заети 3280 работници, Adam Opel AG е продължило преговорите с работниците в металургията от Gewerkschaft IG Metall. Продължилото намаляване на продажбите на автомобили е принудило Adam Opel AG да закрие производственото съоръжение в Бохум по-рано от първоначално планираното. През юни 2014 г. социалните партньори са се споразумели за закриването на завода в края на декември 2014 г. и за създаването на център за преквалификация. През август 2014 г. на всички работници са били предложени споразумения за ползване на услугите на центрове за преквалификация. 2637 от тях са подписали тристранно споразумение да бъдат наети от център за преквалификация след прекратяването на трудовата си дейност в Adam Opel AG. </w:t>
      </w:r>
    </w:p>
    <w:p>
      <w:pPr>
        <w:pStyle w:val="ManualNumPar1"/>
        <w:rPr>
          <w:noProof/>
        </w:rPr>
      </w:pPr>
      <w:r>
        <w:t>17.</w:t>
      </w:r>
      <w:r>
        <w:tab/>
      </w:r>
      <w:r>
        <w:rPr>
          <w:noProof/>
        </w:rPr>
        <w:t xml:space="preserve">Създаването на център за преквалификация не е задължително съгласно германското право. Не съществува задължение от страна на извършващото съкращенията дружество да допринесе за създаването на център за преквалификация. Без участието на извършващото съкращенията дружество не би бил учреден център за преквалификация и съкратеният персонал би останал безработен. Ако извършващото съкращенията дружество предложи да участва и ако социалните партньори се споразумяват за създаването на център за преквалификация, германското социално право определя правната уредба за това (§ § 110 и 111, SGB III). </w:t>
      </w:r>
    </w:p>
    <w:p>
      <w:pPr>
        <w:pStyle w:val="ManualNumPar1"/>
        <w:rPr>
          <w:noProof/>
        </w:rPr>
      </w:pPr>
      <w:r>
        <w:t>18.</w:t>
      </w:r>
      <w:r>
        <w:tab/>
      </w:r>
      <w:r>
        <w:rPr>
          <w:noProof/>
        </w:rPr>
        <w:t>Вследствие на закриването на завода на Adam Opel AG неговият доставчик Johnson Controls Objekt Bochum GmbH&amp;Co. KG е трябвало също да адаптира своите производствени мощности и е решил да закрие производствените си мощности за части за Opel. На 23 септември 2014 г. социалните партньори са приели социален план. В резултат на това 55 работници са били съкратени. Социалният план не включва създаването на център за преквалификация и съкратените служители остават безработни.</w:t>
      </w:r>
    </w:p>
    <w:p>
      <w:pPr>
        <w:pStyle w:val="ManualHeading3"/>
        <w:rPr>
          <w:noProof/>
        </w:rPr>
      </w:pPr>
      <w:r>
        <w:rPr>
          <w:noProof/>
        </w:rPr>
        <w:t>Очаквано въздействие на съкращенията върху местната, регионалната или националната икономика и заетост</w:t>
      </w:r>
    </w:p>
    <w:p>
      <w:pPr>
        <w:pStyle w:val="ManualNumPar1"/>
        <w:rPr>
          <w:noProof/>
        </w:rPr>
      </w:pPr>
      <w:r>
        <w:t>19.</w:t>
      </w:r>
      <w:r>
        <w:tab/>
      </w:r>
      <w:r>
        <w:rPr>
          <w:noProof/>
        </w:rPr>
        <w:t>Съкращенията оказват значително отрицателно въздействие върху местната икономика в Бохум. Бохум е град в Рурската област, високо урбанизирана промишлена област в германската федерална провинция Северен Рейн-Вестфалия. Рурската област, традиционно въгледобивeн и стоманодобивeн регион, е изправена пред огромни структурни предизвикателства от 60-те години на миналия век. Като се има предвид, че през 80-те години на миналия век във въгледобивния отрасъл все още са работили повече от 100 000 работници, този брой е намалял с около 90 %. Очаква се дейностите по въгледобив в Рурската област да приключат до 2018 г., когато окончателно ще бъдат прекратени държавните субсидии. Процентът на безработица в Рурската област вече достига равнища далеч над средните за Германия. Процентът на безработица в град Бохум понастоящем е 11 % (органите на местната публична служба по заетостта са регистрирали 28 809 безработни граждани). Липсата на център за преквалификация в случая на Opel би довела до увеличаване на броя на безработните с повече от 5 %. Повече от 25 % от съкратения персонал е на възраст над 55 години и поради това въздействието върху броя на безработните от тази конкретна възрастова група би било дори още по-значително (в Бохум понастоящем има 4 940 регистрирани безработни на възраст над 55 години).</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20.</w:t>
      </w:r>
      <w:r>
        <w:tab/>
      </w:r>
      <w:r>
        <w:rPr>
          <w:noProof/>
        </w:rPr>
        <w:t>Прогнозният брой на съкратените работници, които се очаква да вземат участие в мерките, е 2 692. Разпределението на тези работници по пол, гражданство и възрастова група е следното:</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Брой </w:t>
            </w:r>
            <w:r>
              <w:rPr>
                <w:noProof/>
              </w:rPr>
              <w:br/>
              <w:t>бенефициери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bottom w:val="nil"/>
              <w:right w:val="nil"/>
            </w:tcBorders>
            <w:hideMark/>
          </w:tcPr>
          <w:p>
            <w:pPr>
              <w:spacing w:before="60" w:after="60"/>
              <w:rPr>
                <w:noProof/>
              </w:rPr>
            </w:pPr>
            <w:r>
              <w:rPr>
                <w:noProof/>
              </w:rPr>
              <w:t>Мъже:</w:t>
            </w:r>
          </w:p>
        </w:tc>
        <w:tc>
          <w:tcPr>
            <w:tcW w:w="1176" w:type="dxa"/>
            <w:tcBorders>
              <w:top w:val="single" w:sz="4" w:space="0" w:color="auto"/>
              <w:left w:val="nil"/>
              <w:bottom w:val="nil"/>
              <w:right w:val="nil"/>
            </w:tcBorders>
            <w:hideMark/>
          </w:tcPr>
          <w:p>
            <w:pPr>
              <w:spacing w:before="60" w:after="60"/>
              <w:jc w:val="right"/>
              <w:rPr>
                <w:noProof/>
              </w:rPr>
            </w:pPr>
            <w:r>
              <w:rPr>
                <w:noProof/>
              </w:rPr>
              <w:t>2583</w:t>
            </w:r>
          </w:p>
        </w:tc>
        <w:tc>
          <w:tcPr>
            <w:tcW w:w="1176" w:type="dxa"/>
            <w:tcBorders>
              <w:top w:val="single" w:sz="4" w:space="0" w:color="auto"/>
              <w:left w:val="nil"/>
              <w:bottom w:val="nil"/>
              <w:right w:val="nil"/>
            </w:tcBorders>
            <w:hideMark/>
          </w:tcPr>
          <w:p>
            <w:pPr>
              <w:spacing w:before="60" w:after="60"/>
              <w:jc w:val="right"/>
              <w:rPr>
                <w:noProof/>
              </w:rPr>
            </w:pPr>
            <w:r>
              <w:rPr>
                <w:noProof/>
              </w:rPr>
              <w:t>(95,95 %)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p>
        </w:tc>
        <w:tc>
          <w:tcPr>
            <w:tcW w:w="1176" w:type="dxa"/>
            <w:hideMark/>
          </w:tcPr>
          <w:p>
            <w:pPr>
              <w:spacing w:before="60" w:after="60"/>
              <w:jc w:val="right"/>
              <w:rPr>
                <w:noProof/>
              </w:rPr>
            </w:pPr>
            <w:r>
              <w:rPr>
                <w:noProof/>
              </w:rPr>
              <w:t>109</w:t>
            </w:r>
          </w:p>
        </w:tc>
        <w:tc>
          <w:tcPr>
            <w:tcW w:w="1176" w:type="dxa"/>
            <w:hideMark/>
          </w:tcPr>
          <w:p>
            <w:pPr>
              <w:spacing w:before="60" w:after="60"/>
              <w:jc w:val="right"/>
              <w:rPr>
                <w:noProof/>
              </w:rPr>
            </w:pPr>
            <w:r>
              <w:rPr>
                <w:noProof/>
              </w:rPr>
              <w:t>(4,05 %)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176" w:type="dxa"/>
            <w:hideMark/>
          </w:tcPr>
          <w:p>
            <w:pPr>
              <w:spacing w:before="60" w:after="60"/>
              <w:jc w:val="right"/>
              <w:rPr>
                <w:noProof/>
              </w:rPr>
            </w:pPr>
            <w:r>
              <w:rPr>
                <w:noProof/>
              </w:rPr>
              <w:t>2552</w:t>
            </w:r>
          </w:p>
        </w:tc>
        <w:tc>
          <w:tcPr>
            <w:tcW w:w="1176" w:type="dxa"/>
            <w:hideMark/>
          </w:tcPr>
          <w:p>
            <w:pPr>
              <w:spacing w:before="60" w:after="60"/>
              <w:jc w:val="right"/>
              <w:rPr>
                <w:noProof/>
              </w:rPr>
            </w:pPr>
            <w:r>
              <w:rPr>
                <w:noProof/>
              </w:rPr>
              <w:t>(94,80 %)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държави извън ЕС:</w:t>
            </w:r>
          </w:p>
        </w:tc>
        <w:tc>
          <w:tcPr>
            <w:tcW w:w="1176" w:type="dxa"/>
            <w:hideMark/>
          </w:tcPr>
          <w:p>
            <w:pPr>
              <w:spacing w:before="60" w:after="60"/>
              <w:jc w:val="right"/>
              <w:rPr>
                <w:noProof/>
              </w:rPr>
            </w:pPr>
            <w:r>
              <w:rPr>
                <w:noProof/>
              </w:rPr>
              <w:t>140</w:t>
            </w:r>
          </w:p>
        </w:tc>
        <w:tc>
          <w:tcPr>
            <w:tcW w:w="1176" w:type="dxa"/>
            <w:hideMark/>
          </w:tcPr>
          <w:p>
            <w:pPr>
              <w:spacing w:before="60" w:after="60"/>
              <w:jc w:val="right"/>
              <w:rPr>
                <w:noProof/>
              </w:rPr>
            </w:pPr>
            <w:r>
              <w:rPr>
                <w:noProof/>
              </w:rPr>
              <w:t>(5,20 %)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hideMark/>
          </w:tcPr>
          <w:p>
            <w:pPr>
              <w:spacing w:before="60" w:after="60"/>
              <w:jc w:val="right"/>
              <w:rPr>
                <w:noProof/>
              </w:rPr>
            </w:pPr>
            <w:r>
              <w:rPr>
                <w:noProof/>
              </w:rPr>
              <w:t>60</w:t>
            </w:r>
          </w:p>
        </w:tc>
        <w:tc>
          <w:tcPr>
            <w:tcW w:w="1176" w:type="dxa"/>
            <w:hideMark/>
          </w:tcPr>
          <w:p>
            <w:pPr>
              <w:spacing w:before="60" w:after="60"/>
              <w:jc w:val="right"/>
              <w:rPr>
                <w:noProof/>
              </w:rPr>
            </w:pPr>
            <w:r>
              <w:rPr>
                <w:noProof/>
              </w:rPr>
              <w:t>(2,23 %)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48</w:t>
            </w:r>
          </w:p>
        </w:tc>
        <w:tc>
          <w:tcPr>
            <w:tcW w:w="1176" w:type="dxa"/>
            <w:hideMark/>
          </w:tcPr>
          <w:p>
            <w:pPr>
              <w:spacing w:before="60" w:after="60"/>
              <w:jc w:val="right"/>
              <w:rPr>
                <w:noProof/>
              </w:rPr>
            </w:pPr>
            <w:r>
              <w:rPr>
                <w:noProof/>
              </w:rPr>
              <w:t>(1,78 %)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1878</w:t>
            </w:r>
          </w:p>
        </w:tc>
        <w:tc>
          <w:tcPr>
            <w:tcW w:w="1176" w:type="dxa"/>
            <w:hideMark/>
          </w:tcPr>
          <w:p>
            <w:pPr>
              <w:spacing w:before="60" w:after="60"/>
              <w:jc w:val="right"/>
              <w:rPr>
                <w:noProof/>
              </w:rPr>
            </w:pPr>
            <w:r>
              <w:rPr>
                <w:noProof/>
              </w:rPr>
              <w:t>(69,76 %)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години:</w:t>
            </w:r>
          </w:p>
        </w:tc>
        <w:tc>
          <w:tcPr>
            <w:tcW w:w="1176" w:type="dxa"/>
            <w:hideMark/>
          </w:tcPr>
          <w:p>
            <w:pPr>
              <w:spacing w:before="60" w:after="60"/>
              <w:jc w:val="right"/>
              <w:rPr>
                <w:noProof/>
              </w:rPr>
            </w:pPr>
            <w:r>
              <w:rPr>
                <w:noProof/>
              </w:rPr>
              <w:t>706</w:t>
            </w:r>
          </w:p>
        </w:tc>
        <w:tc>
          <w:tcPr>
            <w:tcW w:w="1176" w:type="dxa"/>
            <w:hideMark/>
          </w:tcPr>
          <w:p>
            <w:pPr>
              <w:spacing w:before="60" w:after="60"/>
              <w:jc w:val="right"/>
              <w:rPr>
                <w:noProof/>
              </w:rPr>
            </w:pPr>
            <w:r>
              <w:rPr>
                <w:noProof/>
              </w:rPr>
              <w:t>(26,23 %)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(0 %)</w:t>
            </w:r>
          </w:p>
        </w:tc>
      </w:tr>
    </w:tbl>
    <w:p>
      <w:pPr>
        <w:pStyle w:val="ManualHeading3"/>
        <w:rPr>
          <w:noProof/>
          <w:u w:val="single"/>
        </w:rPr>
      </w:pPr>
      <w:r>
        <w:rPr>
          <w:noProof/>
        </w:rPr>
        <w:t>Допустимост на предложените действия</w:t>
      </w:r>
    </w:p>
    <w:p>
      <w:pPr>
        <w:pStyle w:val="ManualNumPar1"/>
        <w:rPr>
          <w:noProof/>
        </w:rPr>
      </w:pPr>
      <w:bookmarkStart w:id="2" w:name="_Ref372214239"/>
      <w:r>
        <w:t>21.</w:t>
      </w:r>
      <w:r>
        <w:tab/>
      </w:r>
      <w:r>
        <w:rPr>
          <w:noProof/>
        </w:rPr>
        <w:t xml:space="preserve">Както е посочено по-горе, социалните партньори са се споразумели за създаването на центрове за преквалификация и са поверили на TÜV Nord Transfer GmbH създаването на три центъра за преквалификация, насочени към три различни групи съкратени работници от завода на Adam Opel AG в Бохум. Това е необходимо, тъй като общо 188 работници са част от екипа, зает със закриването на завода, чиято работа е да бъдат ликвидирани съоръжения. Като се има предвид, че по-голямата част от съкратените работници са постъпили в първия център за преквалификация на 1 януари 2015 г., членовете на екипа, зает със закриването на завода, ще постъпят във втория и третия център съответно на 1 април и 1 юли 2015 г. Според социалния план Adam Opel AG се е съгласило да предложи допълнителни мерки за бившите си служители, като тези допълнителни мерки се предоставят от центъра за преквалификация, но не са част от заявлението по линия на ЕФПГ. Веднага след като германските органи се уверят в достатъчна степан, че има вероятност да бъде предоставено финансиране от ЕФПГ, на съкратените 55 бивши работници на Johnson Controls Objekt Bochum GmbH &amp; Co. KG ще бъде предложено да участват в мерките, предоставяни от центровете за преквалификация. Те няма да подпишат трудов договор с центъра за преквалификация, но ще имат право да участват в мерките, финансирани от ЕФПГ и предоставяни от центъра за преквалификация. Всички изброени по-долу мерки се съчетават, за да образуват пакет от персонализирани услуги, координирани от центровете за преквалификация, с които се цели съкратените работници отново да започнат работа: </w:t>
      </w:r>
      <w:bookmarkEnd w:id="2"/>
    </w:p>
    <w:p>
      <w:pPr>
        <w:pStyle w:val="Tiret1"/>
        <w:rPr>
          <w:noProof/>
        </w:rPr>
      </w:pPr>
      <w:r>
        <w:rPr>
          <w:noProof/>
          <w:u w:val="single"/>
        </w:rPr>
        <w:t>Мерки за професионално обучение (Qualifizierungen)</w:t>
      </w:r>
      <w:r>
        <w:rPr>
          <w:noProof/>
        </w:rPr>
        <w:t>: Те се предлагат на работниците, които отговарят на критериите, след извършване на профилиране на уменията и провеждане на интервюта за професионално ориентиране, за да им се помогне да извлекат полза от възможностите на пазара на труда. Предлаганите курсове за обучение ще са насочени към сектори с перспективи, като например информационни технологии, транспорт, логистика и електроника. Курсовете може да се предоставят индивидуално или в група и варират от курсове за придобиване на основни умения до курсове за допълнителна квалификация и курсове за подготовка на участниците за промените в професионалното развитие и за работа в други отрасли или за започване на собствена предприемаческа дейност.</w:t>
      </w:r>
    </w:p>
    <w:p>
      <w:pPr>
        <w:pStyle w:val="Tiret1"/>
        <w:rPr>
          <w:noProof/>
        </w:rPr>
      </w:pPr>
      <w:r>
        <w:rPr>
          <w:noProof/>
          <w:u w:val="single"/>
        </w:rPr>
        <w:t>Професионално ориентиране (Berufsorientierung)</w:t>
      </w:r>
      <w:r>
        <w:rPr>
          <w:noProof/>
        </w:rPr>
        <w:t>: Този пакет ще включва различни инструменти, като например анализи на пазара на труда, помощ при търсенето на работа, разпространение на знания за стратегиите за самостоятелно предлагане, обучения във връзка с кандидатстването за работа и интервюто за наемане на работа.</w:t>
      </w:r>
    </w:p>
    <w:p>
      <w:pPr>
        <w:pStyle w:val="Tiret1"/>
        <w:rPr>
          <w:noProof/>
        </w:rPr>
      </w:pPr>
      <w:r>
        <w:rPr>
          <w:noProof/>
          <w:u w:val="single"/>
        </w:rPr>
        <w:t>Групи от лица в сходно положение/работни семинари</w:t>
      </w:r>
      <w:r>
        <w:rPr>
          <w:noProof/>
        </w:rPr>
        <w:t>: Това ще бъдат дискусионни групи, подпомагани от фасилитатор, на които участниците обменят идеи и мисли. Групите от лица в сходно положение могат да се съсредоточат върху редица теми, като например управление на времето, самоуправление, трудовото право, мерки за насърчаване на здравословния начин на живот или техники за учене.</w:t>
      </w:r>
    </w:p>
    <w:p>
      <w:pPr>
        <w:pStyle w:val="Tiret1"/>
        <w:rPr>
          <w:noProof/>
        </w:rPr>
      </w:pPr>
      <w:r>
        <w:rPr>
          <w:noProof/>
          <w:u w:val="single"/>
        </w:rPr>
        <w:t>Консултантски услуги при започване на предприемаческа дейност (Existenzgründerberatung)</w:t>
      </w:r>
      <w:r>
        <w:rPr>
          <w:noProof/>
        </w:rPr>
        <w:t>: Те ще включват пакет от консултантски услуги за желаещите да започнат собствена предприемаческа дейност. Тези услуги ще включват предоставяне на индивидуализирани съвети, адаптирани към конкретните нужди на лицата.</w:t>
      </w:r>
    </w:p>
    <w:p>
      <w:pPr>
        <w:pStyle w:val="Tiret1"/>
        <w:rPr>
          <w:noProof/>
        </w:rPr>
      </w:pPr>
      <w:r>
        <w:rPr>
          <w:noProof/>
          <w:u w:val="single"/>
        </w:rPr>
        <w:t>Помощ при търсенето на работа (Stellenakquise)/трудови борси (Jobmessen)</w:t>
      </w:r>
      <w:r>
        <w:rPr>
          <w:noProof/>
        </w:rPr>
        <w:t>: Професионални помощници за намиране на работа ще спомагат за намиране на потенциални свободни работни места, които все още не са публикувани и които биха могли да съответстват на профила на отговарящите на условията работници. Ще бъдат организирани различни мероприятия, като например трудови борси, с цел улесняване на контактите между потенциалните работодатели и кандидатите.</w:t>
      </w:r>
    </w:p>
    <w:p>
      <w:pPr>
        <w:pStyle w:val="Tiret1"/>
        <w:rPr>
          <w:noProof/>
        </w:rPr>
      </w:pPr>
      <w:r>
        <w:rPr>
          <w:noProof/>
          <w:u w:val="single"/>
        </w:rPr>
        <w:t>Последващи услуги по наставничество и консултантски услуги (Nachbetreuung und — Beratung)</w:t>
      </w:r>
      <w:r>
        <w:rPr>
          <w:noProof/>
        </w:rPr>
        <w:t>: Работниците могат да се ползват от допълнителни консултантски услуги по предоставяне на насоки след започване на нова работа, за да се улесни преходът към нея и да се намали рискът от загубата на работното място.</w:t>
      </w:r>
    </w:p>
    <w:p>
      <w:pPr>
        <w:pStyle w:val="Tiret1"/>
        <w:rPr>
          <w:noProof/>
        </w:rPr>
      </w:pPr>
      <w:r>
        <w:rPr>
          <w:noProof/>
          <w:u w:val="single"/>
        </w:rPr>
        <w:t>Помощи за обучение (Transferkurzarbeitergeld):</w:t>
      </w:r>
      <w:r>
        <w:rPr>
          <w:noProof/>
        </w:rPr>
        <w:t xml:space="preserve"> Помощите възлизат на 60 % от предходните нетни доходи на работниците или на 67 % от тях, в случай че в домакинството на получателя има дете или деца. Те се изплащат в продължение на до дванадесет месеца от датата, на която работникът е постъпил в центъра за преквалификация. </w:t>
      </w:r>
    </w:p>
    <w:p>
      <w:pPr>
        <w:pStyle w:val="ManualNumPar1"/>
        <w:rPr>
          <w:noProof/>
        </w:rPr>
      </w:pPr>
      <w:bookmarkStart w:id="3" w:name="_Ref372214242"/>
      <w:r>
        <w:t>22.</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23.</w:t>
      </w:r>
      <w:r>
        <w:tab/>
      </w:r>
      <w:r>
        <w:rPr>
          <w:noProof/>
        </w:rPr>
        <w:t>Германия предостави поисканата информация относно действията, които са задължителни за засегнатото предприятие по силата на националното право или на колективни споразумения. Тя потвърди, че финансовото участие от страна на ЕФПГ няма да замени тези действия.</w:t>
      </w:r>
      <w:bookmarkEnd w:id="3"/>
    </w:p>
    <w:p>
      <w:pPr>
        <w:pStyle w:val="ManualHeading3"/>
        <w:rPr>
          <w:noProof/>
        </w:rPr>
      </w:pPr>
      <w:r>
        <w:rPr>
          <w:noProof/>
        </w:rPr>
        <w:t>Прогнозен бюджет</w:t>
      </w:r>
    </w:p>
    <w:p>
      <w:pPr>
        <w:pStyle w:val="ManualNumPar1"/>
        <w:rPr>
          <w:noProof/>
        </w:rPr>
      </w:pPr>
      <w:r>
        <w:t>24.</w:t>
      </w:r>
      <w:r>
        <w:tab/>
      </w:r>
      <w:r>
        <w:rPr>
          <w:noProof/>
        </w:rPr>
        <w:t>Общите прогнозни разходи са в размер на 11 597 706 EUR, като в тях се включват разходи за персонализирани услуги на стойност 11 151 640 EUR и разходи за дейности по подготовка, управление, информиране и публичност, контрол и докладване в размер на 446 066 EUR.</w:t>
      </w:r>
    </w:p>
    <w:p>
      <w:pPr>
        <w:pStyle w:val="ManualNumPar1"/>
        <w:rPr>
          <w:noProof/>
        </w:rPr>
      </w:pPr>
      <w:bookmarkStart w:id="4" w:name="_Ref372550770"/>
      <w:r>
        <w:t>25.</w:t>
      </w:r>
      <w:r>
        <w:tab/>
      </w:r>
      <w:r>
        <w:rPr>
          <w:noProof/>
        </w:rPr>
        <w:t>Общият размер на заявеното финансово участие от ЕФПГ възлиза на 6 958 623 EUR (60 % от общия размер на разходите).</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429"/>
        <w:gridCol w:w="1667"/>
      </w:tblGrid>
      <w:tr>
        <w:tc>
          <w:tcPr>
            <w:tcW w:w="4644" w:type="dxa"/>
            <w:shd w:val="clear" w:color="auto" w:fill="auto"/>
            <w:vAlign w:val="center"/>
          </w:tcPr>
          <w:p>
            <w:pPr>
              <w:spacing w:before="60" w:after="60"/>
              <w:jc w:val="center"/>
              <w:rPr>
                <w:rFonts w:eastAsia="Times New Roman"/>
                <w:noProof/>
              </w:rPr>
            </w:pPr>
            <w:r>
              <w:rPr>
                <w:noProof/>
                <w:sz w:val="22"/>
              </w:rPr>
              <w:t>Действия</w:t>
            </w:r>
          </w:p>
        </w:tc>
        <w:tc>
          <w:tcPr>
            <w:tcW w:w="1548" w:type="dxa"/>
            <w:shd w:val="clear" w:color="auto" w:fill="auto"/>
            <w:vAlign w:val="center"/>
          </w:tcPr>
          <w:p>
            <w:pPr>
              <w:spacing w:before="60" w:after="60"/>
              <w:jc w:val="center"/>
              <w:rPr>
                <w:rFonts w:eastAsia="Times New Roman"/>
                <w:noProof/>
              </w:rPr>
            </w:pPr>
            <w:r>
              <w:rPr>
                <w:noProof/>
                <w:sz w:val="22"/>
              </w:rPr>
              <w:t>Прогнозен брой участници</w:t>
            </w:r>
          </w:p>
        </w:tc>
        <w:tc>
          <w:tcPr>
            <w:tcW w:w="1429" w:type="dxa"/>
            <w:shd w:val="clear" w:color="auto" w:fill="auto"/>
            <w:vAlign w:val="center"/>
          </w:tcPr>
          <w:p>
            <w:pPr>
              <w:spacing w:before="60" w:after="60"/>
              <w:jc w:val="center"/>
              <w:rPr>
                <w:rFonts w:eastAsia="Times New Roman"/>
                <w:noProof/>
              </w:rPr>
            </w:pPr>
            <w:r>
              <w:rPr>
                <w:noProof/>
                <w:sz w:val="22"/>
              </w:rPr>
              <w:t>Прогнозни разходи за един участник (закръглени стойности)</w:t>
            </w:r>
            <w:r>
              <w:rPr>
                <w:rFonts w:eastAsia="Times New Roman"/>
                <w:noProof/>
                <w:sz w:val="22"/>
              </w:rPr>
              <w:br/>
            </w:r>
            <w:r>
              <w:rPr>
                <w:i/>
                <w:noProof/>
                <w:sz w:val="22"/>
              </w:rPr>
              <w:t>(EUR)</w:t>
            </w:r>
          </w:p>
        </w:tc>
        <w:tc>
          <w:tcPr>
            <w:tcW w:w="1667" w:type="dxa"/>
            <w:shd w:val="clear" w:color="auto" w:fill="auto"/>
            <w:vAlign w:val="center"/>
          </w:tcPr>
          <w:p>
            <w:pPr>
              <w:spacing w:before="60" w:after="60"/>
              <w:jc w:val="center"/>
              <w:rPr>
                <w:rFonts w:eastAsia="Times New Roman"/>
                <w:noProof/>
              </w:rPr>
            </w:pPr>
            <w:r>
              <w:rPr>
                <w:noProof/>
                <w:sz w:val="22"/>
              </w:rPr>
              <w:t>Общо прогнозни разходи</w:t>
            </w:r>
          </w:p>
          <w:p>
            <w:pPr>
              <w:spacing w:before="60" w:after="60"/>
              <w:jc w:val="center"/>
              <w:rPr>
                <w:rFonts w:eastAsia="Times New Roman"/>
                <w:noProof/>
              </w:rPr>
            </w:pPr>
            <w:r>
              <w:rPr>
                <w:i/>
                <w:noProof/>
                <w:sz w:val="22"/>
              </w:rPr>
              <w:t xml:space="preserve">(EUR) </w:t>
            </w:r>
          </w:p>
        </w:tc>
      </w:tr>
      <w:tr>
        <w:tc>
          <w:tcPr>
            <w:tcW w:w="9288" w:type="dxa"/>
            <w:gridSpan w:val="4"/>
            <w:shd w:val="clear" w:color="auto" w:fill="auto"/>
          </w:tcPr>
          <w:p>
            <w:pPr>
              <w:spacing w:before="60" w:after="60"/>
              <w:jc w:val="left"/>
              <w:rPr>
                <w:rFonts w:eastAsia="Times New Roman"/>
                <w:noProof/>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Мерки за професионално обучение (Qualifizierungsmaßnahmen)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1559</w:t>
            </w:r>
          </w:p>
        </w:tc>
        <w:tc>
          <w:tcPr>
            <w:tcW w:w="142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3445</w:t>
            </w:r>
          </w:p>
        </w:tc>
        <w:tc>
          <w:tcPr>
            <w:tcW w:w="1667"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5 370 244</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Професионално ориентиране (Berufsorientierung)</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750</w:t>
            </w:r>
          </w:p>
        </w:tc>
        <w:tc>
          <w:tcPr>
            <w:tcW w:w="142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931</w:t>
            </w:r>
          </w:p>
        </w:tc>
        <w:tc>
          <w:tcPr>
            <w:tcW w:w="1667"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697 917</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Групи от участници в сходно положение/работни семинари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600</w:t>
            </w:r>
          </w:p>
        </w:tc>
        <w:tc>
          <w:tcPr>
            <w:tcW w:w="142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388</w:t>
            </w:r>
          </w:p>
        </w:tc>
        <w:tc>
          <w:tcPr>
            <w:tcW w:w="1667"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232 939</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Консултантски услуги при започване на предприемаческа дейност (Existenzgründerberatung)</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w:t>
            </w:r>
          </w:p>
        </w:tc>
        <w:tc>
          <w:tcPr>
            <w:tcW w:w="142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3138</w:t>
            </w:r>
          </w:p>
        </w:tc>
        <w:tc>
          <w:tcPr>
            <w:tcW w:w="1667"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78 456</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Помощ при търсенето на работа (Stellenakquise)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42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657</w:t>
            </w:r>
          </w:p>
        </w:tc>
        <w:tc>
          <w:tcPr>
            <w:tcW w:w="1667"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328 299</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Последващи услуги по наставничество и консултантски услуги (Nachbetreuung/Beratung)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1050</w:t>
            </w:r>
          </w:p>
        </w:tc>
        <w:tc>
          <w:tcPr>
            <w:tcW w:w="142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515</w:t>
            </w:r>
          </w:p>
        </w:tc>
        <w:tc>
          <w:tcPr>
            <w:tcW w:w="1667"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540 711</w:t>
            </w:r>
          </w:p>
        </w:tc>
      </w:tr>
      <w:tr>
        <w:trPr>
          <w:trHeight w:val="398"/>
        </w:trPr>
        <w:tc>
          <w:tcPr>
            <w:tcW w:w="4644" w:type="dxa"/>
            <w:vMerge w:val="restart"/>
            <w:shd w:val="clear" w:color="auto" w:fill="auto"/>
            <w:vAlign w:val="center"/>
          </w:tcPr>
          <w:p>
            <w:pPr>
              <w:spacing w:before="60" w:after="60"/>
              <w:jc w:val="right"/>
              <w:rPr>
                <w:rFonts w:eastAsia="Times New Roman"/>
                <w:noProof/>
              </w:rPr>
            </w:pPr>
            <w:r>
              <w:rPr>
                <w:noProof/>
                <w:sz w:val="22"/>
              </w:rPr>
              <w:t>Междинен сбор (a):</w:t>
            </w:r>
          </w:p>
          <w:p>
            <w:pPr>
              <w:spacing w:before="60" w:after="60"/>
              <w:jc w:val="right"/>
              <w:rPr>
                <w:rFonts w:eastAsia="Times New Roman"/>
                <w:noProof/>
              </w:rPr>
            </w:pPr>
            <w:r>
              <w:rPr>
                <w:noProof/>
                <w:sz w:val="22"/>
              </w:rPr>
              <w:t xml:space="preserve">Процент от пакета от персонализирани услуги </w:t>
            </w:r>
          </w:p>
        </w:tc>
        <w:tc>
          <w:tcPr>
            <w:tcW w:w="2977" w:type="dxa"/>
            <w:gridSpan w:val="2"/>
            <w:vMerge w:val="restart"/>
            <w:shd w:val="clear" w:color="auto" w:fill="D9D9D9"/>
            <w:vAlign w:val="center"/>
          </w:tcPr>
          <w:p>
            <w:pPr>
              <w:spacing w:before="60" w:after="60"/>
              <w:jc w:val="center"/>
              <w:rPr>
                <w:rFonts w:eastAsia="Times New Roman"/>
                <w:noProof/>
              </w:rPr>
            </w:pPr>
            <w:r>
              <w:rPr>
                <w:noProof/>
                <w:sz w:val="22"/>
              </w:rPr>
              <w:t>–</w:t>
            </w:r>
          </w:p>
        </w:tc>
        <w:tc>
          <w:tcPr>
            <w:tcW w:w="1667" w:type="dxa"/>
            <w:tcBorders>
              <w:bottom w:val="nil"/>
            </w:tcBorders>
            <w:shd w:val="clear" w:color="auto" w:fill="auto"/>
            <w:vAlign w:val="center"/>
          </w:tcPr>
          <w:p>
            <w:pPr>
              <w:spacing w:before="60" w:after="60"/>
              <w:jc w:val="center"/>
              <w:rPr>
                <w:rFonts w:eastAsia="Times New Roman"/>
                <w:noProof/>
              </w:rPr>
            </w:pPr>
            <w:r>
              <w:rPr>
                <w:noProof/>
              </w:rPr>
              <w:t>7 248 566</w:t>
            </w:r>
          </w:p>
        </w:tc>
      </w:tr>
      <w:tr>
        <w:trPr>
          <w:trHeight w:val="397"/>
        </w:trPr>
        <w:tc>
          <w:tcPr>
            <w:tcW w:w="4644" w:type="dxa"/>
            <w:vMerge/>
            <w:shd w:val="clear" w:color="auto" w:fill="auto"/>
            <w:vAlign w:val="center"/>
          </w:tcPr>
          <w:p>
            <w:pPr>
              <w:spacing w:before="60" w:after="60"/>
              <w:jc w:val="right"/>
              <w:rPr>
                <w:rFonts w:eastAsia="Times New Roman"/>
                <w:noProof/>
              </w:rPr>
            </w:pPr>
          </w:p>
        </w:tc>
        <w:tc>
          <w:tcPr>
            <w:tcW w:w="2977" w:type="dxa"/>
            <w:gridSpan w:val="2"/>
            <w:vMerge/>
            <w:shd w:val="clear" w:color="auto" w:fill="D9D9D9"/>
            <w:vAlign w:val="center"/>
          </w:tcPr>
          <w:p>
            <w:pPr>
              <w:spacing w:before="60" w:after="60"/>
              <w:jc w:val="center"/>
              <w:rPr>
                <w:rFonts w:eastAsia="Times New Roman"/>
                <w:noProof/>
              </w:rPr>
            </w:pPr>
          </w:p>
        </w:tc>
        <w:tc>
          <w:tcPr>
            <w:tcW w:w="1667" w:type="dxa"/>
            <w:tcBorders>
              <w:top w:val="nil"/>
            </w:tcBorders>
            <w:shd w:val="clear" w:color="auto" w:fill="auto"/>
            <w:vAlign w:val="center"/>
          </w:tcPr>
          <w:p>
            <w:pPr>
              <w:spacing w:before="60" w:after="60"/>
              <w:jc w:val="center"/>
              <w:rPr>
                <w:rFonts w:eastAsia="Times New Roman"/>
                <w:noProof/>
              </w:rPr>
            </w:pPr>
            <w:r>
              <w:rPr>
                <w:noProof/>
                <w:sz w:val="22"/>
              </w:rPr>
              <w:t>(</w:t>
            </w:r>
            <w:r>
              <w:rPr>
                <w:noProof/>
              </w:rPr>
              <w:t>65,00 </w:t>
            </w:r>
            <w:r>
              <w:rPr>
                <w:noProof/>
                <w:sz w:val="22"/>
              </w:rPr>
              <w:t>%)</w:t>
            </w:r>
          </w:p>
        </w:tc>
      </w:tr>
      <w:tr>
        <w:tc>
          <w:tcPr>
            <w:tcW w:w="9288" w:type="dxa"/>
            <w:gridSpan w:val="4"/>
            <w:shd w:val="clear" w:color="auto" w:fill="auto"/>
            <w:vAlign w:val="center"/>
          </w:tcPr>
          <w:p>
            <w:pPr>
              <w:spacing w:before="60" w:after="60"/>
              <w:jc w:val="left"/>
              <w:rPr>
                <w:noProof/>
              </w:rPr>
            </w:pPr>
            <w:r>
              <w:rPr>
                <w:noProof/>
                <w:sz w:val="22"/>
              </w:rPr>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Помощи за обучение (Transferkurzarbeitergeld)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2637</w:t>
            </w:r>
          </w:p>
        </w:tc>
        <w:tc>
          <w:tcPr>
            <w:tcW w:w="142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1480</w:t>
            </w:r>
          </w:p>
        </w:tc>
        <w:tc>
          <w:tcPr>
            <w:tcW w:w="1667"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3 903 074</w:t>
            </w:r>
          </w:p>
        </w:tc>
      </w:tr>
      <w:tr>
        <w:trPr>
          <w:trHeight w:val="203"/>
        </w:trPr>
        <w:tc>
          <w:tcPr>
            <w:tcW w:w="4644" w:type="dxa"/>
            <w:vMerge w:val="restart"/>
            <w:shd w:val="clear" w:color="auto" w:fill="auto"/>
            <w:vAlign w:val="center"/>
          </w:tcPr>
          <w:p>
            <w:pPr>
              <w:spacing w:before="60" w:after="60"/>
              <w:jc w:val="right"/>
              <w:rPr>
                <w:rFonts w:eastAsia="Times New Roman"/>
                <w:noProof/>
              </w:rPr>
            </w:pPr>
            <w:r>
              <w:rPr>
                <w:noProof/>
                <w:sz w:val="22"/>
              </w:rPr>
              <w:t>Междинен сбор (б):</w:t>
            </w:r>
          </w:p>
          <w:p>
            <w:pPr>
              <w:spacing w:before="60" w:after="60"/>
              <w:jc w:val="right"/>
              <w:rPr>
                <w:rFonts w:eastAsia="Times New Roman"/>
                <w:noProof/>
              </w:rPr>
            </w:pPr>
            <w:r>
              <w:rPr>
                <w:noProof/>
                <w:sz w:val="22"/>
              </w:rPr>
              <w:t>Процент от пакета от персонализирани услуги:</w:t>
            </w:r>
          </w:p>
        </w:tc>
        <w:tc>
          <w:tcPr>
            <w:tcW w:w="2977" w:type="dxa"/>
            <w:gridSpan w:val="2"/>
            <w:vMerge w:val="restart"/>
            <w:shd w:val="clear" w:color="auto" w:fill="D9D9D9"/>
            <w:vAlign w:val="center"/>
          </w:tcPr>
          <w:p>
            <w:pPr>
              <w:spacing w:before="60" w:after="60"/>
              <w:jc w:val="center"/>
              <w:rPr>
                <w:rFonts w:eastAsia="Times New Roman"/>
                <w:noProof/>
              </w:rPr>
            </w:pPr>
            <w:r>
              <w:rPr>
                <w:noProof/>
                <w:sz w:val="22"/>
              </w:rPr>
              <w:t>–</w:t>
            </w:r>
          </w:p>
        </w:tc>
        <w:tc>
          <w:tcPr>
            <w:tcW w:w="1667" w:type="dxa"/>
            <w:tcBorders>
              <w:bottom w:val="nil"/>
            </w:tcBorders>
            <w:shd w:val="clear" w:color="auto" w:fill="auto"/>
            <w:vAlign w:val="center"/>
          </w:tcPr>
          <w:p>
            <w:pPr>
              <w:spacing w:before="60" w:after="60"/>
              <w:jc w:val="center"/>
              <w:rPr>
                <w:rFonts w:eastAsia="Times New Roman"/>
                <w:noProof/>
              </w:rPr>
            </w:pPr>
            <w:r>
              <w:rPr>
                <w:noProof/>
              </w:rPr>
              <w:t>3 903 074</w:t>
            </w:r>
          </w:p>
        </w:tc>
      </w:tr>
      <w:tr>
        <w:trPr>
          <w:trHeight w:val="202"/>
        </w:trPr>
        <w:tc>
          <w:tcPr>
            <w:tcW w:w="4644" w:type="dxa"/>
            <w:vMerge/>
            <w:shd w:val="clear" w:color="auto" w:fill="auto"/>
            <w:vAlign w:val="center"/>
          </w:tcPr>
          <w:p>
            <w:pPr>
              <w:spacing w:before="60" w:after="60"/>
              <w:jc w:val="right"/>
              <w:rPr>
                <w:rFonts w:eastAsia="Times New Roman"/>
                <w:noProof/>
              </w:rPr>
            </w:pPr>
          </w:p>
        </w:tc>
        <w:tc>
          <w:tcPr>
            <w:tcW w:w="2977" w:type="dxa"/>
            <w:gridSpan w:val="2"/>
            <w:vMerge/>
            <w:shd w:val="clear" w:color="auto" w:fill="D9D9D9"/>
            <w:vAlign w:val="center"/>
          </w:tcPr>
          <w:p>
            <w:pPr>
              <w:spacing w:before="60" w:after="60"/>
              <w:jc w:val="center"/>
              <w:rPr>
                <w:rFonts w:eastAsia="Times New Roman"/>
                <w:noProof/>
              </w:rPr>
            </w:pPr>
          </w:p>
        </w:tc>
        <w:tc>
          <w:tcPr>
            <w:tcW w:w="1667" w:type="dxa"/>
            <w:tcBorders>
              <w:top w:val="nil"/>
            </w:tcBorders>
            <w:shd w:val="clear" w:color="auto" w:fill="auto"/>
            <w:vAlign w:val="center"/>
          </w:tcPr>
          <w:p>
            <w:pPr>
              <w:spacing w:before="60" w:after="60"/>
              <w:jc w:val="center"/>
              <w:rPr>
                <w:rFonts w:eastAsia="Times New Roman"/>
                <w:noProof/>
              </w:rPr>
            </w:pPr>
            <w:r>
              <w:rPr>
                <w:noProof/>
                <w:sz w:val="22"/>
              </w:rPr>
              <w:t>(</w:t>
            </w:r>
            <w:r>
              <w:rPr>
                <w:noProof/>
              </w:rPr>
              <w:t>35,00 </w:t>
            </w:r>
            <w:r>
              <w:rPr>
                <w:noProof/>
                <w:sz w:val="22"/>
              </w:rPr>
              <w:t>%)</w:t>
            </w:r>
          </w:p>
        </w:tc>
      </w:tr>
      <w:tr>
        <w:tc>
          <w:tcPr>
            <w:tcW w:w="9288" w:type="dxa"/>
            <w:gridSpan w:val="4"/>
            <w:shd w:val="clear" w:color="auto" w:fill="auto"/>
            <w:vAlign w:val="center"/>
          </w:tcPr>
          <w:p>
            <w:pPr>
              <w:spacing w:before="60" w:after="60"/>
              <w:jc w:val="left"/>
              <w:rPr>
                <w:rFonts w:eastAsia="Times New Roman"/>
                <w:noProof/>
              </w:rPr>
            </w:pPr>
            <w:r>
              <w:rPr>
                <w:noProof/>
                <w:sz w:val="22"/>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rPr>
            </w:pPr>
            <w:r>
              <w:rPr>
                <w:noProof/>
                <w:sz w:val="22"/>
              </w:rPr>
              <w:t>1. Подготовка</w:t>
            </w:r>
          </w:p>
        </w:tc>
        <w:tc>
          <w:tcPr>
            <w:tcW w:w="2977" w:type="dxa"/>
            <w:gridSpan w:val="2"/>
            <w:shd w:val="clear" w:color="auto" w:fill="D9D9D9"/>
            <w:vAlign w:val="center"/>
          </w:tcPr>
          <w:p>
            <w:pPr>
              <w:spacing w:before="60" w:after="60"/>
              <w:jc w:val="center"/>
              <w:rPr>
                <w:rFonts w:eastAsia="Times New Roman"/>
                <w:noProof/>
              </w:rPr>
            </w:pPr>
            <w:r>
              <w:rPr>
                <w:noProof/>
                <w:sz w:val="22"/>
              </w:rPr>
              <w:t>–</w:t>
            </w:r>
          </w:p>
        </w:tc>
        <w:tc>
          <w:tcPr>
            <w:tcW w:w="1667" w:type="dxa"/>
            <w:shd w:val="clear" w:color="auto" w:fill="auto"/>
          </w:tcPr>
          <w:p>
            <w:pPr>
              <w:spacing w:before="60" w:after="60"/>
              <w:jc w:val="center"/>
              <w:rPr>
                <w:rFonts w:eastAsia="Times New Roman"/>
                <w:noProof/>
              </w:rPr>
            </w:pPr>
            <w:r>
              <w:rPr>
                <w:noProof/>
              </w:rPr>
              <w:t>66 910</w:t>
            </w:r>
          </w:p>
        </w:tc>
      </w:tr>
      <w:tr>
        <w:tc>
          <w:tcPr>
            <w:tcW w:w="4644" w:type="dxa"/>
            <w:shd w:val="clear" w:color="auto" w:fill="auto"/>
          </w:tcPr>
          <w:p>
            <w:pPr>
              <w:spacing w:before="60" w:after="60"/>
              <w:ind w:left="284"/>
              <w:jc w:val="left"/>
              <w:rPr>
                <w:rFonts w:eastAsia="Times New Roman"/>
                <w:noProof/>
              </w:rPr>
            </w:pPr>
            <w:r>
              <w:rPr>
                <w:noProof/>
                <w:sz w:val="22"/>
              </w:rPr>
              <w:t>2. Управление</w:t>
            </w:r>
          </w:p>
        </w:tc>
        <w:tc>
          <w:tcPr>
            <w:tcW w:w="2977" w:type="dxa"/>
            <w:gridSpan w:val="2"/>
            <w:shd w:val="clear" w:color="auto" w:fill="D9D9D9"/>
            <w:vAlign w:val="center"/>
          </w:tcPr>
          <w:p>
            <w:pPr>
              <w:spacing w:before="60" w:after="60"/>
              <w:jc w:val="center"/>
              <w:rPr>
                <w:rFonts w:eastAsia="Times New Roman"/>
                <w:noProof/>
              </w:rPr>
            </w:pPr>
            <w:r>
              <w:rPr>
                <w:noProof/>
                <w:sz w:val="22"/>
              </w:rPr>
              <w:t>–</w:t>
            </w:r>
          </w:p>
        </w:tc>
        <w:tc>
          <w:tcPr>
            <w:tcW w:w="1667" w:type="dxa"/>
            <w:shd w:val="clear" w:color="auto" w:fill="auto"/>
          </w:tcPr>
          <w:p>
            <w:pPr>
              <w:spacing w:before="60" w:after="60"/>
              <w:jc w:val="center"/>
              <w:rPr>
                <w:rFonts w:eastAsia="Times New Roman"/>
                <w:noProof/>
              </w:rPr>
            </w:pPr>
            <w:r>
              <w:rPr>
                <w:noProof/>
              </w:rPr>
              <w:t>245 336</w:t>
            </w:r>
          </w:p>
        </w:tc>
      </w:tr>
      <w:tr>
        <w:tc>
          <w:tcPr>
            <w:tcW w:w="4644" w:type="dxa"/>
            <w:shd w:val="clear" w:color="auto" w:fill="auto"/>
          </w:tcPr>
          <w:p>
            <w:pPr>
              <w:spacing w:before="60" w:after="60"/>
              <w:ind w:left="284"/>
              <w:jc w:val="left"/>
              <w:rPr>
                <w:rFonts w:eastAsia="Times New Roman"/>
                <w:noProof/>
              </w:rPr>
            </w:pPr>
            <w:r>
              <w:rPr>
                <w:noProof/>
                <w:sz w:val="22"/>
              </w:rPr>
              <w:t>3. Информиране и публичност</w:t>
            </w:r>
          </w:p>
        </w:tc>
        <w:tc>
          <w:tcPr>
            <w:tcW w:w="2977" w:type="dxa"/>
            <w:gridSpan w:val="2"/>
            <w:shd w:val="clear" w:color="auto" w:fill="D9D9D9"/>
            <w:vAlign w:val="center"/>
          </w:tcPr>
          <w:p>
            <w:pPr>
              <w:spacing w:before="60" w:after="60"/>
              <w:jc w:val="center"/>
              <w:rPr>
                <w:rFonts w:eastAsia="Times New Roman"/>
                <w:noProof/>
              </w:rPr>
            </w:pPr>
            <w:r>
              <w:rPr>
                <w:noProof/>
                <w:sz w:val="22"/>
              </w:rPr>
              <w:t>–</w:t>
            </w:r>
          </w:p>
        </w:tc>
        <w:tc>
          <w:tcPr>
            <w:tcW w:w="1667" w:type="dxa"/>
            <w:shd w:val="clear" w:color="auto" w:fill="auto"/>
          </w:tcPr>
          <w:p>
            <w:pPr>
              <w:spacing w:before="60" w:after="60"/>
              <w:jc w:val="center"/>
              <w:rPr>
                <w:rFonts w:eastAsia="Times New Roman"/>
                <w:noProof/>
              </w:rPr>
            </w:pPr>
            <w:r>
              <w:rPr>
                <w:noProof/>
              </w:rPr>
              <w:t>22 303</w:t>
            </w:r>
          </w:p>
        </w:tc>
      </w:tr>
      <w:tr>
        <w:tc>
          <w:tcPr>
            <w:tcW w:w="4644" w:type="dxa"/>
            <w:shd w:val="clear" w:color="auto" w:fill="auto"/>
          </w:tcPr>
          <w:p>
            <w:pPr>
              <w:spacing w:before="60" w:after="60"/>
              <w:ind w:left="284"/>
              <w:jc w:val="left"/>
              <w:rPr>
                <w:rFonts w:eastAsia="Times New Roman"/>
                <w:noProof/>
              </w:rPr>
            </w:pPr>
            <w:r>
              <w:rPr>
                <w:noProof/>
                <w:sz w:val="22"/>
              </w:rPr>
              <w:t>4. Контрол и докладване</w:t>
            </w:r>
          </w:p>
        </w:tc>
        <w:tc>
          <w:tcPr>
            <w:tcW w:w="2977" w:type="dxa"/>
            <w:gridSpan w:val="2"/>
            <w:shd w:val="clear" w:color="auto" w:fill="D9D9D9"/>
            <w:vAlign w:val="center"/>
          </w:tcPr>
          <w:p>
            <w:pPr>
              <w:spacing w:before="60" w:after="60"/>
              <w:jc w:val="center"/>
              <w:rPr>
                <w:rFonts w:eastAsia="Times New Roman"/>
                <w:noProof/>
              </w:rPr>
            </w:pPr>
            <w:r>
              <w:rPr>
                <w:noProof/>
                <w:sz w:val="22"/>
              </w:rPr>
              <w:t>–</w:t>
            </w:r>
          </w:p>
        </w:tc>
        <w:tc>
          <w:tcPr>
            <w:tcW w:w="1667" w:type="dxa"/>
            <w:tcBorders>
              <w:bottom w:val="single" w:sz="4" w:space="0" w:color="auto"/>
            </w:tcBorders>
            <w:shd w:val="clear" w:color="auto" w:fill="auto"/>
          </w:tcPr>
          <w:p>
            <w:pPr>
              <w:spacing w:before="60" w:after="60"/>
              <w:jc w:val="center"/>
              <w:rPr>
                <w:rFonts w:eastAsia="Times New Roman"/>
                <w:noProof/>
              </w:rPr>
            </w:pPr>
            <w:r>
              <w:rPr>
                <w:noProof/>
              </w:rPr>
              <w:t>111 517</w:t>
            </w:r>
          </w:p>
        </w:tc>
      </w:tr>
      <w:tr>
        <w:trPr>
          <w:trHeight w:val="203"/>
        </w:trPr>
        <w:tc>
          <w:tcPr>
            <w:tcW w:w="4644" w:type="dxa"/>
            <w:vMerge w:val="restart"/>
            <w:shd w:val="clear" w:color="auto" w:fill="auto"/>
            <w:vAlign w:val="center"/>
          </w:tcPr>
          <w:p>
            <w:pPr>
              <w:spacing w:before="60" w:after="60"/>
              <w:jc w:val="right"/>
              <w:rPr>
                <w:rFonts w:eastAsia="Times New Roman"/>
                <w:noProof/>
              </w:rPr>
            </w:pPr>
            <w:r>
              <w:rPr>
                <w:noProof/>
                <w:sz w:val="22"/>
              </w:rPr>
              <w:t>Междинен сбор (в):</w:t>
            </w:r>
          </w:p>
          <w:p>
            <w:pPr>
              <w:spacing w:before="60" w:after="60"/>
              <w:jc w:val="right"/>
              <w:rPr>
                <w:rFonts w:eastAsia="Times New Roman"/>
                <w:noProof/>
              </w:rPr>
            </w:pPr>
            <w:r>
              <w:rPr>
                <w:noProof/>
                <w:sz w:val="22"/>
              </w:rPr>
              <w:t>Процент от общите разходи:</w:t>
            </w:r>
          </w:p>
        </w:tc>
        <w:tc>
          <w:tcPr>
            <w:tcW w:w="2977" w:type="dxa"/>
            <w:gridSpan w:val="2"/>
            <w:vMerge w:val="restart"/>
            <w:shd w:val="clear" w:color="auto" w:fill="D9D9D9"/>
            <w:vAlign w:val="center"/>
          </w:tcPr>
          <w:p>
            <w:pPr>
              <w:spacing w:before="0" w:after="0"/>
              <w:jc w:val="center"/>
              <w:rPr>
                <w:rFonts w:eastAsia="Times New Roman"/>
                <w:noProof/>
              </w:rPr>
            </w:pPr>
            <w:r>
              <w:rPr>
                <w:noProof/>
                <w:sz w:val="22"/>
              </w:rPr>
              <w:t>–</w:t>
            </w:r>
          </w:p>
        </w:tc>
        <w:tc>
          <w:tcPr>
            <w:tcW w:w="1667" w:type="dxa"/>
            <w:tcBorders>
              <w:bottom w:val="nil"/>
            </w:tcBorders>
            <w:shd w:val="clear" w:color="auto" w:fill="auto"/>
            <w:vAlign w:val="center"/>
          </w:tcPr>
          <w:p>
            <w:pPr>
              <w:spacing w:before="60" w:after="60"/>
              <w:jc w:val="center"/>
              <w:rPr>
                <w:rFonts w:eastAsia="Times New Roman"/>
                <w:noProof/>
              </w:rPr>
            </w:pPr>
            <w:r>
              <w:rPr>
                <w:noProof/>
              </w:rPr>
              <w:t>446 066</w:t>
            </w:r>
          </w:p>
        </w:tc>
      </w:tr>
      <w:tr>
        <w:trPr>
          <w:trHeight w:val="202"/>
        </w:trPr>
        <w:tc>
          <w:tcPr>
            <w:tcW w:w="4644" w:type="dxa"/>
            <w:vMerge/>
            <w:shd w:val="clear" w:color="auto" w:fill="auto"/>
          </w:tcPr>
          <w:p>
            <w:pPr>
              <w:spacing w:before="0" w:after="0"/>
              <w:jc w:val="right"/>
              <w:rPr>
                <w:rFonts w:eastAsia="Times New Roman"/>
                <w:noProof/>
              </w:rPr>
            </w:pPr>
          </w:p>
        </w:tc>
        <w:tc>
          <w:tcPr>
            <w:tcW w:w="2977" w:type="dxa"/>
            <w:gridSpan w:val="2"/>
            <w:vMerge/>
            <w:shd w:val="clear" w:color="auto" w:fill="D9D9D9"/>
            <w:vAlign w:val="center"/>
          </w:tcPr>
          <w:p>
            <w:pPr>
              <w:spacing w:before="0" w:after="0"/>
              <w:jc w:val="center"/>
              <w:rPr>
                <w:rFonts w:eastAsia="Times New Roman"/>
                <w:noProof/>
              </w:rPr>
            </w:pPr>
          </w:p>
        </w:tc>
        <w:tc>
          <w:tcPr>
            <w:tcW w:w="1667" w:type="dxa"/>
            <w:tcBorders>
              <w:top w:val="nil"/>
            </w:tcBorders>
            <w:shd w:val="clear" w:color="auto" w:fill="auto"/>
            <w:vAlign w:val="center"/>
          </w:tcPr>
          <w:p>
            <w:pPr>
              <w:spacing w:before="60" w:after="60"/>
              <w:jc w:val="center"/>
              <w:rPr>
                <w:rFonts w:eastAsia="Times New Roman"/>
                <w:noProof/>
              </w:rPr>
            </w:pPr>
            <w:r>
              <w:rPr>
                <w:noProof/>
                <w:sz w:val="22"/>
              </w:rPr>
              <w:t>(</w:t>
            </w:r>
            <w:r>
              <w:rPr>
                <w:noProof/>
              </w:rPr>
              <w:t>3,85 </w:t>
            </w:r>
            <w:r>
              <w:rPr>
                <w:noProof/>
                <w:sz w:val="22"/>
              </w:rPr>
              <w:t>%)</w:t>
            </w:r>
          </w:p>
        </w:tc>
      </w:tr>
      <w:tr>
        <w:tc>
          <w:tcPr>
            <w:tcW w:w="4644" w:type="dxa"/>
            <w:shd w:val="clear" w:color="auto" w:fill="auto"/>
          </w:tcPr>
          <w:p>
            <w:pPr>
              <w:spacing w:before="60" w:after="60"/>
              <w:jc w:val="left"/>
              <w:rPr>
                <w:rFonts w:eastAsia="Times New Roman"/>
                <w:noProof/>
              </w:rPr>
            </w:pPr>
            <w:r>
              <w:rPr>
                <w:noProof/>
                <w:sz w:val="22"/>
              </w:rPr>
              <w:t>Общо разходи (а + б + в):</w:t>
            </w:r>
          </w:p>
        </w:tc>
        <w:tc>
          <w:tcPr>
            <w:tcW w:w="2977" w:type="dxa"/>
            <w:gridSpan w:val="2"/>
            <w:shd w:val="clear" w:color="auto" w:fill="D9D9D9"/>
            <w:vAlign w:val="center"/>
          </w:tcPr>
          <w:p>
            <w:pPr>
              <w:spacing w:before="60" w:after="60"/>
              <w:jc w:val="center"/>
              <w:rPr>
                <w:rFonts w:eastAsia="Times New Roman"/>
                <w:noProof/>
              </w:rPr>
            </w:pPr>
            <w:r>
              <w:rPr>
                <w:noProof/>
                <w:sz w:val="22"/>
              </w:rPr>
              <w:t>–</w:t>
            </w:r>
          </w:p>
        </w:tc>
        <w:tc>
          <w:tcPr>
            <w:tcW w:w="1667" w:type="dxa"/>
            <w:shd w:val="clear" w:color="auto" w:fill="auto"/>
          </w:tcPr>
          <w:p>
            <w:pPr>
              <w:spacing w:before="60" w:after="60"/>
              <w:jc w:val="center"/>
              <w:rPr>
                <w:noProof/>
              </w:rPr>
            </w:pPr>
            <w:r>
              <w:rPr>
                <w:noProof/>
              </w:rPr>
              <w:t>11 597 706</w:t>
            </w:r>
          </w:p>
        </w:tc>
      </w:tr>
      <w:tr>
        <w:tc>
          <w:tcPr>
            <w:tcW w:w="4644" w:type="dxa"/>
            <w:shd w:val="clear" w:color="auto" w:fill="auto"/>
          </w:tcPr>
          <w:p>
            <w:pPr>
              <w:spacing w:before="60" w:after="60"/>
              <w:jc w:val="left"/>
              <w:rPr>
                <w:rFonts w:eastAsia="Times New Roman"/>
                <w:noProof/>
              </w:rPr>
            </w:pPr>
            <w:r>
              <w:rPr>
                <w:noProof/>
                <w:sz w:val="22"/>
              </w:rPr>
              <w:t>Финансово участие от ЕФПГ (60 % от общия размер на разходите)</w:t>
            </w:r>
          </w:p>
        </w:tc>
        <w:tc>
          <w:tcPr>
            <w:tcW w:w="2977" w:type="dxa"/>
            <w:gridSpan w:val="2"/>
            <w:shd w:val="clear" w:color="auto" w:fill="D9D9D9"/>
            <w:vAlign w:val="center"/>
          </w:tcPr>
          <w:p>
            <w:pPr>
              <w:spacing w:before="60" w:after="60"/>
              <w:jc w:val="center"/>
              <w:rPr>
                <w:rFonts w:eastAsia="Times New Roman"/>
                <w:noProof/>
              </w:rPr>
            </w:pPr>
            <w:r>
              <w:rPr>
                <w:noProof/>
                <w:sz w:val="22"/>
              </w:rPr>
              <w:t>–</w:t>
            </w:r>
          </w:p>
        </w:tc>
        <w:tc>
          <w:tcPr>
            <w:tcW w:w="1667" w:type="dxa"/>
            <w:shd w:val="clear" w:color="auto" w:fill="auto"/>
          </w:tcPr>
          <w:p>
            <w:pPr>
              <w:spacing w:before="60" w:after="60"/>
              <w:jc w:val="center"/>
              <w:rPr>
                <w:rFonts w:eastAsia="Times New Roman"/>
                <w:noProof/>
              </w:rPr>
            </w:pPr>
            <w:r>
              <w:rPr>
                <w:noProof/>
              </w:rPr>
              <w:t>6 958 623</w:t>
            </w:r>
          </w:p>
        </w:tc>
      </w:tr>
    </w:tbl>
    <w:p>
      <w:pPr>
        <w:pStyle w:val="ManualNumPar1"/>
        <w:rPr>
          <w:noProof/>
          <w:szCs w:val="20"/>
        </w:rPr>
      </w:pPr>
      <w:r>
        <w:t>26.</w:t>
      </w:r>
      <w:r>
        <w:tab/>
      </w:r>
      <w:r>
        <w:rPr>
          <w:noProof/>
        </w:rPr>
        <w:t>Разходите за действията, определени в таблицата по-горе като дейности по член 7, параграф 1, буква б) от Регламента за ЕФПГ, не надвишават 35 % от общите разходи за съгласувания пакет от персонализирани услуги. Германия потвърди, че тези действия са обвързани с активното участие на бенефициерите от целевата група в дейности по търсене на работа или обучение. Само документираните дейности могат да бъдат взети предвид и Германия се ангажира да предостави одитна пътека.</w:t>
      </w:r>
    </w:p>
    <w:p>
      <w:pPr>
        <w:pStyle w:val="ManualHeading3"/>
        <w:rPr>
          <w:noProof/>
        </w:rPr>
      </w:pPr>
      <w:r>
        <w:rPr>
          <w:noProof/>
        </w:rPr>
        <w:t>Период на допустимост на разходите</w:t>
      </w:r>
    </w:p>
    <w:p>
      <w:pPr>
        <w:pStyle w:val="ManualNumPar1"/>
        <w:rPr>
          <w:noProof/>
        </w:rPr>
      </w:pPr>
      <w:r>
        <w:t>27.</w:t>
      </w:r>
      <w:r>
        <w:tab/>
      </w:r>
      <w:r>
        <w:rPr>
          <w:noProof/>
        </w:rPr>
        <w:t>От 1 януари 2015 г. Германия започна да предоставя персонализирани услуги на бенефициерите от целевата група. С оглед на това разходите за действията, посочени по-горе, са допустими за предоставяне на финансово участие от ЕФПГ през периода от 1 януари 2015 г. до 26 февруари 2017 г.</w:t>
      </w:r>
    </w:p>
    <w:p>
      <w:pPr>
        <w:pStyle w:val="ManualNumPar1"/>
        <w:rPr>
          <w:noProof/>
        </w:rPr>
      </w:pPr>
      <w:r>
        <w:t>28.</w:t>
      </w:r>
      <w:r>
        <w:tab/>
      </w:r>
      <w:r>
        <w:rPr>
          <w:noProof/>
        </w:rPr>
        <w:t xml:space="preserve">От 1 януари 2015 г. Германия започна да покрива административните разходи, свързани с изпълнението на ЕФПГ. С оглед на това разходите за дейностите по подготовка, управление, информиране и публичност, контрол и докладване са допустими за финансово участие от ЕФПГ през периода от 1 януари 2015 г.  до 26 август 2017 г. </w:t>
      </w:r>
    </w:p>
    <w:p>
      <w:pPr>
        <w:pStyle w:val="ManualHeading3"/>
        <w:rPr>
          <w:noProof/>
        </w:rPr>
      </w:pPr>
      <w:r>
        <w:rPr>
          <w:noProof/>
        </w:rPr>
        <w:t>Допълване с действия, финансирани от национални средства или със средства от Съюза</w:t>
      </w:r>
    </w:p>
    <w:p>
      <w:pPr>
        <w:pStyle w:val="ManualNumPar1"/>
        <w:rPr>
          <w:i/>
          <w:noProof/>
        </w:rPr>
      </w:pPr>
      <w:r>
        <w:t>29.</w:t>
      </w:r>
      <w:r>
        <w:tab/>
      </w:r>
      <w:r>
        <w:rPr>
          <w:noProof/>
        </w:rPr>
        <w:t>Източниците на национално предварително финансиране или съфинансиране са федералният бюджет и Федералната обществена служба по заетостта (Bundesagentur für Arbeit). Те финансират националната вноска в размер на 40 % от общия размер на разходите за финансираните от ЕФПГ мерки, предложени от центъра за преквалификация. Предоставянето на персонализираните услуги започва с постъпването на работниците в центъра за преквалификация, който първоначално е финансиран от германското правителство и от извършилото съкращенията дружество. Работниците получават помощи за обучение („Transferkurzarbeitergeld“), които са допустими за финансиране от ЕФПГ, докато съкратените работници участват в активни мерки на политиката на пазара на труда (които не трябва да бъдат съфинансирани от ЕФПГ и които по време на първоначалния период са финансирани чрез посочените по-горе механизми на центъра за преквалификация). Допълнителните активни мерки на политиката на пазара на труда, финансирани от ЕФПГ, започват в по-късен момент — след като германските органи, отговарящи за ЕФПГ, се уверят, че е вероятно тяхното заявление по ЕФПГ да бъде успешно.</w:t>
      </w:r>
    </w:p>
    <w:p>
      <w:pPr>
        <w:pStyle w:val="ManualNumPar1"/>
        <w:rPr>
          <w:noProof/>
        </w:rPr>
      </w:pPr>
      <w:r>
        <w:t>30.</w:t>
      </w:r>
      <w:r>
        <w:tab/>
      </w:r>
      <w:r>
        <w:rPr>
          <w:noProof/>
        </w:rPr>
        <w:t>Германия потвърди, че мерките, описани по-горе, за които са отпуснати финансови средства по линия на ЕФПГ, няма да получат паралелно с това финансова подкрепа и от други финансови инструменти на Съюза.</w:t>
      </w:r>
    </w:p>
    <w:p>
      <w:pPr>
        <w:pStyle w:val="ManualHeading3"/>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31.</w:t>
      </w:r>
      <w:r>
        <w:tab/>
      </w:r>
      <w:r>
        <w:rPr>
          <w:noProof/>
        </w:rPr>
        <w:t>Германия посочи, че координираният пакет от персонализирани услуги е бил изготвен в консултация със социалните партньори съгласно посоченото по-горе.</w:t>
      </w:r>
    </w:p>
    <w:p>
      <w:pPr>
        <w:pStyle w:val="ManualHeading2"/>
        <w:rPr>
          <w:noProof/>
        </w:rPr>
      </w:pPr>
      <w:r>
        <w:rPr>
          <w:noProof/>
        </w:rPr>
        <w:t>Системи за управление и контрол</w:t>
      </w:r>
    </w:p>
    <w:p>
      <w:pPr>
        <w:pStyle w:val="ManualNumPar1"/>
        <w:rPr>
          <w:noProof/>
        </w:rPr>
      </w:pPr>
      <w:r>
        <w:t>32.</w:t>
      </w:r>
      <w:r>
        <w:tab/>
      </w:r>
      <w:r>
        <w:rPr>
          <w:noProof/>
        </w:rPr>
        <w:t xml:space="preserve">В заявлението е описана системата за управление и контрол и са посочени отговорностите на съответните органи. Германия уведоми Комисията, че финансовото участие ще бъде управлявано от същите структури в рамките на Федералното министерство на труда и социалните въпроси (Bundesministerium für Arbeit und Soziales), които управляват ЕСФ. Независимо от това, като управляващ орган за ЕФПГ в рамките на „Gruppe Europäische Fonds für Beschäftigung“ действа „Referat EF 4“, докато управляващият орган за ЕСФ е „Referat EF 1“. Контролният орган както за ЕФПГ, така и за ЕСФ е „Organisationseinheit Prüfbehörde“. Тези органи са управлявали и предходните финансови участия от ЕФПГ в Германия. </w:t>
      </w:r>
    </w:p>
    <w:p>
      <w:pPr>
        <w:pStyle w:val="ManualHeading2"/>
        <w:rPr>
          <w:noProof/>
        </w:rPr>
      </w:pPr>
      <w:r>
        <w:rPr>
          <w:noProof/>
        </w:rPr>
        <w:t>Ангажименти, поети от засегнатата държава членка</w:t>
      </w:r>
    </w:p>
    <w:p>
      <w:pPr>
        <w:pStyle w:val="ManualNumPar1"/>
        <w:rPr>
          <w:noProof/>
        </w:rPr>
      </w:pPr>
      <w:r>
        <w:t>33.</w:t>
      </w:r>
      <w:r>
        <w:tab/>
      </w:r>
      <w:r>
        <w:rPr>
          <w:noProof/>
        </w:rPr>
        <w:t xml:space="preserve">Германия представи всички необходими гаранции за това, че: </w:t>
      </w:r>
    </w:p>
    <w:p>
      <w:pPr>
        <w:pStyle w:val="Tiret1"/>
        <w:numPr>
          <w:ilvl w:val="0"/>
          <w:numId w:val="14"/>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14"/>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14"/>
        </w:numPr>
        <w:rPr>
          <w:noProof/>
        </w:rPr>
      </w:pPr>
      <w:r>
        <w:rPr>
          <w:noProof/>
        </w:rPr>
        <w:t>когато дружеството, извършило съкращенията, е продължило дейността си след освобождаването на работниците, то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14"/>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14"/>
        </w:numPr>
        <w:rPr>
          <w:noProof/>
        </w:rPr>
      </w:pPr>
      <w:r>
        <w:rPr>
          <w:noProof/>
        </w:rPr>
        <w:t>предложените действия ще допълват други дейности, финансирани от структурните фондове;</w:t>
      </w:r>
    </w:p>
    <w:p>
      <w:pPr>
        <w:pStyle w:val="Tiret1"/>
        <w:numPr>
          <w:ilvl w:val="0"/>
          <w:numId w:val="14"/>
        </w:numPr>
        <w:rPr>
          <w:noProof/>
        </w:rPr>
      </w:pPr>
      <w:r>
        <w:rPr>
          <w:noProof/>
        </w:rPr>
        <w:t>финансовото участие от ЕФПГ ще бъде съобразено с процедурните и материалноправните разпоредби на Съюза относно държавната помощ.</w:t>
      </w:r>
    </w:p>
    <w:p>
      <w:pPr>
        <w:pStyle w:val="ManualHeading1"/>
        <w:rPr>
          <w:noProof/>
        </w:rPr>
      </w:pPr>
      <w:r>
        <w:rPr>
          <w:noProof/>
        </w:rPr>
        <w:t>ОТРАЖЕНИЕ ВЪРХУ БЮДЖЕТА</w:t>
      </w:r>
    </w:p>
    <w:p>
      <w:pPr>
        <w:pStyle w:val="ManualHeading2"/>
        <w:rPr>
          <w:noProof/>
        </w:rPr>
      </w:pPr>
      <w:r>
        <w:rPr>
          <w:noProof/>
        </w:rPr>
        <w:t>Бюджетно предложение</w:t>
      </w:r>
    </w:p>
    <w:p>
      <w:pPr>
        <w:pStyle w:val="ManualNumPar1"/>
        <w:rPr>
          <w:noProof/>
        </w:rPr>
      </w:pPr>
      <w:r>
        <w:t>34.</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w:t>
      </w:r>
      <w:r>
        <w:rPr>
          <w:rStyle w:val="FootnoteReference"/>
          <w:noProof/>
        </w:rPr>
        <w:footnoteReference w:id="7"/>
      </w:r>
      <w:r>
        <w:rPr>
          <w:noProof/>
        </w:rPr>
        <w:t>, ЕФПГ не може да надхвърля максимален годишен размер от 150 млн. евро (по цени от 2011 г.).</w:t>
      </w:r>
    </w:p>
    <w:p>
      <w:pPr>
        <w:pStyle w:val="ManualNumPar1"/>
        <w:rPr>
          <w:rFonts w:eastAsia="Calibri"/>
          <w:noProof/>
        </w:rPr>
      </w:pPr>
      <w:r>
        <w:t>35.</w:t>
      </w:r>
      <w:r>
        <w:tab/>
      </w:r>
      <w:r>
        <w:rPr>
          <w:noProof/>
        </w:rPr>
        <w:t>След като проучи заявлението с оглед на условията, определени в член 13, параграф 1 от Регламента за ЕФПГ, и като отчете броя на целевите бенефициери, предложените действия и прогнозните разходи, Комисията предлага да бъдат мобилизирани средства от ЕФПГ в размер на 6 958 623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36.</w:t>
      </w:r>
      <w:r>
        <w:tab/>
      </w:r>
      <w:r>
        <w:rPr>
          <w:noProof/>
        </w:rPr>
        <w:t>Предложеното решение за мобилизиране на средства от ЕФПГ ще бъде взето съвместно от Европейския парламент и Съвета съгласно посоченото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8"/>
      </w:r>
      <w:r>
        <w:rPr>
          <w:noProof/>
        </w:rPr>
        <w:t>.</w:t>
      </w:r>
    </w:p>
    <w:p>
      <w:pPr>
        <w:pStyle w:val="ManualHeading2"/>
        <w:rPr>
          <w:noProof/>
        </w:rPr>
      </w:pPr>
      <w:r>
        <w:rPr>
          <w:noProof/>
        </w:rPr>
        <w:t>Свързани актове</w:t>
      </w:r>
    </w:p>
    <w:p>
      <w:pPr>
        <w:pStyle w:val="ManualNumPar1"/>
        <w:rPr>
          <w:noProof/>
        </w:rPr>
      </w:pPr>
      <w:r>
        <w:t>37.</w:t>
      </w:r>
      <w:r>
        <w:tab/>
      </w:r>
      <w:r>
        <w:rPr>
          <w:noProof/>
        </w:rPr>
        <w:t>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6 958 623 EUR към съответния бюджетен ред.</w:t>
      </w:r>
    </w:p>
    <w:p>
      <w:pPr>
        <w:pStyle w:val="ManualNumPar1"/>
        <w:rPr>
          <w:noProof/>
        </w:rPr>
      </w:pPr>
      <w:r>
        <w:t>38.</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средствата от ЕФПГ.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мобилизиране на средства от Европейския фонд за приспособяване към глобализацията </w:t>
      </w:r>
      <w:r>
        <w:rPr>
          <w:noProof/>
        </w:rPr>
        <w:br/>
        <w:t>(заявление от Германия – EGF/2015/002 DE/Adam Opel)</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9"/>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0"/>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цели да осигурява подкрепа за съкратените работници и самостоятелно заетите лица, чиято дейност е преустановена в резултат на мащабни структурни промени в моделите на световната търговия вследствие на глобализацията, в резултат от продължаващата световна финансова и икономическа криза или в резултат на нова световна финансова и икономическа криза и да се подпомогне реинтеграцията им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11"/>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На 26 февруари 2015 г. Германия подаде заявление EGF/2015/002 DE/Adam Opel за финансово участие от страна на ЕФПГ вследствие на съкращения в Adam Opel AG и при един доставчик в Германия. Към него беше предоставена допълнителна информация в съответствие с член 8, параграф 3 от Регламент (ЕС) № 1309/2013. Заявлението отговаря на изискванията за определяне на финансово участие от ЕФПГ в съответствие с член 13 от посочения регламент.</w:t>
      </w:r>
    </w:p>
    <w:p>
      <w:pPr>
        <w:pStyle w:val="ManualConsidrant"/>
        <w:rPr>
          <w:noProof/>
        </w:rPr>
      </w:pPr>
      <w:r>
        <w:t>(4)</w:t>
      </w:r>
      <w:r>
        <w:tab/>
      </w:r>
      <w:r>
        <w:rPr>
          <w:noProof/>
        </w:rPr>
        <w:t>Поради това, за да бъде удовлетворено подаденото от Германия заявление, следва да бъдат мобилизирани средства за предоставяне на финансово участие от ЕФПГ в размер на 6 958 623 EUR.</w:t>
      </w:r>
    </w:p>
    <w:p>
      <w:pPr>
        <w:pStyle w:val="ManualConsidrant"/>
        <w:rPr>
          <w:noProof/>
        </w:rPr>
      </w:pPr>
      <w:r>
        <w:t>(5)</w:t>
      </w:r>
      <w:r>
        <w:tab/>
      </w:r>
      <w:r>
        <w:rPr>
          <w:noProof/>
        </w:rPr>
        <w:t>С цел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2015 година от Европейския фонд за приспособяване към глобализацията (ЕФПГ) се мобилизират средства за предоставяне на сумата от 6 958 623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 xml:space="preserve">. Той се прилага от </w:t>
      </w:r>
      <w:r>
        <w:rPr>
          <w:i/>
          <w:noProof/>
          <w:color w:val="FF0000"/>
        </w:rPr>
        <w:t>[датата на приемането му]</w:t>
      </w:r>
      <w:r>
        <w:rPr>
          <w:rStyle w:val="FootnoteReference"/>
        </w:rPr>
        <w:sym w:font="Symbol" w:char="F02A"/>
      </w:r>
      <w:r>
        <w:rPr>
          <w:noProof/>
        </w:rPr>
        <w:t>.</w:t>
      </w:r>
    </w:p>
    <w:p>
      <w:pPr>
        <w:pStyle w:val="Fait"/>
        <w:rPr>
          <w:noProof/>
        </w:rPr>
      </w:pPr>
      <w:r>
        <w:rPr>
          <w:noProof/>
        </w:rPr>
        <w:footnoteReference w:customMarkFollows="1" w:id="12"/>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ОВ L 393, 30.12.2006 г., стр. 1.</w:t>
      </w:r>
    </w:p>
  </w:footnote>
  <w:footnote w:id="4">
    <w:p>
      <w:pPr>
        <w:pStyle w:val="FootnoteText"/>
      </w:pPr>
      <w:r>
        <w:rPr>
          <w:rStyle w:val="FootnoteReference"/>
        </w:rPr>
        <w:footnoteRef/>
      </w:r>
      <w:r>
        <w:tab/>
        <w:t>В съответствие с член 7, параграф 4 от Регламент (EС) № 1309/2013.</w:t>
      </w:r>
    </w:p>
  </w:footnote>
  <w:footnote w:id="5">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6">
    <w:p>
      <w:pPr>
        <w:pStyle w:val="FootnoteText"/>
      </w:pPr>
      <w:r>
        <w:rPr>
          <w:rStyle w:val="FootnoteReference"/>
        </w:rPr>
        <w:footnoteRef/>
      </w:r>
      <w:r>
        <w:tab/>
        <w:t>Европейска асоциация на производителите на автомобили (ACEA), Джобен справочник на автомобилната промишленост 2014—2015 г., стр. 57f.</w:t>
      </w:r>
    </w:p>
  </w:footnote>
  <w:footnote w:id="7">
    <w:p>
      <w:pPr>
        <w:pStyle w:val="FootnoteText"/>
      </w:pPr>
      <w:r>
        <w:rPr>
          <w:rStyle w:val="FootnoteReference"/>
        </w:rPr>
        <w:footnoteRef/>
      </w:r>
      <w:r>
        <w:tab/>
        <w:t>ОВ L 347, 20.12.2013 г., стр. 884.</w:t>
      </w:r>
    </w:p>
  </w:footnote>
  <w:footnote w:id="8">
    <w:p>
      <w:pPr>
        <w:pStyle w:val="FootnoteText"/>
      </w:pPr>
      <w:r>
        <w:rPr>
          <w:rStyle w:val="FootnoteReference"/>
        </w:rPr>
        <w:footnoteRef/>
      </w:r>
      <w:r>
        <w:tab/>
        <w:t>ОВ С 373, 20.12.2013 г., стр. 1.</w:t>
      </w:r>
    </w:p>
  </w:footnote>
  <w:footnote w:id="9">
    <w:p>
      <w:pPr>
        <w:pStyle w:val="FootnoteText"/>
      </w:pPr>
      <w:r>
        <w:rPr>
          <w:rStyle w:val="FootnoteReference"/>
        </w:rPr>
        <w:footnoteRef/>
      </w:r>
      <w:r>
        <w:tab/>
        <w:t>ОВ L 347, 20.12.2013 г., стр. 855.</w:t>
      </w:r>
    </w:p>
  </w:footnote>
  <w:footnote w:id="10">
    <w:p>
      <w:pPr>
        <w:pStyle w:val="FootnoteText"/>
      </w:pPr>
      <w:r>
        <w:rPr>
          <w:rStyle w:val="FootnoteReference"/>
        </w:rPr>
        <w:footnoteRef/>
      </w:r>
      <w:r>
        <w:tab/>
        <w:t>ОВ С 373, 20.12.2013 г., стр. 1.</w:t>
      </w:r>
    </w:p>
  </w:footnote>
  <w:footnote w:id="11">
    <w:p>
      <w:pPr>
        <w:pStyle w:val="FootnoteText"/>
      </w:pPr>
      <w:r>
        <w:rPr>
          <w:rStyle w:val="FootnoteReference"/>
        </w:rPr>
        <w:footnoteRef/>
      </w:r>
      <w:r>
        <w:tab/>
        <w:t>Регламент (ЕС, Евратом) № 1311/2013 на Съвета за определяне на многогодишната финансова рамка за годините 2014—2020 (ОВ L 347, 20.12.2013 г., стр. 884).</w:t>
      </w:r>
    </w:p>
  </w:footnote>
  <w:footnote w:id="12">
    <w:p>
      <w:pPr>
        <w:pStyle w:val="FootnoteText"/>
        <w:rPr>
          <w:color w:val="FF0000"/>
        </w:rPr>
      </w:pPr>
      <w:r>
        <w:rPr>
          <w:rStyle w:val="FootnoteReference"/>
        </w:rPr>
        <w:sym w:font="Symbol" w:char="F02A"/>
      </w:r>
      <w:r>
        <w:rPr>
          <w:color w:val="FF0000"/>
        </w:rPr>
        <w:t xml:space="preserve"> </w:t>
      </w:r>
      <w:r>
        <w:tab/>
      </w:r>
      <w:r>
        <w:rPr>
          <w:color w:val="FF0000"/>
        </w:rPr>
        <w:t>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9"/>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2"/>
    <w:lvlOverride w:ilvl="0">
      <w:startOverride w:val="1"/>
    </w:lvlOverride>
  </w:num>
  <w:num w:numId="14">
    <w:abstractNumId w:val="12"/>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4 07:49:38"/>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142EF6BD58764DD6A9896A306C612E86"/>
    <w:docVar w:name="LW_CROSSREFERENCE" w:val="&lt;UNUSED&gt;"/>
    <w:docVar w:name="LW_DocType" w:val="COM"/>
    <w:docVar w:name="LW_EMISSION" w:val="14.7.2015"/>
    <w:docVar w:name="LW_EMISSION_ISODATE" w:val="2015-07-14"/>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42"/>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_x000b_(\u1079?\u1072?\u1103?\u1074?\u1083?\u1077?\u1085?\u1080?\u1077? \u1086?\u1090? \u1043?\u1077?\u1088?\u1084?\u1072?\u1085?\u1080?\u1103? \u8211? EGF/2015/002 DE/Adam Opel)"/>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9DCD-8531-4C41-9ABA-4E0A2EB6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4548</Words>
  <Characters>25655</Characters>
  <Application>Microsoft Office Word</Application>
  <DocSecurity>0</DocSecurity>
  <Lines>657</Lines>
  <Paragraphs>299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17</cp:revision>
  <cp:lastPrinted>2015-06-19T11:53:00Z</cp:lastPrinted>
  <dcterms:created xsi:type="dcterms:W3CDTF">2015-07-13T07:45:00Z</dcterms:created>
  <dcterms:modified xsi:type="dcterms:W3CDTF">2015-07-14T05:49:00Z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02)</vt:lpwstr>
  </property>
</Properties>
</file>