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549D648AE9A45808FB190A1F1934CDD"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24 март 2015 г. Италия подаде заявление EGF/2015/004 IT/Alitalia за предоставяне на финансово участие от ЕФПГ във връзка с извършени съкращения</w:t>
      </w:r>
      <w:r>
        <w:rPr>
          <w:rStyle w:val="FootnoteReference"/>
          <w:noProof/>
        </w:rPr>
        <w:footnoteReference w:id="2"/>
      </w:r>
      <w:r>
        <w:rPr>
          <w:noProof/>
        </w:rPr>
        <w:t xml:space="preserve"> в Gruppo Alitalia</w:t>
      </w:r>
      <w:r>
        <w:rPr>
          <w:rStyle w:val="FootnoteReference"/>
          <w:noProof/>
        </w:rPr>
        <w:footnoteReference w:id="3"/>
      </w:r>
      <w:r>
        <w:rPr>
          <w:noProof/>
        </w:rPr>
        <w:t xml:space="preserve"> в Италия.</w:t>
      </w:r>
    </w:p>
    <w:p>
      <w:pPr>
        <w:pStyle w:val="ManualNumPar1"/>
        <w:rPr>
          <w:noProof/>
        </w:rPr>
      </w:pPr>
      <w:r>
        <w:t>3.</w:t>
      </w:r>
      <w:r>
        <w:tab/>
      </w:r>
      <w:r>
        <w:rPr>
          <w:noProof/>
        </w:rPr>
        <w:t xml:space="preserve">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 </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66"/>
        <w:gridCol w:w="1782"/>
        <w:gridCol w:w="2941"/>
      </w:tblGrid>
      <w:tr>
        <w:tc>
          <w:tcPr>
            <w:tcW w:w="4566" w:type="dxa"/>
            <w:shd w:val="clear" w:color="auto" w:fill="auto"/>
          </w:tcPr>
          <w:p>
            <w:pPr>
              <w:spacing w:before="60" w:after="60"/>
              <w:jc w:val="left"/>
              <w:rPr>
                <w:rFonts w:eastAsia="Calibri"/>
                <w:noProof/>
              </w:rPr>
            </w:pPr>
            <w:r>
              <w:rPr>
                <w:noProof/>
              </w:rPr>
              <w:t>Заявление по ЕФПГ</w:t>
            </w:r>
          </w:p>
        </w:tc>
        <w:tc>
          <w:tcPr>
            <w:tcW w:w="4723" w:type="dxa"/>
            <w:gridSpan w:val="2"/>
            <w:shd w:val="clear" w:color="auto" w:fill="auto"/>
          </w:tcPr>
          <w:p>
            <w:pPr>
              <w:spacing w:before="60" w:after="60"/>
              <w:ind w:rightChars="192" w:right="461"/>
              <w:jc w:val="left"/>
              <w:rPr>
                <w:rFonts w:eastAsia="Calibri"/>
                <w:noProof/>
              </w:rPr>
            </w:pPr>
            <w:r>
              <w:rPr>
                <w:noProof/>
              </w:rPr>
              <w:t>EGF/2015/004 IT/Alitalia</w:t>
            </w:r>
          </w:p>
        </w:tc>
      </w:tr>
      <w:tr>
        <w:tc>
          <w:tcPr>
            <w:tcW w:w="4566" w:type="dxa"/>
            <w:shd w:val="clear" w:color="auto" w:fill="auto"/>
          </w:tcPr>
          <w:p>
            <w:pPr>
              <w:spacing w:before="60" w:after="60"/>
              <w:jc w:val="left"/>
              <w:rPr>
                <w:rFonts w:eastAsia="Calibri"/>
                <w:noProof/>
              </w:rPr>
            </w:pPr>
            <w:r>
              <w:rPr>
                <w:noProof/>
              </w:rPr>
              <w:t>Държава членка</w:t>
            </w:r>
          </w:p>
        </w:tc>
        <w:tc>
          <w:tcPr>
            <w:tcW w:w="4723" w:type="dxa"/>
            <w:gridSpan w:val="2"/>
            <w:shd w:val="clear" w:color="auto" w:fill="auto"/>
          </w:tcPr>
          <w:p>
            <w:pPr>
              <w:spacing w:before="60" w:after="60"/>
              <w:ind w:rightChars="192" w:right="461"/>
              <w:jc w:val="left"/>
              <w:rPr>
                <w:rFonts w:eastAsia="Calibri"/>
                <w:noProof/>
              </w:rPr>
            </w:pPr>
            <w:r>
              <w:rPr>
                <w:noProof/>
              </w:rPr>
              <w:t>Италия</w:t>
            </w:r>
          </w:p>
        </w:tc>
      </w:tr>
      <w:tr>
        <w:tc>
          <w:tcPr>
            <w:tcW w:w="4566"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p>
        </w:tc>
        <w:tc>
          <w:tcPr>
            <w:tcW w:w="4723" w:type="dxa"/>
            <w:gridSpan w:val="2"/>
            <w:tcBorders>
              <w:bottom w:val="single" w:sz="4" w:space="0" w:color="auto"/>
            </w:tcBorders>
            <w:shd w:val="clear" w:color="auto" w:fill="auto"/>
          </w:tcPr>
          <w:p>
            <w:pPr>
              <w:spacing w:before="0" w:after="0"/>
              <w:ind w:rightChars="192" w:right="461"/>
              <w:jc w:val="left"/>
              <w:rPr>
                <w:noProof/>
                <w:szCs w:val="24"/>
              </w:rPr>
            </w:pPr>
            <w:r>
              <w:rPr>
                <w:noProof/>
              </w:rPr>
              <w:t>Лацио (ITI4)</w:t>
            </w:r>
          </w:p>
        </w:tc>
      </w:tr>
      <w:tr>
        <w:tc>
          <w:tcPr>
            <w:tcW w:w="4566"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723"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24 март 2015 г.</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април 2015 г.</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 април 2015 г.</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19 май 2015 г.</w:t>
            </w:r>
          </w:p>
        </w:tc>
      </w:tr>
      <w:tr>
        <w:tc>
          <w:tcPr>
            <w:tcW w:w="4566"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723"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11 август 2015 г.</w:t>
            </w:r>
          </w:p>
        </w:tc>
      </w:tr>
      <w:tr>
        <w:tc>
          <w:tcPr>
            <w:tcW w:w="4566" w:type="dxa"/>
            <w:shd w:val="clear" w:color="auto" w:fill="auto"/>
          </w:tcPr>
          <w:p>
            <w:pPr>
              <w:spacing w:before="60" w:after="60"/>
              <w:jc w:val="left"/>
              <w:rPr>
                <w:rFonts w:eastAsia="Calibri"/>
                <w:noProof/>
              </w:rPr>
            </w:pPr>
            <w:r>
              <w:rPr>
                <w:noProof/>
              </w:rPr>
              <w:t>Критерий за намеса</w:t>
            </w:r>
          </w:p>
        </w:tc>
        <w:tc>
          <w:tcPr>
            <w:tcW w:w="4723" w:type="dxa"/>
            <w:gridSpan w:val="2"/>
            <w:shd w:val="clear" w:color="auto" w:fill="auto"/>
          </w:tcPr>
          <w:p>
            <w:pPr>
              <w:spacing w:before="60" w:after="60"/>
              <w:ind w:rightChars="192" w:right="461"/>
              <w:jc w:val="left"/>
              <w:rPr>
                <w:rFonts w:eastAsia="Calibri"/>
                <w:noProof/>
              </w:rPr>
            </w:pPr>
            <w:r>
              <w:rPr>
                <w:noProof/>
              </w:rPr>
              <w:t>Член 4, буква а) от Регламента за ЕФПГ</w:t>
            </w:r>
          </w:p>
        </w:tc>
      </w:tr>
      <w:tr>
        <w:tc>
          <w:tcPr>
            <w:tcW w:w="45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Основно предприятие</w:t>
            </w:r>
          </w:p>
        </w:tc>
        <w:tc>
          <w:tcPr>
            <w:tcW w:w="4723"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Gruppo Alitalia</w:t>
            </w:r>
          </w:p>
        </w:tc>
      </w:tr>
      <w:tr>
        <w:tc>
          <w:tcPr>
            <w:tcW w:w="456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723"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566"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(на равнище разделения по NACE Rev. 2)</w:t>
            </w:r>
            <w:r>
              <w:rPr>
                <w:rStyle w:val="FootnoteReference"/>
                <w:noProof/>
              </w:rPr>
              <w:footnoteReference w:id="4"/>
            </w:r>
          </w:p>
        </w:tc>
        <w:tc>
          <w:tcPr>
            <w:tcW w:w="4723" w:type="dxa"/>
            <w:gridSpan w:val="2"/>
            <w:shd w:val="clear" w:color="auto" w:fill="auto"/>
          </w:tcPr>
          <w:p>
            <w:pPr>
              <w:spacing w:before="60" w:after="60"/>
              <w:ind w:rightChars="192" w:right="461"/>
              <w:jc w:val="left"/>
              <w:rPr>
                <w:rFonts w:eastAsia="Calibri"/>
                <w:noProof/>
              </w:rPr>
            </w:pPr>
            <w:r>
              <w:rPr>
                <w:noProof/>
              </w:rPr>
              <w:t>Разделение 51 (Въздушен транспорт)</w:t>
            </w:r>
          </w:p>
        </w:tc>
      </w:tr>
      <w:tr>
        <w:tc>
          <w:tcPr>
            <w:tcW w:w="4566" w:type="dxa"/>
            <w:shd w:val="clear" w:color="auto" w:fill="auto"/>
          </w:tcPr>
          <w:p>
            <w:pPr>
              <w:spacing w:before="60" w:after="60"/>
              <w:jc w:val="left"/>
              <w:rPr>
                <w:rFonts w:eastAsia="Calibri"/>
                <w:noProof/>
              </w:rPr>
            </w:pPr>
            <w:r>
              <w:rPr>
                <w:noProof/>
              </w:rPr>
              <w:br w:type="page"/>
              <w:t>Брой дъщерни предприятия, доставчици и производители надолу по веригата</w:t>
            </w:r>
          </w:p>
        </w:tc>
        <w:tc>
          <w:tcPr>
            <w:tcW w:w="4723" w:type="dxa"/>
            <w:gridSpan w:val="2"/>
            <w:shd w:val="clear" w:color="auto" w:fill="auto"/>
          </w:tcPr>
          <w:p>
            <w:pPr>
              <w:spacing w:before="60" w:after="60"/>
              <w:ind w:rightChars="192" w:right="461"/>
              <w:jc w:val="left"/>
              <w:rPr>
                <w:rFonts w:eastAsia="Calibri"/>
                <w:noProof/>
              </w:rPr>
            </w:pPr>
            <w:r>
              <w:rPr>
                <w:noProof/>
              </w:rPr>
              <w:t>0</w:t>
            </w:r>
          </w:p>
        </w:tc>
      </w:tr>
      <w:tr>
        <w:tc>
          <w:tcPr>
            <w:tcW w:w="4566" w:type="dxa"/>
            <w:tcBorders>
              <w:bottom w:val="single" w:sz="4" w:space="0" w:color="auto"/>
            </w:tcBorders>
            <w:shd w:val="clear" w:color="auto" w:fill="auto"/>
          </w:tcPr>
          <w:p>
            <w:pPr>
              <w:spacing w:before="60" w:after="60"/>
              <w:jc w:val="left"/>
              <w:rPr>
                <w:rFonts w:eastAsia="Calibri"/>
                <w:noProof/>
              </w:rPr>
            </w:pPr>
            <w:r>
              <w:rPr>
                <w:noProof/>
              </w:rPr>
              <w:lastRenderedPageBreak/>
              <w:t>Референтен период (четири месеца):</w:t>
            </w:r>
          </w:p>
        </w:tc>
        <w:tc>
          <w:tcPr>
            <w:tcW w:w="4723"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31 август 2014 г. – 30 декември 2014 г.</w:t>
            </w:r>
          </w:p>
        </w:tc>
      </w:tr>
      <w:tr>
        <w:tc>
          <w:tcPr>
            <w:tcW w:w="4566" w:type="dxa"/>
            <w:tcBorders>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по време на референтния период (</w:t>
            </w:r>
            <w:r>
              <w:rPr>
                <w:i/>
                <w:noProof/>
              </w:rPr>
              <w:t>а</w:t>
            </w:r>
            <w:r>
              <w:rPr>
                <w:noProof/>
              </w:rPr>
              <w:t>)</w:t>
            </w:r>
          </w:p>
        </w:tc>
        <w:tc>
          <w:tcPr>
            <w:tcW w:w="4723"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1 247</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преди и след референтния период (</w:t>
            </w:r>
            <w:r>
              <w:rPr>
                <w:i/>
                <w:noProof/>
              </w:rPr>
              <w:t>б</w:t>
            </w:r>
            <w:r>
              <w:rPr>
                <w:noProof/>
              </w:rPr>
              <w:t>)</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w:t>
            </w:r>
          </w:p>
        </w:tc>
      </w:tr>
      <w:tr>
        <w:tc>
          <w:tcPr>
            <w:tcW w:w="4566"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Общ брой на съкращенията (</w:t>
            </w:r>
            <w:r>
              <w:rPr>
                <w:i/>
                <w:noProof/>
              </w:rPr>
              <w:t>a</w:t>
            </w:r>
            <w:r>
              <w:rPr>
                <w:noProof/>
              </w:rPr>
              <w:t xml:space="preserve"> + </w:t>
            </w:r>
            <w:r>
              <w:rPr>
                <w:i/>
                <w:noProof/>
              </w:rPr>
              <w:t>б</w:t>
            </w:r>
            <w:r>
              <w:rPr>
                <w:noProof/>
              </w:rPr>
              <w:t>)</w:t>
            </w:r>
          </w:p>
        </w:tc>
        <w:tc>
          <w:tcPr>
            <w:tcW w:w="47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1 249</w:t>
            </w:r>
          </w:p>
        </w:tc>
      </w:tr>
      <w:tr>
        <w:tc>
          <w:tcPr>
            <w:tcW w:w="4566" w:type="dxa"/>
            <w:tcBorders>
              <w:bottom w:val="dotted" w:sz="4" w:space="0" w:color="auto"/>
            </w:tcBorders>
            <w:shd w:val="clear" w:color="auto" w:fill="auto"/>
          </w:tcPr>
          <w:p>
            <w:pPr>
              <w:spacing w:before="60" w:after="60"/>
              <w:jc w:val="left"/>
              <w:rPr>
                <w:rFonts w:eastAsia="Calibri"/>
                <w:noProof/>
              </w:rPr>
            </w:pPr>
            <w:r>
              <w:rPr>
                <w:noProof/>
              </w:rPr>
              <w:t>Общ брой на отговарящите на критериите бенефициери</w:t>
            </w:r>
          </w:p>
        </w:tc>
        <w:tc>
          <w:tcPr>
            <w:tcW w:w="4723"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1 249</w:t>
            </w:r>
          </w:p>
        </w:tc>
      </w:tr>
      <w:tr>
        <w:tc>
          <w:tcPr>
            <w:tcW w:w="456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бенефициерите от целевата група</w:t>
            </w:r>
          </w:p>
        </w:tc>
        <w:tc>
          <w:tcPr>
            <w:tcW w:w="4723"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184</w:t>
            </w:r>
          </w:p>
        </w:tc>
      </w:tr>
      <w:tr>
        <w:tc>
          <w:tcPr>
            <w:tcW w:w="4566"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Брой на младите хора от целевата група, които не работят и не са ангажирани в никаква форма на образование или обучение (NEET)</w:t>
            </w:r>
          </w:p>
        </w:tc>
        <w:tc>
          <w:tcPr>
            <w:tcW w:w="4723"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566"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(EUR)</w:t>
            </w:r>
          </w:p>
        </w:tc>
        <w:tc>
          <w:tcPr>
            <w:tcW w:w="1782" w:type="dxa"/>
            <w:tcBorders>
              <w:right w:val="nil"/>
            </w:tcBorders>
            <w:shd w:val="clear" w:color="auto" w:fill="auto"/>
            <w:vAlign w:val="center"/>
          </w:tcPr>
          <w:p>
            <w:pPr>
              <w:spacing w:before="0" w:after="0"/>
              <w:ind w:rightChars="192" w:right="461"/>
              <w:jc w:val="right"/>
              <w:rPr>
                <w:noProof/>
              </w:rPr>
            </w:pPr>
            <w:r>
              <w:rPr>
                <w:noProof/>
              </w:rPr>
              <w:t>2 264 080</w:t>
            </w:r>
          </w:p>
        </w:tc>
        <w:tc>
          <w:tcPr>
            <w:tcW w:w="2941" w:type="dxa"/>
            <w:tcBorders>
              <w:left w:val="nil"/>
            </w:tcBorders>
            <w:shd w:val="clear" w:color="auto" w:fill="auto"/>
            <w:vAlign w:val="center"/>
          </w:tcPr>
          <w:p>
            <w:pPr>
              <w:spacing w:before="0" w:after="0"/>
              <w:ind w:rightChars="192" w:right="461"/>
              <w:jc w:val="left"/>
              <w:rPr>
                <w:noProof/>
              </w:rPr>
            </w:pPr>
          </w:p>
        </w:tc>
      </w:tr>
      <w:tr>
        <w:tc>
          <w:tcPr>
            <w:tcW w:w="4566"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5"/>
            </w:r>
            <w:r>
              <w:rPr>
                <w:noProof/>
              </w:rPr>
              <w:t xml:space="preserve"> (EUR)</w:t>
            </w:r>
          </w:p>
        </w:tc>
        <w:tc>
          <w:tcPr>
            <w:tcW w:w="1782" w:type="dxa"/>
            <w:tcBorders>
              <w:right w:val="nil"/>
            </w:tcBorders>
            <w:shd w:val="clear" w:color="auto" w:fill="auto"/>
            <w:vAlign w:val="center"/>
          </w:tcPr>
          <w:p>
            <w:pPr>
              <w:spacing w:before="0" w:after="0"/>
              <w:ind w:rightChars="192" w:right="461"/>
              <w:jc w:val="right"/>
              <w:rPr>
                <w:noProof/>
              </w:rPr>
            </w:pPr>
            <w:r>
              <w:rPr>
                <w:noProof/>
              </w:rPr>
              <w:t>94 000</w:t>
            </w:r>
          </w:p>
        </w:tc>
        <w:tc>
          <w:tcPr>
            <w:tcW w:w="2941" w:type="dxa"/>
            <w:tcBorders>
              <w:left w:val="nil"/>
            </w:tcBorders>
            <w:shd w:val="clear" w:color="auto" w:fill="auto"/>
            <w:vAlign w:val="center"/>
          </w:tcPr>
          <w:p>
            <w:pPr>
              <w:spacing w:before="0" w:after="0"/>
              <w:ind w:rightChars="192" w:right="461"/>
              <w:jc w:val="left"/>
              <w:rPr>
                <w:noProof/>
              </w:rPr>
            </w:pPr>
          </w:p>
        </w:tc>
      </w:tr>
      <w:tr>
        <w:tc>
          <w:tcPr>
            <w:tcW w:w="4566"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(EUR)</w:t>
            </w:r>
          </w:p>
        </w:tc>
        <w:tc>
          <w:tcPr>
            <w:tcW w:w="1782" w:type="dxa"/>
            <w:tcBorders>
              <w:right w:val="nil"/>
            </w:tcBorders>
            <w:shd w:val="clear" w:color="auto" w:fill="auto"/>
            <w:vAlign w:val="center"/>
          </w:tcPr>
          <w:p>
            <w:pPr>
              <w:spacing w:before="0" w:after="0"/>
              <w:ind w:rightChars="192" w:right="461"/>
              <w:jc w:val="right"/>
              <w:rPr>
                <w:noProof/>
              </w:rPr>
            </w:pPr>
            <w:r>
              <w:rPr>
                <w:noProof/>
              </w:rPr>
              <w:t>2 358 080</w:t>
            </w:r>
          </w:p>
        </w:tc>
        <w:tc>
          <w:tcPr>
            <w:tcW w:w="2941" w:type="dxa"/>
            <w:tcBorders>
              <w:left w:val="nil"/>
            </w:tcBorders>
            <w:shd w:val="clear" w:color="auto" w:fill="auto"/>
            <w:vAlign w:val="center"/>
          </w:tcPr>
          <w:p>
            <w:pPr>
              <w:spacing w:before="0" w:after="0"/>
              <w:ind w:rightChars="192" w:right="461"/>
              <w:jc w:val="left"/>
              <w:rPr>
                <w:noProof/>
              </w:rPr>
            </w:pPr>
          </w:p>
        </w:tc>
      </w:tr>
      <w:tr>
        <w:tc>
          <w:tcPr>
            <w:tcW w:w="4566"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(EUR)</w:t>
            </w:r>
          </w:p>
        </w:tc>
        <w:tc>
          <w:tcPr>
            <w:tcW w:w="1782" w:type="dxa"/>
            <w:tcBorders>
              <w:right w:val="nil"/>
            </w:tcBorders>
            <w:shd w:val="clear" w:color="auto" w:fill="auto"/>
            <w:vAlign w:val="center"/>
          </w:tcPr>
          <w:p>
            <w:pPr>
              <w:spacing w:before="0" w:after="0"/>
              <w:ind w:rightChars="192" w:right="461"/>
              <w:jc w:val="right"/>
              <w:rPr>
                <w:noProof/>
              </w:rPr>
            </w:pPr>
            <w:r>
              <w:rPr>
                <w:noProof/>
              </w:rPr>
              <w:t>1 414 848</w:t>
            </w:r>
          </w:p>
        </w:tc>
        <w:tc>
          <w:tcPr>
            <w:tcW w:w="2941" w:type="dxa"/>
            <w:tcBorders>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Италия подаде заявление EGF/2015/004 IT/Alitalia на 24 март 2015 г. в срок от 12 седмици от датата, на която са изпълнени критериите за намеса, определени в член 4 от Регламента за ЕФПГ. В двуседмичен срок от датата на подаването му — на 7 април 2015 г., Комисията потвърди, че е получила заявлението, и на същата дата поиска допълнителна информация от Италия.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11 август 2015 г.</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1 249 съкратени работници в Gruppo Alitalia. Дружеството осъществява дейност в икономически отрасъл от разделение 51 по NACE Rev. 2 (въздушен транспорт). Съкращенията, направени от Gruppo Alitalia, са основно в регион Lazio (ITI4) на ниво 2 по NUTS</w:t>
      </w:r>
      <w:r>
        <w:rPr>
          <w:rStyle w:val="FootnoteReference"/>
          <w:noProof/>
        </w:rPr>
        <w:footnoteReference w:id="6"/>
      </w:r>
      <w:r>
        <w:rPr>
          <w:noProof/>
        </w:rPr>
        <w:t>.</w:t>
      </w:r>
    </w:p>
    <w:p>
      <w:pPr>
        <w:pStyle w:val="ManualHeading3"/>
        <w:rPr>
          <w:noProof/>
        </w:rPr>
      </w:pPr>
      <w:r>
        <w:rPr>
          <w:noProof/>
        </w:rPr>
        <w:lastRenderedPageBreak/>
        <w:t>Критерии за намеса</w:t>
      </w:r>
    </w:p>
    <w:p>
      <w:pPr>
        <w:pStyle w:val="ManualNumPar1"/>
        <w:rPr>
          <w:noProof/>
        </w:rPr>
      </w:pPr>
      <w:r>
        <w:t>6.</w:t>
      </w:r>
      <w:r>
        <w:tab/>
      </w:r>
      <w:r>
        <w:rPr>
          <w:noProof/>
        </w:rPr>
        <w:t>Италия подаде заявлението в съответствие с критериите за намеса, посочени в член 4, параграф 1, буква а) от Регламента за ЕФПГ, съгласно които е необходимо за референтен период от четири месеца най-малко 500 работници в дадено предприятие в държава членка да са били съкратени, включително при неговите доставчици и производители надолу по веригата, и/или самостоятелно заети лица да са прекратили своята дейност.</w:t>
      </w:r>
    </w:p>
    <w:p>
      <w:pPr>
        <w:pStyle w:val="ManualNumPar1"/>
        <w:rPr>
          <w:noProof/>
        </w:rPr>
      </w:pPr>
      <w:r>
        <w:t>7.</w:t>
      </w:r>
      <w:r>
        <w:tab/>
      </w:r>
      <w:r>
        <w:rPr>
          <w:noProof/>
        </w:rPr>
        <w:t xml:space="preserve">Четиримесечният референтен период за заявлението започва на 31 август 2014 г. и приключва на 30 декември 2014 г. През референтния период в Gruppo Alitalia са съкратени 1 247 работници. </w:t>
      </w:r>
    </w:p>
    <w:p>
      <w:pPr>
        <w:pStyle w:val="ManualHeading3"/>
        <w:ind w:left="0" w:firstLine="0"/>
        <w:rPr>
          <w:noProof/>
        </w:rPr>
      </w:pPr>
      <w:r>
        <w:rPr>
          <w:noProof/>
        </w:rPr>
        <w:t>Изчисляване на броя на съкращенията и на случаите на прекратяване на дейност</w:t>
      </w:r>
    </w:p>
    <w:p>
      <w:pPr>
        <w:pStyle w:val="ManualNumPar1"/>
        <w:rPr>
          <w:noProof/>
        </w:rPr>
      </w:pPr>
      <w:r>
        <w:t>8.</w:t>
      </w:r>
      <w:r>
        <w:tab/>
      </w:r>
      <w:r>
        <w:rPr>
          <w:noProof/>
        </w:rPr>
        <w:t>Отчетените 1 247 съкращения през референтния период са изчислени от датата на фактическото прекратяване на трудовия договор или изтичането на неговия срок.</w:t>
      </w:r>
    </w:p>
    <w:p>
      <w:pPr>
        <w:pStyle w:val="ManualHeading3"/>
        <w:rPr>
          <w:noProof/>
        </w:rPr>
      </w:pPr>
      <w:r>
        <w:rPr>
          <w:noProof/>
        </w:rPr>
        <w:t>Бенефициери, отговарящи на критериите</w:t>
      </w:r>
    </w:p>
    <w:p>
      <w:pPr>
        <w:pStyle w:val="ManualNumPar1"/>
        <w:rPr>
          <w:noProof/>
        </w:rPr>
      </w:pPr>
      <w:r>
        <w:t>9.</w:t>
      </w:r>
      <w:r>
        <w:tab/>
      </w:r>
      <w:r>
        <w:rPr>
          <w:noProof/>
        </w:rPr>
        <w:t>В допълнение към горепосочените 1 247 работници, в броя на отговарящите на критериите бенефициери се включват и двама работници, които са били съкратени след четиримесечния референтен период. Може да се установи ясна причинно-следствена връзка със събитието, което е довело до съкращенията през референтния период.</w:t>
      </w:r>
    </w:p>
    <w:p>
      <w:pPr>
        <w:pStyle w:val="ManualNumPar1"/>
        <w:rPr>
          <w:noProof/>
        </w:rPr>
      </w:pPr>
      <w:r>
        <w:t>10.</w:t>
      </w:r>
      <w:r>
        <w:tab/>
      </w:r>
      <w:r>
        <w:rPr>
          <w:noProof/>
        </w:rPr>
        <w:t>Поради тази причина общият брой на отговарящите на критериите бенефициери е 1 249.</w:t>
      </w:r>
    </w:p>
    <w:p>
      <w:pPr>
        <w:pStyle w:val="ManualHeading3"/>
        <w:rPr>
          <w:noProof/>
        </w:rPr>
      </w:pP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11.</w:t>
      </w:r>
      <w:r>
        <w:tab/>
      </w:r>
      <w:r>
        <w:rPr>
          <w:noProof/>
        </w:rPr>
        <w:t>С цел да се установи връзката между съкращенията и големите структурни промени в моделите на световната търговия, произтичащи от глобализацията, Италия посочва, че макар и в световен мащаб европейските авиолинии все още да играят доминираща роля на международния пазар за въздушен транспорт, този сектор е претърпял сериозен икономически срив, който се изразява по-специално в спад на пазарния дял на ЕС. В периода 2008 — 2012 г. въздушното движение в световен мащаб е нараствало с 4,6 % годишно, следвайки тенденция за дългосрочен растеж, наблюдавана от 1970 г. насам. Въздушното движение между Европа и останалата част на света обаче е нараствало с по-бавни темпове (2,4 %), което е довело до намаляване на пазарния дял на ЕС-27 във въздушния транспорт, измерен в приходи на пътникoкилометри (RPK). Наличните за 2013 г.</w:t>
      </w:r>
      <w:r>
        <w:rPr>
          <w:rStyle w:val="FootnoteReference"/>
          <w:noProof/>
        </w:rPr>
        <w:footnoteReference w:id="7"/>
      </w:r>
      <w:r>
        <w:rPr>
          <w:noProof/>
        </w:rPr>
        <w:t xml:space="preserve"> и 2014 г.</w:t>
      </w:r>
      <w:r>
        <w:rPr>
          <w:rStyle w:val="FootnoteReference"/>
          <w:noProof/>
        </w:rPr>
        <w:footnoteReference w:id="8"/>
      </w:r>
      <w:r>
        <w:rPr>
          <w:noProof/>
        </w:rPr>
        <w:t xml:space="preserve"> данни свидетелстват за запазване на тенденцията, наблюдавана в периода 2008 — 2012 г. Дялът на Европа е нараснал с 3,8 % през 2013 г. и с 5,7 % през 2014 г. в сравнение с предходната година, като това е под средните стойности в световен мащаб (съответно 5,2 % и 6,3 %), и представлява 38 % от въздушното движение в света (измерено в RPK), т.е. с един процентен пункт по-малко в сравнение с 2012 г. Близкият изток все така продължава да е регионът с най-бърз растеж в света — с 10,9 % </w:t>
      </w:r>
      <w:r>
        <w:rPr>
          <w:noProof/>
        </w:rPr>
        <w:lastRenderedPageBreak/>
        <w:t>през 2013 г. и с 13,4 % през 2014 г., като делът му възлиза на 14 % от международното въздушно движение в световен мащаб.</w:t>
      </w:r>
    </w:p>
    <w:p>
      <w:pPr>
        <w:pStyle w:val="ManualNumPar1"/>
        <w:rPr>
          <w:noProof/>
        </w:rPr>
      </w:pPr>
      <w:r>
        <w:t>12.</w:t>
      </w:r>
      <w:r>
        <w:tab/>
      </w:r>
      <w:r>
        <w:rPr>
          <w:noProof/>
        </w:rPr>
        <w:t>По отношение на свързващите полети Близкият изток бележи отлични резултати, като за всяко от трите ключови летища — Доха (Катар), Абу Даби (ОАЕ) и Дубай (ОАЕ), е характерен висок дял на свързващите полети (около 50 %). Взети заедно, тези три летища понастоящем обслужват около 15 % от целия обем на въздушното движение от Азия за Европа и от Европа към югозападния район на Тихия океан. Докато общият обем на въздушното движение между Европа и Азия нараства с приблизително 7 % всяка година, то преминаващото през Близкия изток въздушно движение между Европа и Азия нараства с около 20 % годишно</w:t>
      </w:r>
      <w:r>
        <w:rPr>
          <w:rStyle w:val="FootnoteReference"/>
          <w:noProof/>
        </w:rPr>
        <w:footnoteReference w:id="9"/>
      </w:r>
      <w:r>
        <w:rPr>
          <w:noProof/>
        </w:rPr>
        <w:t>.</w:t>
      </w:r>
    </w:p>
    <w:p>
      <w:pPr>
        <w:pStyle w:val="ManualNumPar1"/>
        <w:rPr>
          <w:noProof/>
        </w:rPr>
      </w:pPr>
      <w:r>
        <w:t>13.</w:t>
      </w:r>
      <w:r>
        <w:tab/>
      </w:r>
      <w:r>
        <w:rPr>
          <w:noProof/>
        </w:rPr>
        <w:t>Последните тенденции в развитието на Turkish Airlines са сравними с тенденциите в развитието на авиокомпаниите от Персийския залив. Авиокомпанията е използвала стратегически своята база на летище Istanbul–Atatürk, за да привлече значителен дял от потоците на полетите, свързващи Азия и Европа, като за целта е удвоила своя флот, в който общият брой на въздухоплавателните средства е нараснал от 100 през 2006 г. на 200 през 2012 г. Растежът на Turkish Airlines е дори още по-ясно изразен, ако се измерва като място на километър, предлагани при полети на дълги разстояния; техният брой е нараснал от 5 000 милиона през 2004 г. до над 30 000 милиона през 2013 г.</w:t>
      </w:r>
    </w:p>
    <w:p>
      <w:pPr>
        <w:pStyle w:val="ManualNumPar1"/>
        <w:rPr>
          <w:noProof/>
        </w:rPr>
      </w:pPr>
      <w:r>
        <w:t>14.</w:t>
      </w:r>
      <w:r>
        <w:tab/>
      </w:r>
      <w:r>
        <w:rPr>
          <w:noProof/>
        </w:rPr>
        <w:t>Международният пътникопоток от и за Италия и ОАЕ, където са установени превозвачите Emirates и Etihad, е нараствал със средно 21 % годишно в периода 2004 — 2014 г. Броят на пътниците се е увеличил шесткратно: от 297 268 през 2004 г. до 1,7 милиона през 2014 г.</w:t>
      </w:r>
      <w:r>
        <w:rPr>
          <w:rStyle w:val="FootnoteReference"/>
          <w:noProof/>
        </w:rPr>
        <w:footnoteReference w:id="10"/>
      </w:r>
      <w:r>
        <w:rPr>
          <w:noProof/>
        </w:rPr>
        <w:t>. В случая на Турция и Turkish Airlines средният годишен растеж е бил 18 %, а броят на пътниците, превозени от и за Италия, е нараснал от 426 818 до 2 милиона за същия период</w:t>
      </w:r>
      <w:r>
        <w:rPr>
          <w:rStyle w:val="FootnoteReference"/>
          <w:noProof/>
        </w:rPr>
        <w:footnoteReference w:id="11"/>
      </w:r>
      <w:r>
        <w:rPr>
          <w:noProof/>
        </w:rPr>
        <w:t>. Това изключително голямо увеличение на броя на превозените пътници е било основно за сметка на Alitalia.</w:t>
      </w:r>
    </w:p>
    <w:p>
      <w:pPr>
        <w:pStyle w:val="ManualNumPar1"/>
        <w:rPr>
          <w:noProof/>
        </w:rPr>
      </w:pPr>
      <w:r>
        <w:t>15.</w:t>
      </w:r>
      <w:r>
        <w:tab/>
      </w:r>
      <w:r>
        <w:rPr>
          <w:noProof/>
        </w:rPr>
        <w:t>Последиците от тези промени в моделите на търговия са допълнително утежнени от други фактори, като намаляване на търсенето вследствие на икономическата криза и увеличението на цените на петрола (понякога разходите за гориво са почти една трета от разходите за място на километър), което е довело до спад от 6,6 % в заетостта в сектора на въздухоплаването на равнището на ЕС в периода 2008 — 2013 г.</w:t>
      </w:r>
      <w:r>
        <w:rPr>
          <w:rStyle w:val="FootnoteReference"/>
          <w:noProof/>
        </w:rPr>
        <w:footnoteReference w:id="12"/>
      </w:r>
      <w:r>
        <w:rPr>
          <w:noProof/>
        </w:rPr>
        <w:t>.</w:t>
      </w:r>
    </w:p>
    <w:p>
      <w:pPr>
        <w:pStyle w:val="ManualNumPar1"/>
        <w:rPr>
          <w:noProof/>
        </w:rPr>
      </w:pPr>
      <w:r>
        <w:t>16.</w:t>
      </w:r>
      <w:r>
        <w:tab/>
      </w:r>
      <w:r>
        <w:rPr>
          <w:noProof/>
        </w:rPr>
        <w:t>Към днешна дата за сектора на въздушния транспорт са били подадени две заявления за подкрепа от ЕФПГ</w:t>
      </w:r>
      <w:r>
        <w:rPr>
          <w:rStyle w:val="FootnoteReference"/>
          <w:noProof/>
        </w:rPr>
        <w:footnoteReference w:id="13"/>
      </w:r>
      <w:r>
        <w:rPr>
          <w:noProof/>
        </w:rPr>
        <w:t>, като и двете се основават на свързана с търговията глобализация.</w:t>
      </w:r>
    </w:p>
    <w:p>
      <w:pPr>
        <w:pStyle w:val="ManualHeading3"/>
        <w:rPr>
          <w:noProof/>
        </w:rPr>
      </w:pPr>
      <w:r>
        <w:rPr>
          <w:noProof/>
        </w:rPr>
        <w:lastRenderedPageBreak/>
        <w:t xml:space="preserve">Събития, довели до съкращенията и до прекратяването на дейността </w:t>
      </w:r>
    </w:p>
    <w:p>
      <w:pPr>
        <w:pStyle w:val="ManualNumPar1"/>
        <w:rPr>
          <w:noProof/>
        </w:rPr>
      </w:pPr>
      <w:r>
        <w:t>17.</w:t>
      </w:r>
      <w:r>
        <w:tab/>
      </w:r>
      <w:r>
        <w:rPr>
          <w:noProof/>
        </w:rPr>
        <w:t>Както вече бе посочено по-горе, изключително голямото увеличение на броя на пътниците, превозени от и за Италия от авиокомпаниите от Персийския залив и от Turkish airlines, е било основно за сметка на Alitalia. Намаляването на броя на превозените през 2014 г. пътници обратно до нивата от 2010 г. — което представлява спад с 3,6 % в сравнение с 2013 г. и с 6,4 % в сравнение с 2012 г. — в съчетание със загубите, натрупани в периода след цялостната приватизация на Alitalia през 2009 г., възлизащи на 1 137 милиона евро през първото тримесечие на 2014 г., са събитията, довели до съкращенията в Gruppo Alitalia, във връзка с които Италия отправи искане за подкрепа от ЕФПГ.</w:t>
      </w:r>
    </w:p>
    <w:p>
      <w:pPr>
        <w:pStyle w:val="ManualNumPar1"/>
        <w:rPr>
          <w:noProof/>
        </w:rPr>
      </w:pPr>
      <w:r>
        <w:t>18.</w:t>
      </w:r>
      <w:r>
        <w:tab/>
      </w:r>
      <w:r>
        <w:rPr>
          <w:noProof/>
        </w:rPr>
        <w:t>С оглед на тази ситуация (намаляване на броя на превозените пътници и натрупани загуби), на 12 юли 2014 г. Gruppo Alitalia, след постигнато съгласие със съответните синдикални организации</w:t>
      </w:r>
      <w:r>
        <w:rPr>
          <w:rStyle w:val="FootnoteReference"/>
          <w:noProof/>
        </w:rPr>
        <w:footnoteReference w:id="14"/>
      </w:r>
      <w:r>
        <w:rPr>
          <w:noProof/>
        </w:rPr>
        <w:t>, реши да подаде до Министерството на труда искане за помощ CIG</w:t>
      </w:r>
      <w:r>
        <w:rPr>
          <w:rStyle w:val="FootnoteReference"/>
          <w:noProof/>
        </w:rPr>
        <w:footnoteReference w:id="15"/>
      </w:r>
      <w:r>
        <w:rPr>
          <w:noProof/>
        </w:rPr>
        <w:t xml:space="preserve"> за изпаднало в криза дружество, отнасящо се за 1 635 работници. Впоследствие бе започната процедура </w:t>
      </w:r>
      <w:r>
        <w:rPr>
          <w:i/>
          <w:noProof/>
        </w:rPr>
        <w:t>mobilità</w:t>
      </w:r>
      <w:r>
        <w:rPr>
          <w:rStyle w:val="FootnoteReference"/>
          <w:i/>
          <w:noProof/>
        </w:rPr>
        <w:footnoteReference w:id="16"/>
      </w:r>
      <w:r>
        <w:rPr>
          <w:noProof/>
        </w:rPr>
        <w:t xml:space="preserve"> за 1 249 работници.</w:t>
      </w:r>
    </w:p>
    <w:p>
      <w:pPr>
        <w:pStyle w:val="ManualHeading3"/>
        <w:rPr>
          <w:noProof/>
        </w:rPr>
      </w:pPr>
      <w:r>
        <w:rPr>
          <w:noProof/>
        </w:rPr>
        <w:t>Очаквано въздействие на съкращенията върху местната, регионалната или националната икономика и върху заетостта</w:t>
      </w:r>
    </w:p>
    <w:p>
      <w:pPr>
        <w:pStyle w:val="ManualNumPar1"/>
        <w:rPr>
          <w:noProof/>
        </w:rPr>
      </w:pPr>
      <w:r>
        <w:t>19.</w:t>
      </w:r>
      <w:r>
        <w:tab/>
      </w:r>
      <w:r>
        <w:rPr>
          <w:noProof/>
        </w:rPr>
        <w:t>За производствената структура на региона на Лацио са характерни важната роля, която играе секторът на услугите, и ниската степен на индустриализация. Делът на услугите в добавената стойност е 85,4 % на регионално равнище, докато средно на национално равнище той е 74,1 %. В резултат на постоянните и големи потоци от туристи и посетители в региона и по-специално в Рим, свързаните с туризма сектори са сред най-развитите в Лацио.</w:t>
      </w:r>
    </w:p>
    <w:p>
      <w:pPr>
        <w:pStyle w:val="ManualNumPar1"/>
        <w:rPr>
          <w:noProof/>
        </w:rPr>
      </w:pPr>
      <w:r>
        <w:t>20.</w:t>
      </w:r>
      <w:r>
        <w:tab/>
      </w:r>
      <w:r>
        <w:rPr>
          <w:noProof/>
        </w:rPr>
        <w:t>Заетостта в Лацио е по-слабо засегната от последиците от икономическата и финансова криза в сравнение със заетостта на национално равнище. По данни на Евростат в периода 2008 — 2013 г. заетостта в Лацио е намаляла с 1,7 % (което представлява над 38 000 закрити работни места), докато заетостта в Италия е намаляла с 4,2 %, като закритите работни места са близо един милион.</w:t>
      </w:r>
    </w:p>
    <w:p>
      <w:pPr>
        <w:pStyle w:val="ManualNumPar1"/>
        <w:rPr>
          <w:noProof/>
        </w:rPr>
      </w:pPr>
      <w:r>
        <w:t>21.</w:t>
      </w:r>
      <w:r>
        <w:tab/>
      </w:r>
      <w:r>
        <w:rPr>
          <w:noProof/>
        </w:rPr>
        <w:t>През 2014 г. общият брой на часовете, за които е разрешено предоставянето на CIG, в Лацио се е увеличил с 12,3 % в сравнение с 2013 г. Освен това, като се има предвид, че броят на часовете, за които е разрешено предоставянето на CIG, е много висок още от 2011 г. насам, всяко увеличение оказва на пазара на труда по-голямо от очакваното въз основа на числата въздействие.</w:t>
      </w:r>
    </w:p>
    <w:p>
      <w:pPr>
        <w:pStyle w:val="ManualNumPar1"/>
        <w:rPr>
          <w:noProof/>
        </w:rPr>
      </w:pPr>
      <w:r>
        <w:lastRenderedPageBreak/>
        <w:t>22.</w:t>
      </w:r>
      <w:r>
        <w:tab/>
      </w:r>
      <w:r>
        <w:rPr>
          <w:noProof/>
        </w:rPr>
        <w:t>Също така в периода 2008 — 2013 г. заетостта в италианския сектор на въздушния транспорт е намаляла с почти 20 %</w:t>
      </w:r>
      <w:r>
        <w:rPr>
          <w:rStyle w:val="FootnoteReference"/>
          <w:noProof/>
        </w:rPr>
        <w:footnoteReference w:id="17"/>
      </w:r>
      <w:r>
        <w:rPr>
          <w:noProof/>
        </w:rPr>
        <w:t>. Съкращенията в Gruppo Alitalia допълнително ще усложнят вече тежката ситуация с оглед на заетостта.</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23.</w:t>
      </w:r>
      <w:r>
        <w:tab/>
      </w:r>
      <w:r>
        <w:rPr>
          <w:noProof/>
        </w:rPr>
        <w:t>Прогнозният брой на съкратените работници, които се очаква да вземат участие в мерките, е 184. Разпределението им по пол, гражданство и възрастова група е следното:</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w:t>
            </w:r>
            <w:r>
              <w:rPr>
                <w:noProof/>
              </w:rPr>
              <w:br/>
              <w:t>бенефициери от целевата група</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bottom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129</w:t>
            </w:r>
          </w:p>
        </w:tc>
        <w:tc>
          <w:tcPr>
            <w:tcW w:w="1176" w:type="dxa"/>
            <w:tcBorders>
              <w:top w:val="single" w:sz="4" w:space="0" w:color="auto"/>
              <w:left w:val="nil"/>
              <w:right w:val="nil"/>
            </w:tcBorders>
            <w:hideMark/>
          </w:tcPr>
          <w:p>
            <w:pPr>
              <w:spacing w:before="60" w:after="60"/>
              <w:jc w:val="right"/>
              <w:rPr>
                <w:noProof/>
              </w:rPr>
            </w:pPr>
            <w:r>
              <w:rPr>
                <w:noProof/>
              </w:rPr>
              <w:t>(70,1 %)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55</w:t>
            </w:r>
          </w:p>
        </w:tc>
        <w:tc>
          <w:tcPr>
            <w:tcW w:w="1176" w:type="dxa"/>
            <w:tcBorders>
              <w:bottom w:val="single" w:sz="4" w:space="0" w:color="auto"/>
            </w:tcBorders>
            <w:hideMark/>
          </w:tcPr>
          <w:p>
            <w:pPr>
              <w:spacing w:before="60" w:after="60"/>
              <w:jc w:val="right"/>
              <w:rPr>
                <w:noProof/>
              </w:rPr>
            </w:pPr>
            <w:r>
              <w:rPr>
                <w:noProof/>
              </w:rPr>
              <w:t>(29,9 %)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183</w:t>
            </w:r>
          </w:p>
        </w:tc>
        <w:tc>
          <w:tcPr>
            <w:tcW w:w="1176" w:type="dxa"/>
            <w:tcBorders>
              <w:top w:val="single" w:sz="4" w:space="0" w:color="auto"/>
            </w:tcBorders>
            <w:hideMark/>
          </w:tcPr>
          <w:p>
            <w:pPr>
              <w:spacing w:before="60" w:after="60"/>
              <w:jc w:val="right"/>
              <w:rPr>
                <w:noProof/>
              </w:rPr>
            </w:pPr>
            <w:r>
              <w:rPr>
                <w:noProof/>
              </w:rPr>
              <w:t>(99,5 %)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държави извън ЕС:</w:t>
            </w:r>
          </w:p>
        </w:tc>
        <w:tc>
          <w:tcPr>
            <w:tcW w:w="1176" w:type="dxa"/>
            <w:tcBorders>
              <w:bottom w:val="single" w:sz="4" w:space="0" w:color="auto"/>
            </w:tcBorders>
            <w:hideMark/>
          </w:tcPr>
          <w:p>
            <w:pPr>
              <w:spacing w:before="60" w:after="60"/>
              <w:jc w:val="right"/>
              <w:rPr>
                <w:noProof/>
              </w:rPr>
            </w:pPr>
            <w:r>
              <w:rPr>
                <w:noProof/>
              </w:rPr>
              <w:t>1</w:t>
            </w:r>
          </w:p>
        </w:tc>
        <w:tc>
          <w:tcPr>
            <w:tcW w:w="1176" w:type="dxa"/>
            <w:tcBorders>
              <w:bottom w:val="single" w:sz="4" w:space="0" w:color="auto"/>
            </w:tcBorders>
            <w:hideMark/>
          </w:tcPr>
          <w:p>
            <w:pPr>
              <w:spacing w:before="60" w:after="60"/>
              <w:jc w:val="right"/>
              <w:rPr>
                <w:noProof/>
              </w:rPr>
            </w:pPr>
            <w:r>
              <w:rPr>
                <w:noProof/>
              </w:rPr>
              <w:t>(0,5 %)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 — 24 години</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 — 29 години:</w:t>
            </w:r>
          </w:p>
        </w:tc>
        <w:tc>
          <w:tcPr>
            <w:tcW w:w="1176" w:type="dxa"/>
            <w:hideMark/>
          </w:tcPr>
          <w:p>
            <w:pPr>
              <w:spacing w:before="60" w:after="60"/>
              <w:jc w:val="right"/>
              <w:rPr>
                <w:noProof/>
              </w:rPr>
            </w:pPr>
            <w:r>
              <w:rPr>
                <w:noProof/>
              </w:rPr>
              <w:t>0</w:t>
            </w:r>
          </w:p>
        </w:tc>
        <w:tc>
          <w:tcPr>
            <w:tcW w:w="1176" w:type="dxa"/>
            <w:hideMark/>
          </w:tcPr>
          <w:p>
            <w:pPr>
              <w:spacing w:before="60" w:after="60"/>
              <w:jc w:val="right"/>
              <w:rPr>
                <w:noProof/>
              </w:rPr>
            </w:pPr>
            <w:r>
              <w:rPr>
                <w:noProof/>
              </w:rPr>
              <w:t>(0 %)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 — 54 години</w:t>
            </w:r>
          </w:p>
        </w:tc>
        <w:tc>
          <w:tcPr>
            <w:tcW w:w="1176" w:type="dxa"/>
            <w:hideMark/>
          </w:tcPr>
          <w:p>
            <w:pPr>
              <w:spacing w:before="60" w:after="60"/>
              <w:jc w:val="right"/>
              <w:rPr>
                <w:noProof/>
              </w:rPr>
            </w:pPr>
            <w:r>
              <w:rPr>
                <w:noProof/>
              </w:rPr>
              <w:t>178</w:t>
            </w:r>
          </w:p>
        </w:tc>
        <w:tc>
          <w:tcPr>
            <w:tcW w:w="1176" w:type="dxa"/>
            <w:hideMark/>
          </w:tcPr>
          <w:p>
            <w:pPr>
              <w:spacing w:before="60" w:after="60"/>
              <w:jc w:val="right"/>
              <w:rPr>
                <w:noProof/>
              </w:rPr>
            </w:pPr>
            <w:r>
              <w:rPr>
                <w:noProof/>
              </w:rPr>
              <w:t>(96,79 %)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 — 64 години:</w:t>
            </w:r>
          </w:p>
        </w:tc>
        <w:tc>
          <w:tcPr>
            <w:tcW w:w="1176" w:type="dxa"/>
            <w:hideMark/>
          </w:tcPr>
          <w:p>
            <w:pPr>
              <w:spacing w:before="60" w:after="60"/>
              <w:jc w:val="right"/>
              <w:rPr>
                <w:noProof/>
              </w:rPr>
            </w:pPr>
            <w:r>
              <w:rPr>
                <w:noProof/>
              </w:rPr>
              <w:t>6</w:t>
            </w:r>
          </w:p>
        </w:tc>
        <w:tc>
          <w:tcPr>
            <w:tcW w:w="1176" w:type="dxa"/>
            <w:hideMark/>
          </w:tcPr>
          <w:p>
            <w:pPr>
              <w:spacing w:before="60" w:after="60"/>
              <w:jc w:val="right"/>
              <w:rPr>
                <w:noProof/>
              </w:rPr>
            </w:pPr>
            <w:r>
              <w:rPr>
                <w:noProof/>
              </w:rPr>
              <w:t>(3,3 %)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(0 %)</w:t>
            </w:r>
          </w:p>
        </w:tc>
      </w:tr>
    </w:tbl>
    <w:p>
      <w:pPr>
        <w:pStyle w:val="ManualHeading3"/>
        <w:rPr>
          <w:noProof/>
          <w:u w:val="single"/>
        </w:rPr>
      </w:pPr>
      <w:r>
        <w:rPr>
          <w:noProof/>
        </w:rPr>
        <w:t>Допустимост на предложените действия</w:t>
      </w:r>
    </w:p>
    <w:p>
      <w:pPr>
        <w:pStyle w:val="ManualNumPar1"/>
        <w:rPr>
          <w:noProof/>
        </w:rPr>
      </w:pPr>
      <w:r>
        <w:t>24.</w:t>
      </w:r>
      <w:r>
        <w:tab/>
      </w:r>
      <w:r>
        <w:rPr>
          <w:noProof/>
        </w:rPr>
        <w:t xml:space="preserve">Персонализираните услуги, които се предвижда да бъдат предоставени на съкратените работници, включват следните действия: </w:t>
      </w:r>
    </w:p>
    <w:p>
      <w:pPr>
        <w:pStyle w:val="Tiret1"/>
        <w:numPr>
          <w:ilvl w:val="0"/>
          <w:numId w:val="13"/>
        </w:numPr>
        <w:rPr>
          <w:noProof/>
        </w:rPr>
      </w:pPr>
      <w:r>
        <w:rPr>
          <w:noProof/>
          <w:u w:val="single"/>
        </w:rPr>
        <w:t>Приемане и оценяване на уменията.</w:t>
      </w:r>
      <w:r>
        <w:rPr>
          <w:noProof/>
        </w:rPr>
        <w:t xml:space="preserve"> Подкрепата по първата мярка се предоставя на участниците от центровете по заетост и се състои в изготвяне на профил на работниците и в оценяване на уменията им, както и в предоставяне на информация за наличните услуги и за акредитираните агенции, които предоставят услугите. Заинтересованият от услугите работник избира агенция по своя преценка и сключва с центъра по заетост и агенцията т.нар. </w:t>
      </w:r>
      <w:r>
        <w:rPr>
          <w:i/>
          <w:noProof/>
        </w:rPr>
        <w:t>contratto di ricollocazione</w:t>
      </w:r>
      <w:r>
        <w:rPr>
          <w:noProof/>
        </w:rPr>
        <w:t xml:space="preserve"> (договор за повторно намиране на работа). Работникът приема да участва активно, а служителят се ангажира да оказва на работника активна подкрепа в търсенето на ново работно място.</w:t>
      </w:r>
    </w:p>
    <w:p>
      <w:pPr>
        <w:pStyle w:val="Tiret1"/>
        <w:rPr>
          <w:noProof/>
        </w:rPr>
      </w:pPr>
      <w:r>
        <w:rPr>
          <w:noProof/>
          <w:u w:val="single"/>
        </w:rPr>
        <w:lastRenderedPageBreak/>
        <w:t>Подкрепа за активно търсене на работа.</w:t>
      </w:r>
      <w:r>
        <w:rPr>
          <w:noProof/>
        </w:rPr>
        <w:t xml:space="preserve"> Акредитираните агенции ще предоставят на съкратените работници подкрепа за активно търсене на работа. Работниците ще бъдат прикрепени към наставник, който да ги подпомага и насочва. Наставникът също така ще помага на работниците да намерят решения, които да позволят повторното им назначаване на работа. На агенциите ще се заплаща в зависимост от постигнатите резултати. Те ще получават по 4 000 EUR за всеки съкратен работник, намерил постоянна работа, по 2 500 EUR за всеки съкратен работник, нает с договор за 12 или повече месеца, и по 1 000 EUR за всеки съкратен работник, сключил договор с най-малко шестмесечна продължителност. Когато не бъде намерено решение за съкратения работник, агенцията ще получава за всеки участник сума, която е в размер на 20 % от средната сума, получавана за повторно настанено на работа лице, и която се предоставя във връзка с услугите по наставничество и подкрепа</w:t>
      </w:r>
      <w:r>
        <w:rPr>
          <w:rStyle w:val="FootnoteReference"/>
          <w:noProof/>
        </w:rPr>
        <w:footnoteReference w:id="18"/>
      </w:r>
      <w:r>
        <w:rPr>
          <w:noProof/>
        </w:rPr>
        <w:t>.</w:t>
      </w:r>
    </w:p>
    <w:p>
      <w:pPr>
        <w:pStyle w:val="Tiret1"/>
        <w:rPr>
          <w:noProof/>
        </w:rPr>
      </w:pPr>
      <w:r>
        <w:rPr>
          <w:noProof/>
          <w:u w:val="single"/>
        </w:rPr>
        <w:t>Обучение.</w:t>
      </w:r>
      <w:r>
        <w:rPr>
          <w:noProof/>
        </w:rPr>
        <w:t xml:space="preserve"> На участниците ще се предлага професионално обучение с цел преквалификация или придобиване на допълнителна квалификация от работниците по заявка на евентуални работодатели.  Подготвителното обучение в образователна структура може да се комбинира с обучение на работното място в помещенията на евентуалния работодател. Средната прогнозна стойност на разходите за обучение е 4 800 EUR. </w:t>
      </w:r>
    </w:p>
    <w:p>
      <w:pPr>
        <w:pStyle w:val="Tiret1"/>
        <w:rPr>
          <w:noProof/>
        </w:rPr>
      </w:pPr>
      <w:r>
        <w:rPr>
          <w:noProof/>
          <w:u w:val="single"/>
        </w:rPr>
        <w:t>Възстановяване на разходи за мобилност.</w:t>
      </w:r>
      <w:r>
        <w:rPr>
          <w:noProof/>
        </w:rPr>
        <w:t xml:space="preserve"> Действителните разходи, правени от работниците във връзка с участието им в обучение на работното място в предприятия, намиращи се на 80 km или на по-голямо разстояние от дома на участниците, ще се възстановяват в размер до 5 000 EUR при представяне на фактури, данъчни документи или други равностойни счетоводни документи. Разходите за мобилност включват транспортните разходи, дневните разходи, разходите за престой и разходите за настаняване (разходи по преместване, за електричество, вода, газ и пр.).</w:t>
      </w:r>
    </w:p>
    <w:p>
      <w:pPr>
        <w:pStyle w:val="Tiret1"/>
        <w:rPr>
          <w:noProof/>
        </w:rPr>
      </w:pPr>
      <w:r>
        <w:rPr>
          <w:noProof/>
          <w:u w:val="single"/>
        </w:rPr>
        <w:t>Обезщетения за наемане на лица над 50-годишна възраст.</w:t>
      </w:r>
      <w:r>
        <w:rPr>
          <w:noProof/>
        </w:rPr>
        <w:t xml:space="preserve"> С това плащане се подпомагат съкратените работници, като се улеснява повторното им наемане на работа на срочен или безсрочен договор в други предприятия, които не са част от Gruppo Alitalia. Наемащото дружество ще получава по 7 000 EUR за всеки повторно нает с безсрочен договор работник, а за всеки работник, повторно нает със срочен договор — съответно 3 000 EUR, ако продължителността на срочния договор е най-малко 12 месеца, и 1 000 EUR, ако тя е най-малко 6 месеца. Ако работодател трансформира даден срочен договор, докато той все още е валиден, в безсрочен договор, получаваната за наемането помощ ще бъде допълнена до сумата от 7 000 EUR. Работодателят обаче няма право на допълнителни бонуси в случай на подновяване на срочни договори. </w:t>
      </w:r>
    </w:p>
    <w:p>
      <w:pPr>
        <w:pStyle w:val="ManualNumPar1"/>
        <w:rPr>
          <w:noProof/>
        </w:rPr>
      </w:pPr>
      <w:r>
        <w:t>25.</w:t>
      </w:r>
      <w:r>
        <w:tab/>
      </w:r>
      <w:r>
        <w:rPr>
          <w:noProof/>
        </w:rPr>
        <w:t xml:space="preserve">Предложените действия, описани в настоящия документ, представляват активни мерки на пазара на труда в рамките на допустимите действия, </w:t>
      </w:r>
      <w:r>
        <w:rPr>
          <w:noProof/>
        </w:rPr>
        <w:lastRenderedPageBreak/>
        <w:t>посочени в член 7 от Регламента за ЕФПГ. Тези действия не заместват пасивните мерки за социална закрила.</w:t>
      </w:r>
    </w:p>
    <w:p>
      <w:pPr>
        <w:pStyle w:val="ManualNumPar1"/>
        <w:rPr>
          <w:noProof/>
        </w:rPr>
      </w:pPr>
      <w:r>
        <w:t>26.</w:t>
      </w:r>
      <w:r>
        <w:tab/>
      </w:r>
      <w:r>
        <w:rPr>
          <w:noProof/>
        </w:rPr>
        <w:t>Италия предостави поисканата информация относно действията, които са задължителни за засегнатото предприятие по силата на националното законодателство или в съответствие с колективни споразумения. Тя потвърди, че финансовото участие от ЕФПГ няма да замени тези действия.</w:t>
      </w:r>
    </w:p>
    <w:p>
      <w:pPr>
        <w:pStyle w:val="ManualHeading3"/>
        <w:rPr>
          <w:noProof/>
        </w:rPr>
      </w:pPr>
      <w:r>
        <w:rPr>
          <w:noProof/>
        </w:rPr>
        <w:t>Прогнозен бюджет</w:t>
      </w:r>
    </w:p>
    <w:p>
      <w:pPr>
        <w:pStyle w:val="ManualNumPar1"/>
        <w:rPr>
          <w:noProof/>
        </w:rPr>
      </w:pPr>
      <w:r>
        <w:t>27.</w:t>
      </w:r>
      <w:r>
        <w:tab/>
      </w:r>
      <w:r>
        <w:rPr>
          <w:noProof/>
        </w:rPr>
        <w:t>Общите прогнозни разходи са в размер на 2 358 080 EUR, като в тях се включват разходи за персонализирани услуги на стойност 2 264 080 EUR и разходи за дейности по подготовка, управление, информиране и публичност, контрол и докладване в размер на 94 000 EUR.</w:t>
      </w:r>
    </w:p>
    <w:p>
      <w:pPr>
        <w:pStyle w:val="ManualNumPar1"/>
        <w:rPr>
          <w:noProof/>
        </w:rPr>
      </w:pPr>
      <w:r>
        <w:t>28.</w:t>
      </w:r>
      <w:r>
        <w:tab/>
      </w:r>
      <w:r>
        <w:rPr>
          <w:noProof/>
        </w:rPr>
        <w:t>Общият размер на заявеното финансово участие от ЕФПГ възлиза на 1 414 848 EUR (60 % от общия размер на разходите).</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03"/>
        <w:gridCol w:w="1512"/>
        <w:gridCol w:w="1518"/>
        <w:gridCol w:w="1956"/>
      </w:tblGrid>
      <w:tr>
        <w:tc>
          <w:tcPr>
            <w:tcW w:w="4303" w:type="dxa"/>
            <w:shd w:val="clear" w:color="auto" w:fill="auto"/>
            <w:vAlign w:val="center"/>
          </w:tcPr>
          <w:p>
            <w:pPr>
              <w:spacing w:before="60" w:after="60"/>
              <w:jc w:val="center"/>
              <w:rPr>
                <w:rFonts w:eastAsia="Times New Roman"/>
                <w:noProof/>
                <w:sz w:val="22"/>
              </w:rPr>
            </w:pPr>
            <w:r>
              <w:rPr>
                <w:noProof/>
                <w:sz w:val="22"/>
              </w:rPr>
              <w:t>Действия</w:t>
            </w:r>
          </w:p>
        </w:tc>
        <w:tc>
          <w:tcPr>
            <w:tcW w:w="1512"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18" w:type="dxa"/>
            <w:shd w:val="clear" w:color="auto" w:fill="auto"/>
            <w:vAlign w:val="center"/>
          </w:tcPr>
          <w:p>
            <w:pPr>
              <w:spacing w:before="60" w:after="60"/>
              <w:jc w:val="center"/>
              <w:rPr>
                <w:rFonts w:eastAsia="Times New Roman"/>
                <w:noProof/>
                <w:sz w:val="22"/>
              </w:rPr>
            </w:pPr>
            <w:r>
              <w:rPr>
                <w:noProof/>
                <w:sz w:val="22"/>
              </w:rPr>
              <w:t>Прогнозни разходи за един участник</w:t>
            </w:r>
            <w:r>
              <w:rPr>
                <w:rFonts w:eastAsia="Times New Roman"/>
                <w:noProof/>
                <w:sz w:val="22"/>
              </w:rPr>
              <w:br/>
            </w:r>
            <w:r>
              <w:rPr>
                <w:i/>
                <w:noProof/>
                <w:sz w:val="22"/>
              </w:rPr>
              <w:t>(EUR)</w:t>
            </w:r>
          </w:p>
        </w:tc>
        <w:tc>
          <w:tcPr>
            <w:tcW w:w="1956" w:type="dxa"/>
            <w:shd w:val="clear" w:color="auto" w:fill="auto"/>
            <w:vAlign w:val="center"/>
          </w:tcPr>
          <w:p>
            <w:pPr>
              <w:spacing w:before="60" w:after="60"/>
              <w:jc w:val="center"/>
              <w:rPr>
                <w:rFonts w:eastAsia="Times New Roman"/>
                <w:noProof/>
                <w:sz w:val="22"/>
              </w:rPr>
            </w:pPr>
            <w:r>
              <w:rPr>
                <w:noProof/>
                <w:sz w:val="22"/>
              </w:rPr>
              <w:t>Общо прогнозни разходи</w:t>
            </w:r>
          </w:p>
          <w:p>
            <w:pPr>
              <w:spacing w:before="60" w:after="60"/>
              <w:jc w:val="center"/>
              <w:rPr>
                <w:rFonts w:eastAsia="Times New Roman"/>
                <w:noProof/>
                <w:sz w:val="22"/>
              </w:rPr>
            </w:pPr>
            <w:r>
              <w:rPr>
                <w:i/>
                <w:noProof/>
                <w:sz w:val="22"/>
              </w:rPr>
              <w:t xml:space="preserve">(EUR) </w:t>
            </w:r>
          </w:p>
        </w:tc>
      </w:tr>
      <w:tr>
        <w:tc>
          <w:tcPr>
            <w:tcW w:w="9289"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Приемане и оценяване на уменията</w:t>
            </w:r>
            <w:r>
              <w:rPr>
                <w:noProof/>
              </w:rPr>
              <w:br/>
              <w:t>(</w:t>
            </w:r>
            <w:r>
              <w:rPr>
                <w:i/>
                <w:noProof/>
              </w:rPr>
              <w:t>Bilancio di competenze)</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184</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12 880</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Подкрепа за активно търсене на работа</w:t>
            </w:r>
            <w:r>
              <w:rPr>
                <w:noProof/>
              </w:rPr>
              <w:br/>
              <w:t>(</w:t>
            </w:r>
            <w:r>
              <w:rPr>
                <w:i/>
                <w:noProof/>
              </w:rPr>
              <w:t>Soggetto accreditato)</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184</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4 000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736 000</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Обучение</w:t>
            </w:r>
            <w:r>
              <w:rPr>
                <w:noProof/>
              </w:rPr>
              <w:br/>
            </w:r>
            <w:r>
              <w:rPr>
                <w:i/>
                <w:noProof/>
              </w:rPr>
              <w:t>(Formazione on demand)</w:t>
            </w:r>
            <w:r>
              <w:rPr>
                <w:noProof/>
              </w:rPr>
              <w:t xml:space="preserve"> </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184</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4 800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883 200</w:t>
            </w:r>
          </w:p>
        </w:tc>
      </w:tr>
      <w:tr>
        <w:trPr>
          <w:trHeight w:val="398"/>
        </w:trPr>
        <w:tc>
          <w:tcPr>
            <w:tcW w:w="4303"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t xml:space="preserve">Процент от пакета от персонализирани услуги </w:t>
            </w:r>
          </w:p>
        </w:tc>
        <w:tc>
          <w:tcPr>
            <w:tcW w:w="3030"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956" w:type="dxa"/>
            <w:tcBorders>
              <w:bottom w:val="nil"/>
            </w:tcBorders>
            <w:shd w:val="clear" w:color="auto" w:fill="auto"/>
            <w:vAlign w:val="center"/>
          </w:tcPr>
          <w:p>
            <w:pPr>
              <w:spacing w:before="60" w:after="60"/>
              <w:jc w:val="center"/>
              <w:rPr>
                <w:rFonts w:eastAsia="Times New Roman"/>
                <w:noProof/>
                <w:sz w:val="22"/>
              </w:rPr>
            </w:pPr>
            <w:r>
              <w:rPr>
                <w:noProof/>
              </w:rPr>
              <w:t>1 632 080</w:t>
            </w:r>
          </w:p>
        </w:tc>
      </w:tr>
      <w:tr>
        <w:trPr>
          <w:trHeight w:val="397"/>
        </w:trPr>
        <w:tc>
          <w:tcPr>
            <w:tcW w:w="4303" w:type="dxa"/>
            <w:vMerge/>
            <w:shd w:val="clear" w:color="auto" w:fill="auto"/>
            <w:vAlign w:val="center"/>
          </w:tcPr>
          <w:p>
            <w:pPr>
              <w:spacing w:before="60" w:after="60"/>
              <w:jc w:val="right"/>
              <w:rPr>
                <w:rFonts w:eastAsia="Times New Roman"/>
                <w:noProof/>
                <w:sz w:val="22"/>
              </w:rPr>
            </w:pPr>
          </w:p>
        </w:tc>
        <w:tc>
          <w:tcPr>
            <w:tcW w:w="3030" w:type="dxa"/>
            <w:gridSpan w:val="2"/>
            <w:vMerge/>
            <w:shd w:val="clear" w:color="auto" w:fill="D9D9D9"/>
            <w:vAlign w:val="center"/>
          </w:tcPr>
          <w:p>
            <w:pPr>
              <w:spacing w:before="60" w:after="60"/>
              <w:jc w:val="center"/>
              <w:rPr>
                <w:rFonts w:eastAsia="Times New Roman"/>
                <w:noProof/>
                <w:sz w:val="22"/>
              </w:rPr>
            </w:pPr>
          </w:p>
        </w:tc>
        <w:tc>
          <w:tcPr>
            <w:tcW w:w="1956"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72,09 </w:t>
            </w:r>
            <w:r>
              <w:rPr>
                <w:noProof/>
                <w:sz w:val="22"/>
              </w:rPr>
              <w:t>%)</w:t>
            </w:r>
          </w:p>
        </w:tc>
      </w:tr>
      <w:tr>
        <w:tc>
          <w:tcPr>
            <w:tcW w:w="9289" w:type="dxa"/>
            <w:gridSpan w:val="4"/>
            <w:shd w:val="clear" w:color="auto" w:fill="auto"/>
            <w:vAlign w:val="center"/>
          </w:tcPr>
          <w:p>
            <w:pPr>
              <w:spacing w:before="60" w:after="60"/>
              <w:jc w:val="left"/>
              <w:rPr>
                <w:noProof/>
                <w:sz w:val="22"/>
              </w:rPr>
            </w:pPr>
            <w:r>
              <w:rPr>
                <w:noProof/>
                <w:sz w:val="22"/>
              </w:rPr>
              <w:t>Помощи и стимули (действия по член 7, параграф 1, буква б) от Регламента за ЕФПГ)</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Възстановяване на разходи за мобилност</w:t>
            </w:r>
            <w:r>
              <w:rPr>
                <w:noProof/>
              </w:rPr>
              <w:br/>
              <w:t>(</w:t>
            </w:r>
            <w:r>
              <w:rPr>
                <w:i/>
                <w:noProof/>
              </w:rPr>
              <w:t>Bonus di mobilità per la formazione)</w:t>
            </w:r>
            <w:r>
              <w:rPr>
                <w:noProof/>
              </w:rPr>
              <w:t xml:space="preserve"> </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90</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5 000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450 000</w:t>
            </w:r>
          </w:p>
        </w:tc>
      </w:tr>
      <w:tr>
        <w:trPr>
          <w:trHeight w:val="802"/>
        </w:trPr>
        <w:tc>
          <w:tcPr>
            <w:tcW w:w="4303"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Обезщетения за наемане на лица над 50-годишна възраст</w:t>
            </w:r>
            <w:r>
              <w:rPr>
                <w:noProof/>
              </w:rPr>
              <w:br/>
            </w:r>
            <w:r>
              <w:rPr>
                <w:i/>
                <w:noProof/>
              </w:rPr>
              <w:t>(Bonus assunzione over 50)</w:t>
            </w:r>
          </w:p>
        </w:tc>
        <w:tc>
          <w:tcPr>
            <w:tcW w:w="151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26</w:t>
            </w:r>
          </w:p>
        </w:tc>
        <w:tc>
          <w:tcPr>
            <w:tcW w:w="151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7 000</w:t>
            </w:r>
          </w:p>
        </w:tc>
        <w:tc>
          <w:tcPr>
            <w:tcW w:w="1956"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182 000</w:t>
            </w:r>
          </w:p>
        </w:tc>
      </w:tr>
      <w:tr>
        <w:trPr>
          <w:trHeight w:val="203"/>
        </w:trPr>
        <w:tc>
          <w:tcPr>
            <w:tcW w:w="4303"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от персонализирани услуги:</w:t>
            </w:r>
          </w:p>
        </w:tc>
        <w:tc>
          <w:tcPr>
            <w:tcW w:w="3030"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956" w:type="dxa"/>
            <w:tcBorders>
              <w:bottom w:val="nil"/>
            </w:tcBorders>
            <w:shd w:val="clear" w:color="auto" w:fill="auto"/>
            <w:vAlign w:val="center"/>
          </w:tcPr>
          <w:p>
            <w:pPr>
              <w:spacing w:before="60" w:after="60"/>
              <w:jc w:val="center"/>
              <w:rPr>
                <w:rFonts w:eastAsia="Times New Roman"/>
                <w:noProof/>
                <w:sz w:val="22"/>
              </w:rPr>
            </w:pPr>
            <w:r>
              <w:rPr>
                <w:noProof/>
              </w:rPr>
              <w:t>632 000</w:t>
            </w:r>
          </w:p>
        </w:tc>
      </w:tr>
      <w:tr>
        <w:trPr>
          <w:trHeight w:val="202"/>
        </w:trPr>
        <w:tc>
          <w:tcPr>
            <w:tcW w:w="4303" w:type="dxa"/>
            <w:vMerge/>
            <w:shd w:val="clear" w:color="auto" w:fill="auto"/>
            <w:vAlign w:val="center"/>
          </w:tcPr>
          <w:p>
            <w:pPr>
              <w:spacing w:before="60" w:after="60"/>
              <w:jc w:val="right"/>
              <w:rPr>
                <w:rFonts w:eastAsia="Times New Roman"/>
                <w:noProof/>
                <w:sz w:val="22"/>
              </w:rPr>
            </w:pPr>
          </w:p>
        </w:tc>
        <w:tc>
          <w:tcPr>
            <w:tcW w:w="3030" w:type="dxa"/>
            <w:gridSpan w:val="2"/>
            <w:vMerge/>
            <w:shd w:val="clear" w:color="auto" w:fill="D9D9D9"/>
            <w:vAlign w:val="center"/>
          </w:tcPr>
          <w:p>
            <w:pPr>
              <w:spacing w:before="60" w:after="60"/>
              <w:jc w:val="center"/>
              <w:rPr>
                <w:rFonts w:eastAsia="Times New Roman"/>
                <w:noProof/>
                <w:sz w:val="22"/>
              </w:rPr>
            </w:pPr>
          </w:p>
        </w:tc>
        <w:tc>
          <w:tcPr>
            <w:tcW w:w="1956" w:type="dxa"/>
            <w:tcBorders>
              <w:top w:val="nil"/>
            </w:tcBorders>
            <w:shd w:val="clear" w:color="auto" w:fill="auto"/>
            <w:vAlign w:val="center"/>
          </w:tcPr>
          <w:p>
            <w:pPr>
              <w:spacing w:before="60" w:after="60"/>
              <w:jc w:val="center"/>
              <w:rPr>
                <w:rFonts w:eastAsia="Times New Roman"/>
                <w:noProof/>
                <w:sz w:val="22"/>
              </w:rPr>
            </w:pPr>
            <w:r>
              <w:rPr>
                <w:noProof/>
                <w:sz w:val="22"/>
              </w:rPr>
              <w:t>(27,91</w:t>
            </w:r>
            <w:r>
              <w:rPr>
                <w:noProof/>
              </w:rPr>
              <w:t> </w:t>
            </w:r>
            <w:r>
              <w:rPr>
                <w:noProof/>
                <w:sz w:val="22"/>
              </w:rPr>
              <w:t>%)</w:t>
            </w:r>
          </w:p>
        </w:tc>
      </w:tr>
    </w:tbl>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08"/>
        <w:gridCol w:w="3000"/>
        <w:gridCol w:w="1980"/>
      </w:tblGrid>
      <w:tr>
        <w:tc>
          <w:tcPr>
            <w:tcW w:w="9288" w:type="dxa"/>
            <w:gridSpan w:val="3"/>
            <w:shd w:val="clear" w:color="auto" w:fill="auto"/>
            <w:vAlign w:val="center"/>
          </w:tcPr>
          <w:p>
            <w:pPr>
              <w:spacing w:before="60" w:after="60"/>
              <w:jc w:val="left"/>
              <w:rPr>
                <w:rFonts w:eastAsia="Times New Roman"/>
                <w:noProof/>
                <w:sz w:val="22"/>
              </w:rPr>
            </w:pPr>
            <w:r>
              <w:rPr>
                <w:noProof/>
                <w:sz w:val="22"/>
              </w:rPr>
              <w:lastRenderedPageBreak/>
              <w:t>Действия по член 7, параграф 4 от Регламента за ЕФПГ</w:t>
            </w:r>
          </w:p>
        </w:tc>
      </w:tr>
      <w:tr>
        <w:tc>
          <w:tcPr>
            <w:tcW w:w="4308" w:type="dxa"/>
            <w:shd w:val="clear" w:color="auto" w:fill="auto"/>
          </w:tcPr>
          <w:p>
            <w:pPr>
              <w:spacing w:before="60" w:after="60"/>
              <w:ind w:left="284"/>
              <w:jc w:val="left"/>
              <w:rPr>
                <w:rFonts w:eastAsia="Times New Roman"/>
                <w:noProof/>
                <w:sz w:val="22"/>
              </w:rPr>
            </w:pPr>
            <w:r>
              <w:rPr>
                <w:noProof/>
                <w:sz w:val="22"/>
              </w:rPr>
              <w:t>1. Подготовка</w:t>
            </w:r>
          </w:p>
        </w:tc>
        <w:tc>
          <w:tcPr>
            <w:tcW w:w="3000" w:type="dxa"/>
            <w:shd w:val="clear" w:color="auto" w:fill="D9D9D9"/>
            <w:vAlign w:val="center"/>
          </w:tcPr>
          <w:p>
            <w:pPr>
              <w:spacing w:before="60" w:after="60"/>
              <w:jc w:val="center"/>
              <w:rPr>
                <w:rFonts w:eastAsia="Times New Roman"/>
                <w:noProof/>
                <w:sz w:val="22"/>
              </w:rPr>
            </w:pPr>
            <w:r>
              <w:rPr>
                <w:noProof/>
                <w:sz w:val="22"/>
              </w:rPr>
              <w:t>–</w:t>
            </w:r>
          </w:p>
        </w:tc>
        <w:tc>
          <w:tcPr>
            <w:tcW w:w="1980" w:type="dxa"/>
            <w:shd w:val="clear" w:color="auto" w:fill="auto"/>
          </w:tcPr>
          <w:p>
            <w:pPr>
              <w:spacing w:before="60" w:after="60"/>
              <w:jc w:val="center"/>
              <w:rPr>
                <w:rFonts w:eastAsia="Times New Roman"/>
                <w:noProof/>
                <w:sz w:val="22"/>
              </w:rPr>
            </w:pPr>
            <w:r>
              <w:rPr>
                <w:noProof/>
              </w:rPr>
              <w:t>8 500</w:t>
            </w:r>
          </w:p>
        </w:tc>
      </w:tr>
      <w:tr>
        <w:tc>
          <w:tcPr>
            <w:tcW w:w="4308" w:type="dxa"/>
            <w:shd w:val="clear" w:color="auto" w:fill="auto"/>
          </w:tcPr>
          <w:p>
            <w:pPr>
              <w:spacing w:before="60" w:after="60"/>
              <w:ind w:left="284"/>
              <w:jc w:val="left"/>
              <w:rPr>
                <w:rFonts w:eastAsia="Times New Roman"/>
                <w:noProof/>
                <w:sz w:val="22"/>
              </w:rPr>
            </w:pPr>
            <w:r>
              <w:rPr>
                <w:noProof/>
                <w:sz w:val="22"/>
              </w:rPr>
              <w:t>2. Управление</w:t>
            </w:r>
          </w:p>
        </w:tc>
        <w:tc>
          <w:tcPr>
            <w:tcW w:w="3000" w:type="dxa"/>
            <w:shd w:val="clear" w:color="auto" w:fill="D9D9D9"/>
            <w:vAlign w:val="center"/>
          </w:tcPr>
          <w:p>
            <w:pPr>
              <w:spacing w:before="60" w:after="60"/>
              <w:jc w:val="center"/>
              <w:rPr>
                <w:rFonts w:eastAsia="Times New Roman"/>
                <w:noProof/>
                <w:sz w:val="22"/>
              </w:rPr>
            </w:pPr>
            <w:r>
              <w:rPr>
                <w:noProof/>
                <w:sz w:val="22"/>
              </w:rPr>
              <w:t>–</w:t>
            </w:r>
          </w:p>
        </w:tc>
        <w:tc>
          <w:tcPr>
            <w:tcW w:w="1980" w:type="dxa"/>
            <w:shd w:val="clear" w:color="auto" w:fill="auto"/>
          </w:tcPr>
          <w:p>
            <w:pPr>
              <w:spacing w:before="60" w:after="60"/>
              <w:jc w:val="center"/>
              <w:rPr>
                <w:rFonts w:eastAsia="Times New Roman"/>
                <w:noProof/>
                <w:sz w:val="22"/>
              </w:rPr>
            </w:pPr>
            <w:r>
              <w:rPr>
                <w:noProof/>
              </w:rPr>
              <w:t>35 000</w:t>
            </w:r>
          </w:p>
        </w:tc>
      </w:tr>
      <w:tr>
        <w:tc>
          <w:tcPr>
            <w:tcW w:w="4308" w:type="dxa"/>
            <w:shd w:val="clear" w:color="auto" w:fill="auto"/>
          </w:tcPr>
          <w:p>
            <w:pPr>
              <w:spacing w:before="60" w:after="60"/>
              <w:ind w:left="284"/>
              <w:jc w:val="left"/>
              <w:rPr>
                <w:rFonts w:eastAsia="Times New Roman"/>
                <w:noProof/>
                <w:sz w:val="22"/>
              </w:rPr>
            </w:pPr>
            <w:r>
              <w:rPr>
                <w:noProof/>
                <w:sz w:val="22"/>
              </w:rPr>
              <w:t>3. Информиране и публичност</w:t>
            </w:r>
          </w:p>
        </w:tc>
        <w:tc>
          <w:tcPr>
            <w:tcW w:w="3000" w:type="dxa"/>
            <w:shd w:val="clear" w:color="auto" w:fill="D9D9D9"/>
            <w:vAlign w:val="center"/>
          </w:tcPr>
          <w:p>
            <w:pPr>
              <w:spacing w:before="60" w:after="60"/>
              <w:jc w:val="center"/>
              <w:rPr>
                <w:rFonts w:eastAsia="Times New Roman"/>
                <w:noProof/>
                <w:sz w:val="22"/>
              </w:rPr>
            </w:pPr>
            <w:r>
              <w:rPr>
                <w:noProof/>
                <w:sz w:val="22"/>
              </w:rPr>
              <w:t>–</w:t>
            </w:r>
          </w:p>
        </w:tc>
        <w:tc>
          <w:tcPr>
            <w:tcW w:w="1980" w:type="dxa"/>
            <w:shd w:val="clear" w:color="auto" w:fill="auto"/>
          </w:tcPr>
          <w:p>
            <w:pPr>
              <w:spacing w:before="60" w:after="60"/>
              <w:jc w:val="center"/>
              <w:rPr>
                <w:rFonts w:eastAsia="Times New Roman"/>
                <w:noProof/>
                <w:sz w:val="22"/>
              </w:rPr>
            </w:pPr>
            <w:r>
              <w:rPr>
                <w:noProof/>
              </w:rPr>
              <w:t>8 500</w:t>
            </w:r>
          </w:p>
        </w:tc>
      </w:tr>
      <w:tr>
        <w:tc>
          <w:tcPr>
            <w:tcW w:w="4308" w:type="dxa"/>
            <w:shd w:val="clear" w:color="auto" w:fill="auto"/>
          </w:tcPr>
          <w:p>
            <w:pPr>
              <w:spacing w:before="60" w:after="60"/>
              <w:ind w:left="284"/>
              <w:jc w:val="left"/>
              <w:rPr>
                <w:rFonts w:eastAsia="Times New Roman"/>
                <w:noProof/>
                <w:sz w:val="22"/>
              </w:rPr>
            </w:pPr>
            <w:r>
              <w:rPr>
                <w:noProof/>
                <w:sz w:val="22"/>
              </w:rPr>
              <w:t>4. Контрол и докладване</w:t>
            </w:r>
          </w:p>
        </w:tc>
        <w:tc>
          <w:tcPr>
            <w:tcW w:w="3000" w:type="dxa"/>
            <w:shd w:val="clear" w:color="auto" w:fill="D9D9D9"/>
            <w:vAlign w:val="center"/>
          </w:tcPr>
          <w:p>
            <w:pPr>
              <w:spacing w:before="60" w:after="60"/>
              <w:jc w:val="center"/>
              <w:rPr>
                <w:rFonts w:eastAsia="Times New Roman"/>
                <w:noProof/>
                <w:sz w:val="22"/>
              </w:rPr>
            </w:pPr>
            <w:r>
              <w:rPr>
                <w:noProof/>
                <w:sz w:val="22"/>
              </w:rPr>
              <w:t>–</w:t>
            </w:r>
          </w:p>
        </w:tc>
        <w:tc>
          <w:tcPr>
            <w:tcW w:w="1980" w:type="dxa"/>
            <w:tcBorders>
              <w:bottom w:val="single" w:sz="4" w:space="0" w:color="auto"/>
            </w:tcBorders>
            <w:shd w:val="clear" w:color="auto" w:fill="auto"/>
          </w:tcPr>
          <w:p>
            <w:pPr>
              <w:spacing w:before="60" w:after="60"/>
              <w:jc w:val="center"/>
              <w:rPr>
                <w:rFonts w:eastAsia="Times New Roman"/>
                <w:noProof/>
                <w:sz w:val="22"/>
              </w:rPr>
            </w:pPr>
            <w:r>
              <w:rPr>
                <w:noProof/>
              </w:rPr>
              <w:t>42 000</w:t>
            </w:r>
          </w:p>
        </w:tc>
      </w:tr>
      <w:tr>
        <w:trPr>
          <w:trHeight w:val="203"/>
        </w:trPr>
        <w:tc>
          <w:tcPr>
            <w:tcW w:w="4308" w:type="dxa"/>
            <w:vMerge w:val="restart"/>
            <w:shd w:val="clear" w:color="auto" w:fill="auto"/>
            <w:vAlign w:val="center"/>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3000" w:type="dxa"/>
            <w:vMerge w:val="restart"/>
            <w:shd w:val="clear" w:color="auto" w:fill="D9D9D9"/>
            <w:vAlign w:val="center"/>
          </w:tcPr>
          <w:p>
            <w:pPr>
              <w:spacing w:before="0" w:after="0"/>
              <w:jc w:val="center"/>
              <w:rPr>
                <w:rFonts w:eastAsia="Times New Roman"/>
                <w:noProof/>
                <w:sz w:val="22"/>
              </w:rPr>
            </w:pPr>
            <w:r>
              <w:rPr>
                <w:noProof/>
                <w:sz w:val="22"/>
              </w:rPr>
              <w:t>–</w:t>
            </w:r>
          </w:p>
        </w:tc>
        <w:tc>
          <w:tcPr>
            <w:tcW w:w="1980" w:type="dxa"/>
            <w:tcBorders>
              <w:bottom w:val="nil"/>
            </w:tcBorders>
            <w:shd w:val="clear" w:color="auto" w:fill="auto"/>
            <w:vAlign w:val="center"/>
          </w:tcPr>
          <w:p>
            <w:pPr>
              <w:spacing w:before="60" w:after="60"/>
              <w:jc w:val="center"/>
              <w:rPr>
                <w:rFonts w:eastAsia="Times New Roman"/>
                <w:noProof/>
                <w:sz w:val="22"/>
              </w:rPr>
            </w:pPr>
            <w:r>
              <w:rPr>
                <w:noProof/>
              </w:rPr>
              <w:t>94 000</w:t>
            </w:r>
          </w:p>
        </w:tc>
      </w:tr>
      <w:tr>
        <w:trPr>
          <w:trHeight w:val="202"/>
        </w:trPr>
        <w:tc>
          <w:tcPr>
            <w:tcW w:w="4308" w:type="dxa"/>
            <w:vMerge/>
            <w:shd w:val="clear" w:color="auto" w:fill="auto"/>
          </w:tcPr>
          <w:p>
            <w:pPr>
              <w:spacing w:before="0" w:after="0"/>
              <w:jc w:val="right"/>
              <w:rPr>
                <w:rFonts w:eastAsia="Times New Roman"/>
                <w:noProof/>
                <w:sz w:val="22"/>
              </w:rPr>
            </w:pPr>
          </w:p>
        </w:tc>
        <w:tc>
          <w:tcPr>
            <w:tcW w:w="3000" w:type="dxa"/>
            <w:vMerge/>
            <w:shd w:val="clear" w:color="auto" w:fill="D9D9D9"/>
            <w:vAlign w:val="center"/>
          </w:tcPr>
          <w:p>
            <w:pPr>
              <w:spacing w:before="0" w:after="0"/>
              <w:jc w:val="center"/>
              <w:rPr>
                <w:rFonts w:eastAsia="Times New Roman"/>
                <w:noProof/>
                <w:sz w:val="22"/>
              </w:rPr>
            </w:pPr>
          </w:p>
        </w:tc>
        <w:tc>
          <w:tcPr>
            <w:tcW w:w="1980"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3,99 </w:t>
            </w:r>
            <w:r>
              <w:rPr>
                <w:noProof/>
                <w:sz w:val="22"/>
              </w:rPr>
              <w:t>%)</w:t>
            </w:r>
          </w:p>
        </w:tc>
      </w:tr>
      <w:tr>
        <w:tc>
          <w:tcPr>
            <w:tcW w:w="4308" w:type="dxa"/>
            <w:shd w:val="clear" w:color="auto" w:fill="auto"/>
          </w:tcPr>
          <w:p>
            <w:pPr>
              <w:spacing w:before="60" w:after="60"/>
              <w:jc w:val="left"/>
              <w:rPr>
                <w:rFonts w:eastAsia="Times New Roman"/>
                <w:noProof/>
                <w:sz w:val="22"/>
              </w:rPr>
            </w:pPr>
            <w:r>
              <w:rPr>
                <w:noProof/>
                <w:sz w:val="22"/>
              </w:rPr>
              <w:t>Общо разходи (а + б + в):</w:t>
            </w:r>
          </w:p>
        </w:tc>
        <w:tc>
          <w:tcPr>
            <w:tcW w:w="3000" w:type="dxa"/>
            <w:shd w:val="clear" w:color="auto" w:fill="D9D9D9"/>
            <w:vAlign w:val="center"/>
          </w:tcPr>
          <w:p>
            <w:pPr>
              <w:spacing w:before="60" w:after="60"/>
              <w:jc w:val="center"/>
              <w:rPr>
                <w:rFonts w:eastAsia="Times New Roman"/>
                <w:noProof/>
                <w:sz w:val="22"/>
              </w:rPr>
            </w:pPr>
            <w:r>
              <w:rPr>
                <w:noProof/>
                <w:sz w:val="22"/>
              </w:rPr>
              <w:t>–</w:t>
            </w:r>
          </w:p>
        </w:tc>
        <w:tc>
          <w:tcPr>
            <w:tcW w:w="1980" w:type="dxa"/>
            <w:shd w:val="clear" w:color="auto" w:fill="auto"/>
          </w:tcPr>
          <w:p>
            <w:pPr>
              <w:spacing w:before="60" w:after="60"/>
              <w:jc w:val="center"/>
              <w:rPr>
                <w:noProof/>
                <w:sz w:val="22"/>
              </w:rPr>
            </w:pPr>
            <w:r>
              <w:rPr>
                <w:noProof/>
              </w:rPr>
              <w:t>2 358 080</w:t>
            </w:r>
          </w:p>
        </w:tc>
      </w:tr>
      <w:tr>
        <w:tc>
          <w:tcPr>
            <w:tcW w:w="4308" w:type="dxa"/>
            <w:shd w:val="clear" w:color="auto" w:fill="auto"/>
          </w:tcPr>
          <w:p>
            <w:pPr>
              <w:spacing w:before="60" w:after="60"/>
              <w:jc w:val="left"/>
              <w:rPr>
                <w:rFonts w:eastAsia="Times New Roman"/>
                <w:noProof/>
                <w:sz w:val="22"/>
              </w:rPr>
            </w:pPr>
            <w:r>
              <w:rPr>
                <w:noProof/>
                <w:sz w:val="22"/>
              </w:rPr>
              <w:t>Финансово участие от ЕФПГ (60 % от общия размер на разходите)</w:t>
            </w:r>
          </w:p>
        </w:tc>
        <w:tc>
          <w:tcPr>
            <w:tcW w:w="3000" w:type="dxa"/>
            <w:shd w:val="clear" w:color="auto" w:fill="D9D9D9"/>
            <w:vAlign w:val="center"/>
          </w:tcPr>
          <w:p>
            <w:pPr>
              <w:spacing w:before="60" w:after="60"/>
              <w:jc w:val="center"/>
              <w:rPr>
                <w:rFonts w:eastAsia="Times New Roman"/>
                <w:noProof/>
                <w:sz w:val="22"/>
              </w:rPr>
            </w:pPr>
            <w:r>
              <w:rPr>
                <w:noProof/>
                <w:sz w:val="22"/>
              </w:rPr>
              <w:t>–</w:t>
            </w:r>
          </w:p>
        </w:tc>
        <w:tc>
          <w:tcPr>
            <w:tcW w:w="1980" w:type="dxa"/>
            <w:shd w:val="clear" w:color="auto" w:fill="auto"/>
          </w:tcPr>
          <w:p>
            <w:pPr>
              <w:spacing w:before="60" w:after="60"/>
              <w:jc w:val="center"/>
              <w:rPr>
                <w:rFonts w:eastAsia="Times New Roman"/>
                <w:noProof/>
                <w:sz w:val="22"/>
              </w:rPr>
            </w:pPr>
            <w:r>
              <w:rPr>
                <w:noProof/>
              </w:rPr>
              <w:t>1 414 848</w:t>
            </w:r>
          </w:p>
        </w:tc>
      </w:tr>
    </w:tbl>
    <w:p>
      <w:pPr>
        <w:pStyle w:val="ManualNumPar1"/>
        <w:rPr>
          <w:noProof/>
          <w:szCs w:val="20"/>
        </w:rPr>
      </w:pPr>
      <w:r>
        <w:t>29.</w:t>
      </w:r>
      <w:r>
        <w:tab/>
      </w:r>
      <w:r>
        <w:rPr>
          <w:noProof/>
        </w:rPr>
        <w:t>Разходите за действията, определени в горната таблица като действия по член 7, параграф 1, буква б) от Регламента за ЕФПГ, не надвишават 35 % от общите разходи за съгласувания пакет от персонализирани услуги.</w:t>
      </w:r>
    </w:p>
    <w:p>
      <w:pPr>
        <w:pStyle w:val="ManualHeading3"/>
        <w:rPr>
          <w:noProof/>
        </w:rPr>
      </w:pPr>
      <w:r>
        <w:rPr>
          <w:noProof/>
        </w:rPr>
        <w:t>Период на допустимост на разходите</w:t>
      </w:r>
    </w:p>
    <w:p>
      <w:pPr>
        <w:pStyle w:val="ManualNumPar1"/>
        <w:rPr>
          <w:noProof/>
        </w:rPr>
      </w:pPr>
      <w:r>
        <w:t>30.</w:t>
      </w:r>
      <w:r>
        <w:tab/>
      </w:r>
      <w:r>
        <w:rPr>
          <w:noProof/>
        </w:rPr>
        <w:t>Италия е започнала да предоставя персонализирани услуги на бенефициерите от целевата група на 1 април 2015 г. С оглед на това разходите за действията по точка 24 са допустими за предоставяне на финансово участие от ЕФПГ през периода от 1 април 2015 г. до 1 април 2017 г.</w:t>
      </w:r>
    </w:p>
    <w:p>
      <w:pPr>
        <w:pStyle w:val="ManualNumPar1"/>
        <w:rPr>
          <w:noProof/>
        </w:rPr>
      </w:pPr>
      <w:r>
        <w:t>31.</w:t>
      </w:r>
      <w:r>
        <w:tab/>
      </w:r>
      <w:r>
        <w:rPr>
          <w:noProof/>
        </w:rPr>
        <w:t xml:space="preserve">Италия е започнала да извършва административни разходи по прилагането на ЕФПГ на 30 януари 2015 г. С оглед на това разходите за действията по подготовка, управление, информиране и публичност, контрол и докладване са допустими за предоставяне на финансово участие от ЕФПГ през периода от 30 януари 2015 г. до 1 октомври 2017 г. </w:t>
      </w:r>
    </w:p>
    <w:p>
      <w:pPr>
        <w:pStyle w:val="ManualHeading3"/>
        <w:rPr>
          <w:noProof/>
        </w:rPr>
      </w:pPr>
      <w:r>
        <w:rPr>
          <w:noProof/>
        </w:rPr>
        <w:t>Допълване с действия, финансирани с национални средства или със средства от Съюза</w:t>
      </w:r>
    </w:p>
    <w:p>
      <w:pPr>
        <w:pStyle w:val="ManualNumPar1"/>
        <w:rPr>
          <w:i/>
          <w:noProof/>
        </w:rPr>
      </w:pPr>
      <w:r>
        <w:t>32.</w:t>
      </w:r>
      <w:r>
        <w:tab/>
      </w:r>
      <w:r>
        <w:rPr>
          <w:noProof/>
        </w:rPr>
        <w:t>Източникът на национално предварително финансиране или съфинансиране е Фондът за активни политики, посочен в член 1, параграф 215 от Закон № 147/2013</w:t>
      </w:r>
      <w:r>
        <w:rPr>
          <w:rStyle w:val="FootnoteReference"/>
          <w:noProof/>
        </w:rPr>
        <w:footnoteReference w:id="19"/>
      </w:r>
      <w:r>
        <w:rPr>
          <w:i/>
          <w:noProof/>
        </w:rPr>
        <w:t>.</w:t>
      </w:r>
    </w:p>
    <w:p>
      <w:pPr>
        <w:pStyle w:val="ManualNumPar1"/>
        <w:rPr>
          <w:noProof/>
        </w:rPr>
      </w:pPr>
      <w:r>
        <w:t>33.</w:t>
      </w:r>
      <w:r>
        <w:tab/>
      </w:r>
      <w:r>
        <w:rPr>
          <w:noProof/>
        </w:rPr>
        <w:t>Италия е потвърдила, че за описаните по-горе мерки, за които се предоставя финансово участие от ЕФПГ, няма да получи финансова подкрепа от други финансови инструменти на Съюза.</w:t>
      </w:r>
    </w:p>
    <w:p>
      <w:pPr>
        <w:pStyle w:val="ManualHeading3"/>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34.</w:t>
      </w:r>
      <w:r>
        <w:tab/>
      </w:r>
      <w:r>
        <w:rPr>
          <w:noProof/>
        </w:rPr>
        <w:t xml:space="preserve">Италия е провела консултации и/или е предоставила информация на социалните партньори, на акредитираните агенции, оказващи подкрепа за търсене на работа, и на работниците във връзка с координирания пакет от персонализирани услуги. Срещата със синдикалните организации е проведена на 4 март 2015 г., а срещата със сдруженията на работодателите — на 6 март 2015 г. Акредитираните агенции са информирани на 23 февруари 2015 г., а на 31 март 2015 г. пакетът от персонализирани услуги в подкрепа на бившите работници на Alitalia е представен на бенефициерите. С цел насърчаване и </w:t>
      </w:r>
      <w:r>
        <w:rPr>
          <w:noProof/>
        </w:rPr>
        <w:lastRenderedPageBreak/>
        <w:t>улесняване обмена на информация и пояснения по случая сред бенефициерите и социалните партньори е разпространен специално създаден адрес на електронна поща (alitalia2014@regione.lazio.it).</w:t>
      </w:r>
    </w:p>
    <w:p>
      <w:pPr>
        <w:pStyle w:val="ManualHeading2"/>
        <w:rPr>
          <w:noProof/>
        </w:rPr>
      </w:pPr>
      <w:r>
        <w:rPr>
          <w:noProof/>
        </w:rPr>
        <w:t>Системи за управление и контрол</w:t>
      </w:r>
    </w:p>
    <w:p>
      <w:pPr>
        <w:pStyle w:val="ManualNumPar1"/>
        <w:rPr>
          <w:noProof/>
        </w:rPr>
      </w:pPr>
      <w:r>
        <w:t>35.</w:t>
      </w:r>
      <w:r>
        <w:tab/>
      </w:r>
      <w:r>
        <w:rPr>
          <w:noProof/>
        </w:rPr>
        <w:t>В заявлението е описана системата за управление и контрол и са посочени отговорностите на съответните органи. Италия уведоми Комисията, че финансовото участие ще бъде управлявано от Ministero del lavoro e delle politiche sociali — Direzione generale per le politiche attive, i servizi per il lavoro e la formazione (MLPS — DG PASLF), както следва: управляващ орган ще бъде MLPS — DG PASLF — Divisione III, сертифициращ орган — MLPS — DG PASLF — Divisione IV, а одитен орган — MLPS — Secretariato Generale — Divisione II. Regione Lazio ще бъде междинното звено на управляващия орган.</w:t>
      </w:r>
    </w:p>
    <w:p>
      <w:pPr>
        <w:pStyle w:val="ManualHeading2"/>
        <w:rPr>
          <w:noProof/>
        </w:rPr>
      </w:pPr>
      <w:r>
        <w:rPr>
          <w:noProof/>
        </w:rPr>
        <w:t>Ангажименти, поети от засегнатата държава членка</w:t>
      </w:r>
    </w:p>
    <w:p>
      <w:pPr>
        <w:pStyle w:val="ManualNumPar1"/>
        <w:rPr>
          <w:noProof/>
        </w:rPr>
      </w:pPr>
      <w:r>
        <w:t>36.</w:t>
      </w:r>
      <w:r>
        <w:tab/>
      </w:r>
      <w:r>
        <w:rPr>
          <w:noProof/>
        </w:rPr>
        <w:t xml:space="preserve">Италия е предоставила всички необходими гаранции за това, че: </w:t>
      </w:r>
    </w:p>
    <w:p>
      <w:pPr>
        <w:pStyle w:val="Tiret1"/>
        <w:numPr>
          <w:ilvl w:val="0"/>
          <w:numId w:val="12"/>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2"/>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2"/>
        </w:numPr>
        <w:rPr>
          <w:noProof/>
        </w:rPr>
      </w:pPr>
      <w:r>
        <w:rPr>
          <w:noProof/>
        </w:rPr>
        <w:t>дружеството Gruppo Alitalia, което е извършило съкращенията и което е продължило дейността си след освобождаването на работниците,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2"/>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2"/>
        </w:numPr>
        <w:rPr>
          <w:noProof/>
        </w:rPr>
      </w:pPr>
      <w:r>
        <w:rPr>
          <w:noProof/>
        </w:rPr>
        <w:t>предложените действия ще допълват други действия, финансирани от структурните фондове;</w:t>
      </w:r>
    </w:p>
    <w:p>
      <w:pPr>
        <w:pStyle w:val="Tiret1"/>
        <w:numPr>
          <w:ilvl w:val="0"/>
          <w:numId w:val="12"/>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37.</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 — 2020</w:t>
      </w:r>
      <w:r>
        <w:rPr>
          <w:rStyle w:val="FootnoteReference"/>
          <w:noProof/>
        </w:rPr>
        <w:footnoteReference w:id="20"/>
      </w:r>
      <w:r>
        <w:rPr>
          <w:noProof/>
        </w:rPr>
        <w:t>, ЕФПГ не може да надхвърля максимален годишен размер от 150 млн. евро (по цени от 2011 г.).</w:t>
      </w:r>
    </w:p>
    <w:p>
      <w:pPr>
        <w:pStyle w:val="ManualNumPar1"/>
        <w:rPr>
          <w:rFonts w:eastAsia="Calibri"/>
          <w:noProof/>
        </w:rPr>
      </w:pPr>
      <w:r>
        <w:t>38.</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1 414 848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lastRenderedPageBreak/>
        <w:t>39.</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1"/>
      </w:r>
      <w:r>
        <w:rPr>
          <w:noProof/>
        </w:rPr>
        <w:t>.</w:t>
      </w:r>
    </w:p>
    <w:p>
      <w:pPr>
        <w:pStyle w:val="ManualHeading2"/>
        <w:rPr>
          <w:noProof/>
        </w:rPr>
      </w:pPr>
      <w:r>
        <w:rPr>
          <w:noProof/>
        </w:rPr>
        <w:t>Свързани актове</w:t>
      </w:r>
    </w:p>
    <w:p>
      <w:pPr>
        <w:pStyle w:val="ManualNumPar1"/>
        <w:rPr>
          <w:noProof/>
        </w:rPr>
      </w:pPr>
      <w:r>
        <w:t>40.</w:t>
      </w:r>
      <w:r>
        <w:tab/>
      </w:r>
      <w:r>
        <w:rPr>
          <w:noProof/>
        </w:rPr>
        <w:t>Едновременно с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на сумата от 1 414 848 EUR към съответния бюджетен ред.</w:t>
      </w:r>
    </w:p>
    <w:p>
      <w:pPr>
        <w:pStyle w:val="ManualNumPar1"/>
        <w:rPr>
          <w:noProof/>
        </w:rPr>
      </w:pPr>
      <w:r>
        <w:t>41.</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за мобилизиране на средства от Европейския фонд за приспособяване към глобализацията </w:t>
      </w:r>
      <w:r>
        <w:rPr>
          <w:noProof/>
        </w:rPr>
        <w:br/>
        <w:t>(заявление от Италия – EGF/2015/004 IT/Alitalia)</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22"/>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3"/>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цели да оказва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w:t>
      </w:r>
      <w:r>
        <w:rPr>
          <w:rStyle w:val="FootnoteReference"/>
          <w:noProof/>
        </w:rPr>
        <w:footnoteReference w:id="24"/>
      </w:r>
      <w:r>
        <w:rPr>
          <w:noProof/>
        </w:rPr>
        <w:t xml:space="preserve"> на Съвета ЕФПГ не може да надхвърля максимален годишен размер от 150 милиона евро (по цени от 2011 г.).</w:t>
      </w:r>
    </w:p>
    <w:p>
      <w:pPr>
        <w:pStyle w:val="ManualConsidrant"/>
        <w:rPr>
          <w:noProof/>
        </w:rPr>
      </w:pPr>
      <w:r>
        <w:t>(3)</w:t>
      </w:r>
      <w:r>
        <w:tab/>
      </w:r>
      <w:r>
        <w:rPr>
          <w:noProof/>
        </w:rPr>
        <w:t>На 24 март 2015 г. Италия подаде заявление EGF/2015/004 IT/Alitalia за предоставяне на финансово участие от ЕФПГ във връзка с извършени съкращения в Gruppo Alitalia</w:t>
      </w:r>
      <w:r>
        <w:rPr>
          <w:rStyle w:val="FootnoteReference"/>
          <w:noProof/>
        </w:rPr>
        <w:footnoteReference w:id="25"/>
      </w:r>
      <w:r>
        <w:rPr>
          <w:noProof/>
        </w:rPr>
        <w:t xml:space="preserve"> в Италия. Към него беше предоставена допълнителна информация в съответствие с член 8, параграф 3 от Регламент (ЕС) № 1309/2013. Заявлението отговаря на изискванията за определяне на финансово участие от ЕФПГ, определени в член 13 от Регламент (ЕС) № 1309/2013.</w:t>
      </w:r>
    </w:p>
    <w:p>
      <w:pPr>
        <w:pStyle w:val="ManualConsidrant"/>
        <w:rPr>
          <w:noProof/>
        </w:rPr>
      </w:pPr>
      <w:r>
        <w:lastRenderedPageBreak/>
        <w:t>(4)</w:t>
      </w:r>
      <w:r>
        <w:tab/>
      </w:r>
      <w:r>
        <w:rPr>
          <w:noProof/>
        </w:rPr>
        <w:t>Поради това, за да бъде удовлетворено подаденото от Италия заявление, следва да бъдат мобилизирани средства за предоставяне на финансово участие от ЕФПГ в размер на 1 414 848 EUR.</w:t>
      </w:r>
    </w:p>
    <w:p>
      <w:pPr>
        <w:pStyle w:val="ManualConsidrant"/>
        <w:rPr>
          <w:noProof/>
        </w:rPr>
      </w:pPr>
      <w:r>
        <w:t>(5)</w:t>
      </w:r>
      <w:r>
        <w:tab/>
      </w:r>
      <w:r>
        <w:rPr>
          <w:noProof/>
        </w:rPr>
        <w:t>С цел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2015 година от Европейския фонд за приспособяване към глобализацията се мобилизират средства за предоставяне на сумата от 1 414 848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 xml:space="preserve">. То се прилага от </w:t>
      </w:r>
      <w:r>
        <w:rPr>
          <w:noProof/>
          <w:color w:val="FF0000"/>
        </w:rPr>
        <w:t>[</w:t>
      </w:r>
      <w:r>
        <w:rPr>
          <w:i/>
          <w:noProof/>
          <w:color w:val="FF0000"/>
        </w:rPr>
        <w:t>датата на приемането му</w:t>
      </w:r>
      <w:r>
        <w:rPr>
          <w:noProof/>
          <w:color w:val="FF0000"/>
        </w:rPr>
        <w:t>]</w:t>
      </w:r>
      <w:r>
        <w:rPr>
          <w:rStyle w:val="FootnoteReference"/>
        </w:rPr>
        <w:sym w:font="Symbol" w:char="F02A"/>
      </w:r>
      <w:r>
        <w:rPr>
          <w:noProof/>
        </w:rPr>
        <w:t>.</w:t>
      </w:r>
    </w:p>
    <w:p>
      <w:pPr>
        <w:pStyle w:val="Fait"/>
        <w:rPr>
          <w:noProof/>
        </w:rPr>
      </w:pPr>
      <w:r>
        <w:rPr>
          <w:noProof/>
        </w:rPr>
        <w:footnoteReference w:customMarkFollows="1" w:id="26"/>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Alitalia Compagnia Aerea Italiana S.p.A. и Air One S.p.A. (CAI First S.p.A., CAI Second S.p.A. и Alitalia Loyalty).</w:t>
      </w:r>
    </w:p>
  </w:footnote>
  <w:footnote w:id="4">
    <w:p>
      <w:pPr>
        <w:pStyle w:val="FootnoteText"/>
      </w:pPr>
      <w:r>
        <w:rPr>
          <w:rStyle w:val="FootnoteReference"/>
        </w:rPr>
        <w:footnoteRef/>
      </w:r>
      <w:r>
        <w:tab/>
        <w:t>ОВ L 393, 30.12.2006 г., стр. 1.</w:t>
      </w:r>
    </w:p>
  </w:footnote>
  <w:footnote w:id="5">
    <w:p>
      <w:pPr>
        <w:pStyle w:val="FootnoteText"/>
      </w:pPr>
      <w:r>
        <w:rPr>
          <w:rStyle w:val="FootnoteReference"/>
        </w:rPr>
        <w:footnoteRef/>
      </w:r>
      <w:r>
        <w:tab/>
        <w:t>В съответствие с член 7, параграф 4 от Регламент (EС) № 1309/2013.</w:t>
      </w:r>
    </w:p>
  </w:footnote>
  <w:footnote w:id="6">
    <w:p>
      <w:pPr>
        <w:pStyle w:val="FootnoteText"/>
      </w:pPr>
      <w:r>
        <w:rPr>
          <w:rStyle w:val="FootnoteReference"/>
        </w:rPr>
        <w:footnoteRef/>
      </w:r>
      <w:r>
        <w:tab/>
        <w:t xml:space="preserve">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 </w:t>
      </w:r>
    </w:p>
  </w:footnote>
  <w:footnote w:id="7">
    <w:p>
      <w:pPr>
        <w:pStyle w:val="FootnoteText"/>
      </w:pPr>
      <w:r>
        <w:rPr>
          <w:rStyle w:val="FootnoteReference"/>
        </w:rPr>
        <w:footnoteRef/>
      </w:r>
      <w:r>
        <w:tab/>
      </w:r>
      <w:hyperlink r:id="rId1">
        <w:r>
          <w:rPr>
            <w:rStyle w:val="Hyperlink"/>
          </w:rPr>
          <w:t>http://www.icao.int/Newsroom/News%20Doc%202013/COM.43.13.ECON-RESULTS.Final-2.en.pdf</w:t>
        </w:r>
      </w:hyperlink>
    </w:p>
  </w:footnote>
  <w:footnote w:id="8">
    <w:p>
      <w:pPr>
        <w:pStyle w:val="FootnoteText"/>
      </w:pPr>
      <w:r>
        <w:rPr>
          <w:rStyle w:val="FootnoteReference"/>
        </w:rPr>
        <w:footnoteRef/>
      </w:r>
      <w:r>
        <w:tab/>
      </w:r>
      <w:hyperlink r:id="rId2">
        <w:r>
          <w:rPr>
            <w:rStyle w:val="Hyperlink"/>
          </w:rPr>
          <w:t>http://www.icao.int/Newsroom/Pages/Strong-Passenger-Results-and-a-Rebound-for-Freight-Traffic-in-2014.aspx</w:t>
        </w:r>
      </w:hyperlink>
    </w:p>
  </w:footnote>
  <w:footnote w:id="9">
    <w:p>
      <w:pPr>
        <w:pStyle w:val="FootnoteText"/>
      </w:pPr>
      <w:r>
        <w:rPr>
          <w:rStyle w:val="FootnoteReference"/>
        </w:rPr>
        <w:footnoteRef/>
      </w:r>
      <w:r>
        <w:tab/>
      </w:r>
      <w:hyperlink r:id="rId3">
        <w:r>
          <w:rPr>
            <w:rStyle w:val="Hyperlink"/>
          </w:rPr>
          <w:t>http://www.amadeus.com/web/amadeus/en_US-US/Amadeus-Home/News-and-events/News/041713-300-world-super-routes/1259071352352-Page-AMAD_DetailPpal?assetid=1319526535668&amp;assettype=PressRelease_C</w:t>
        </w:r>
      </w:hyperlink>
    </w:p>
  </w:footnote>
  <w:footnote w:id="10">
    <w:p>
      <w:pPr>
        <w:pStyle w:val="FootnoteText"/>
        <w:rPr>
          <w:lang w:val="it-IT"/>
        </w:rPr>
      </w:pPr>
      <w:r>
        <w:rPr>
          <w:rStyle w:val="FootnoteReference"/>
        </w:rPr>
        <w:footnoteRef/>
      </w:r>
      <w:r>
        <w:tab/>
        <w:t xml:space="preserve">ENAC. Dati di traffico. </w:t>
      </w:r>
      <w:hyperlink r:id="rId4">
        <w:r>
          <w:rPr>
            <w:rStyle w:val="Hyperlink"/>
          </w:rPr>
          <w:t>www.enac.gov.it</w:t>
        </w:r>
      </w:hyperlink>
    </w:p>
  </w:footnote>
  <w:footnote w:id="11">
    <w:p>
      <w:pPr>
        <w:pStyle w:val="FootnoteText"/>
      </w:pPr>
      <w:r>
        <w:rPr>
          <w:rStyle w:val="FootnoteReference"/>
        </w:rPr>
        <w:footnoteRef/>
      </w:r>
      <w:r>
        <w:tab/>
        <w:t>Пак там.</w:t>
      </w:r>
    </w:p>
  </w:footnote>
  <w:footnote w:id="12">
    <w:p>
      <w:pPr>
        <w:pStyle w:val="FootnoteText"/>
      </w:pPr>
      <w:r>
        <w:rPr>
          <w:rStyle w:val="FootnoteReference"/>
        </w:rPr>
        <w:footnoteRef/>
      </w:r>
      <w:r>
        <w:tab/>
        <w:t xml:space="preserve">Евростат, </w:t>
      </w:r>
      <w:r>
        <w:rPr>
          <w:i/>
        </w:rPr>
        <w:t>Employment by sex, age groups and detailed economic activity</w:t>
      </w:r>
      <w:r>
        <w:t xml:space="preserve"> (Трудова заетост — разбивка по пол, възрастови групи и подробно описана икономическа дейност) (от 2008 г. нататък, NACE Rev.2 (1 000), </w:t>
      </w:r>
      <w:hyperlink r:id="rId5">
        <w:r>
          <w:rPr>
            <w:rStyle w:val="Hyperlink"/>
          </w:rPr>
          <w:t>http://ec.europa.eu/eurostat/web/lfs/data/database</w:t>
        </w:r>
      </w:hyperlink>
      <w:r>
        <w:t>.</w:t>
      </w:r>
    </w:p>
  </w:footnote>
  <w:footnote w:id="13">
    <w:p>
      <w:pPr>
        <w:pStyle w:val="FootnoteText"/>
      </w:pPr>
      <w:r>
        <w:rPr>
          <w:rStyle w:val="FootnoteReference"/>
        </w:rPr>
        <w:footnoteRef/>
      </w:r>
      <w:r>
        <w:tab/>
        <w:t>EGF/2013/014 FR Air France (COM(2014) 701 final) и EGF/2015/004 IT Alitalia — настоящото заявление.</w:t>
      </w:r>
    </w:p>
  </w:footnote>
  <w:footnote w:id="14">
    <w:p>
      <w:pPr>
        <w:pStyle w:val="FootnoteText"/>
        <w:rPr>
          <w:lang w:val="fr-BE"/>
        </w:rPr>
      </w:pPr>
      <w:r>
        <w:rPr>
          <w:rStyle w:val="FootnoteReference"/>
        </w:rPr>
        <w:footnoteRef/>
      </w:r>
      <w:r>
        <w:tab/>
        <w:t>UIL-transporti, UGL transporti, FILT-CGIL, FIT-CISL.</w:t>
      </w:r>
    </w:p>
  </w:footnote>
  <w:footnote w:id="15">
    <w:p>
      <w:pPr>
        <w:pStyle w:val="FootnoteText"/>
      </w:pPr>
      <w:r>
        <w:rPr>
          <w:rStyle w:val="FootnoteReference"/>
        </w:rPr>
        <w:footnoteRef/>
      </w:r>
      <w:r>
        <w:tab/>
      </w:r>
      <w:r>
        <w:rPr>
          <w:i/>
        </w:rPr>
        <w:t>Cassa Integrazione Guadagno</w:t>
      </w:r>
      <w:r>
        <w:t xml:space="preserve"> (CIG) е обезщетение, предоставяно с цел да се гарантира определено ниво на доходите на работници, които са възпрепятствани да изпълняват задълженията си. CIG се предоставя в случай на намаляване или временно преустановяване на производствените дейности поради преструктуриране, реорганизация на дадено предприятие, изпадане в криза на дружество и производства по несъстоятелност, имащи сериозни последици за пазара на труда на местно равнище. CIG е инструмент, с който се избягва съкращаването на работници, като се дава възможност на предприятията да не правят разходи за труд за временно излишната работна ръка, докато се изчаква възстановяването на нормалните производствени дейности. Често обаче CIG е преход към мярката </w:t>
      </w:r>
      <w:r>
        <w:rPr>
          <w:i/>
        </w:rPr>
        <w:t>mobilità</w:t>
      </w:r>
      <w:r>
        <w:t xml:space="preserve">. </w:t>
      </w:r>
    </w:p>
  </w:footnote>
  <w:footnote w:id="16">
    <w:p>
      <w:pPr>
        <w:pStyle w:val="FootnoteText"/>
      </w:pPr>
      <w:r>
        <w:rPr>
          <w:rStyle w:val="FootnoteReference"/>
        </w:rPr>
        <w:footnoteRef/>
      </w:r>
      <w:r>
        <w:tab/>
      </w:r>
      <w:r>
        <w:rPr>
          <w:i/>
        </w:rPr>
        <w:t>Mobilità</w:t>
      </w:r>
      <w:r>
        <w:t xml:space="preserve"> е една от предвидените от закона социални защитни мрежи, с която се цели смекчаване на последиците за работници, които трябва да бъдат съкратени. Чрез процедурата </w:t>
      </w:r>
      <w:r>
        <w:rPr>
          <w:i/>
        </w:rPr>
        <w:t>mobilità</w:t>
      </w:r>
      <w:r>
        <w:t xml:space="preserve"> на съкратените работници се предоставят финансова подкрепа и механизми, чрез които да се улесни връщането им на работа. </w:t>
      </w:r>
    </w:p>
  </w:footnote>
  <w:footnote w:id="17">
    <w:p>
      <w:pPr>
        <w:pStyle w:val="FootnoteText"/>
      </w:pPr>
      <w:r>
        <w:rPr>
          <w:rStyle w:val="FootnoteReference"/>
        </w:rPr>
        <w:footnoteRef/>
      </w:r>
      <w:r>
        <w:tab/>
        <w:t xml:space="preserve">Евростат, </w:t>
      </w:r>
      <w:r>
        <w:rPr>
          <w:i/>
        </w:rPr>
        <w:t>Employment by sex, age groups and detailed economic activity</w:t>
      </w:r>
      <w:r>
        <w:t xml:space="preserve"> (Трудова заетост — разбивка по пол, възрастови групи и подробно описана икономическа дейност) </w:t>
      </w:r>
      <w:hyperlink r:id="rId6">
        <w:r>
          <w:rPr>
            <w:rStyle w:val="Hyperlink"/>
          </w:rPr>
          <w:t>http://ec.europa.eu/eurostat/web/lfs/data/database</w:t>
        </w:r>
      </w:hyperlink>
      <w:r>
        <w:t>.</w:t>
      </w:r>
    </w:p>
  </w:footnote>
  <w:footnote w:id="18">
    <w:p>
      <w:pPr>
        <w:pStyle w:val="FootnoteText"/>
      </w:pPr>
      <w:r>
        <w:rPr>
          <w:rStyle w:val="FootnoteReference"/>
        </w:rPr>
        <w:footnoteRef/>
      </w:r>
      <w:r>
        <w:tab/>
        <w:t>За целите на бюджетирането подалата заявлението държава членка е изчислила средното възнаграждение, предоставяно за всеки повторно интегриран на пазара на труда работник, на 3 000 EUR, а възнаграждението във връзка с работници, за които не бъде намерено решение, на 600 EUR.</w:t>
      </w:r>
    </w:p>
  </w:footnote>
  <w:footnote w:id="19">
    <w:p>
      <w:pPr>
        <w:pStyle w:val="FootnoteText"/>
      </w:pPr>
      <w:r>
        <w:rPr>
          <w:rStyle w:val="FootnoteReference"/>
        </w:rPr>
        <w:footnoteRef/>
      </w:r>
      <w:r>
        <w:tab/>
      </w:r>
      <w:hyperlink r:id="rId7">
        <w:r>
          <w:rPr>
            <w:rStyle w:val="Hyperlink"/>
          </w:rPr>
          <w:t>http://www.gazzettaufficiale.it/eli/id/2013/12/27/13G00191/sg</w:t>
        </w:r>
      </w:hyperlink>
    </w:p>
  </w:footnote>
  <w:footnote w:id="20">
    <w:p>
      <w:pPr>
        <w:pStyle w:val="FootnoteText"/>
      </w:pPr>
      <w:r>
        <w:rPr>
          <w:rStyle w:val="FootnoteReference"/>
        </w:rPr>
        <w:footnoteRef/>
      </w:r>
      <w:r>
        <w:tab/>
        <w:t>ОВ L 347, 20.12.2013 г., стр. 884.</w:t>
      </w:r>
    </w:p>
  </w:footnote>
  <w:footnote w:id="21">
    <w:p>
      <w:pPr>
        <w:pStyle w:val="FootnoteText"/>
      </w:pPr>
      <w:r>
        <w:rPr>
          <w:rStyle w:val="FootnoteReference"/>
        </w:rPr>
        <w:footnoteRef/>
      </w:r>
      <w:r>
        <w:tab/>
        <w:t>ОВ С 373, 20.12.2013 г., стр. 1.</w:t>
      </w:r>
    </w:p>
  </w:footnote>
  <w:footnote w:id="22">
    <w:p>
      <w:pPr>
        <w:pStyle w:val="FootnoteText"/>
      </w:pPr>
      <w:r>
        <w:rPr>
          <w:rStyle w:val="FootnoteReference"/>
        </w:rPr>
        <w:footnoteRef/>
      </w:r>
      <w:r>
        <w:tab/>
        <w:t>ОВ L 347, 20.12.2013 г., стр. 855.</w:t>
      </w:r>
    </w:p>
  </w:footnote>
  <w:footnote w:id="23">
    <w:p>
      <w:pPr>
        <w:pStyle w:val="FootnoteText"/>
      </w:pPr>
      <w:r>
        <w:rPr>
          <w:rStyle w:val="FootnoteReference"/>
        </w:rPr>
        <w:footnoteRef/>
      </w:r>
      <w:r>
        <w:tab/>
        <w:t>ОВ С 373, 20.12.2013 г., стр. 1.</w:t>
      </w:r>
    </w:p>
  </w:footnote>
  <w:footnote w:id="24">
    <w:p>
      <w:pPr>
        <w:pStyle w:val="FootnoteText"/>
      </w:pPr>
      <w:r>
        <w:rPr>
          <w:rStyle w:val="FootnoteReference"/>
        </w:rPr>
        <w:footnoteRef/>
      </w:r>
      <w:r>
        <w:tab/>
        <w:t>Регламент (ЕС, Евратом) № 1311/2013 на Съвета за определяне на многогодишната финансова рамка за годините 2014 — 2020 (ОВ L 347, 20.12.2013 г., стр. 884).</w:t>
      </w:r>
    </w:p>
  </w:footnote>
  <w:footnote w:id="25">
    <w:p>
      <w:pPr>
        <w:pStyle w:val="FootnoteText"/>
      </w:pPr>
      <w:r>
        <w:rPr>
          <w:rStyle w:val="FootnoteReference"/>
        </w:rPr>
        <w:footnoteRef/>
      </w:r>
      <w:r>
        <w:tab/>
        <w:t>Alitalia Compagnia Aerea Italiana S.p.A. и Air One S.p.A. (CAI First S.p.A., CAI Second S.p.A. и Alitalia Loyalty).</w:t>
      </w:r>
    </w:p>
  </w:footnote>
  <w:footnote w:id="26">
    <w:p>
      <w:pPr>
        <w:pStyle w:val="FootnoteText"/>
        <w:rPr>
          <w:color w:val="FF0000"/>
        </w:rPr>
      </w:pPr>
      <w:r>
        <w:rPr>
          <w:rStyle w:val="FootnoteReference"/>
        </w:rPr>
        <w:sym w:font="Symbol" w:char="F02A"/>
      </w:r>
      <w:r>
        <w:rPr>
          <w:color w:val="FF0000"/>
        </w:rPr>
        <w:t xml:space="preserve"> </w:t>
      </w:r>
      <w:r>
        <w:tab/>
      </w:r>
      <w:r>
        <w:rPr>
          <w:color w:val="FF0000"/>
        </w:rPr>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05 08:26:1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549D648AE9A45808FB190A1F1934CDD"/>
    <w:docVar w:name="LW_CROSSREFERENCE" w:val="&lt;UNUSED&gt;"/>
    <w:docVar w:name="LW_DocType" w:val="COM"/>
    <w:docVar w:name="LW_EMISSION" w:val="7.8.2015"/>
    <w:docVar w:name="LW_EMISSION_ISODATE" w:val="2015-08-07"/>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97"/>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_x000b_(\u1079?\u1072?\u1103?\u1074?\u1083?\u1077?\u1085?\u1080?\u1077? \u1086?\u1090? \u1048?\u1090?\u1072?\u1083?\u1080?\u1103? \u8211? EGF/2015/004 IT/Alitalia)"/>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shorttext">
    <w:name w:val="short_text"/>
    <w:basedOn w:val="DefaultParagraphFont"/>
  </w:style>
  <w:style w:type="character" w:customStyle="1" w:styleId="hps">
    <w:name w:val="hps"/>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shorttext">
    <w:name w:val="short_text"/>
    <w:basedOn w:val="DefaultParagraphFont"/>
  </w:style>
  <w:style w:type="character" w:customStyle="1" w:styleId="hps">
    <w:name w:val="hps"/>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madeus.com/web/amadeus/en_US-US/Amadeus-Home/News-and-events/News/041713-300-world-super-routes/1259071352352-Page-AMAD_DetailPpal?assetid=1319526535668&amp;assettype=PressRelease_C" TargetMode="External"/><Relationship Id="rId7" Type="http://schemas.openxmlformats.org/officeDocument/2006/relationships/hyperlink" Target="http://www.gazzettaufficiale.it/eli/id/2013/12/27/13G00191/sg" TargetMode="External"/><Relationship Id="rId2" Type="http://schemas.openxmlformats.org/officeDocument/2006/relationships/hyperlink" Target="http://www.icao.int/Newsroom/Pages/Strong-Passenger-Results-and-a-Rebound-for-Freight-Traffic-in-2014.aspx" TargetMode="External"/><Relationship Id="rId1" Type="http://schemas.openxmlformats.org/officeDocument/2006/relationships/hyperlink" Target="http://www.icao.int/Newsroom/News%20Doc%202013/COM.43.13.ECON-RESULTS.Final-2.en.pdf" TargetMode="External"/><Relationship Id="rId6" Type="http://schemas.openxmlformats.org/officeDocument/2006/relationships/hyperlink" Target="http://ec.europa.eu/eurostat/web/lfs/data/database" TargetMode="External"/><Relationship Id="rId5" Type="http://schemas.openxmlformats.org/officeDocument/2006/relationships/hyperlink" Target="http://ec.europa.eu/eurostat/web/lfs/data/database" TargetMode="External"/><Relationship Id="rId4" Type="http://schemas.openxmlformats.org/officeDocument/2006/relationships/hyperlink" Target="http://www.enac.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71A0-3015-4C30-B842-34C3849F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4056</Words>
  <Characters>21826</Characters>
  <Application>Microsoft Office Word</Application>
  <DocSecurity>0</DocSecurity>
  <Lines>574</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2015-06-12T10:56:00Z</cp:lastPrinted>
  <dcterms:created xsi:type="dcterms:W3CDTF">2015-08-03T15:25:00Z</dcterms:created>
  <dcterms:modified xsi:type="dcterms:W3CDTF">2015-08-05T06:26:00Z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