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8D93E3AAF4405D9CBAF76B8AE214FE"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ind w:left="840"/>
        <w:rPr>
          <w:noProof/>
        </w:rPr>
      </w:pPr>
      <w:r>
        <w:rPr>
          <w:noProof/>
        </w:rPr>
        <w:t>След приемането на Директива 2003/48/ЕО на Съвета (Директивата за спестяванията) и с цел да се защити равнопоставеността на икономическите оператори, ЕС подписа споразумения с Швейцария, Андора, Лихтенщайн, Монако и Сан Марино, в които се предвиждат мерки, еквивалентни на тези, определени в директивата. Държавите членки подписаха също споразумения със зависимите територии на Обединеното кралство и Нидерландия.</w:t>
      </w:r>
    </w:p>
    <w:p>
      <w:pPr>
        <w:ind w:left="840"/>
        <w:rPr>
          <w:noProof/>
        </w:rPr>
      </w:pPr>
      <w:r>
        <w:rPr>
          <w:noProof/>
        </w:rPr>
        <w:t>Неотдавна на международно равнище беше потвърдено значението на автоматичния обмен на информация като средство за борба с трансграничните данъчни измами и укриването на данъци, като се осигури пълна данъчна прозрачност и сътрудничество между данъчните администрации в целия свят. Г-20 възложи на Организацията за икономическо сътрудничество и развитие (ОИСР) да разработи единен световен стандарт за автоматичен обмен на информация за финансови сметки. Световният стандарт беше представен от Съвета на ОИСР през юли 2014 г.</w:t>
      </w:r>
    </w:p>
    <w:p>
      <w:pPr>
        <w:ind w:left="840"/>
        <w:rPr>
          <w:noProof/>
        </w:rPr>
      </w:pPr>
      <w:r>
        <w:rPr>
          <w:noProof/>
        </w:rPr>
        <w:t>След като беше прието предложението за актуализиране на Директивата за спестяванията, на 17 юни 2011 г. Комисията прие препоръка за получаване на мандат за започване на преговори с Швейцария, Лихтенщайн, Андора, Монако и Сан Марино с цел да се подобрят споразуменията на ЕС с тези държави в съответствие с международните промени и да се гарантира, че тези държави продължават да прилагат мерки, еквивалентни на съществуващите в ЕС. На 14 май 2013 г. Съветът постигна съгласие по мандата за водене на преговори, като заключи, че преговорите следва да бъдат съгласувани с неотдавнашните инициативи на международно равнище, където беше договорено автоматичният обмен на информация да се насърчава като международен стандарт.</w:t>
      </w:r>
    </w:p>
    <w:p>
      <w:pPr>
        <w:ind w:left="840"/>
        <w:rPr>
          <w:noProof/>
        </w:rPr>
      </w:pPr>
      <w:r>
        <w:rPr>
          <w:noProof/>
        </w:rPr>
        <w:t>В съобщението си от 6 декември 2012 г., съдържащо План за действие за укрепване на борбата срещу данъчните измами и укриването на данъци, Комисията подчерта необходимостта от активно насърчаване на автоматичния обмен на информация, който да стане бъдещият европейски и международен стандарт за прозрачност и обмен на информация в данъчната област.</w:t>
      </w:r>
    </w:p>
    <w:p>
      <w:pPr>
        <w:ind w:left="840"/>
        <w:rPr>
          <w:noProof/>
        </w:rPr>
      </w:pPr>
      <w:r>
        <w:rPr>
          <w:noProof/>
        </w:rPr>
        <w:t>Въз основа на предложението, представено от Комисията през юни 2013 г., на 9 декември 2014 г. Съветът прие Директива 2014/107/ЕС за изменение на Директива 2011/16/ЕС и за разширяване на обхвата на задължителния автоматичен обмен на информация между данъчните администрации в ЕС, така че да включва пълен спектър от финансови позиции в съответствие със световния стандарт. Изменението осигурява съгласуван, последователен и всеобхватен подход в целия Съюз към автоматичния обмен на информация за финансови сметки в рамките на вътрешния пазар.</w:t>
      </w:r>
    </w:p>
    <w:p>
      <w:pPr>
        <w:ind w:left="840"/>
        <w:rPr>
          <w:noProof/>
        </w:rPr>
      </w:pPr>
      <w:r>
        <w:rPr>
          <w:noProof/>
        </w:rPr>
        <w:t>Тъй като Директива 2014/107/ЕС като цяло е с по-широк обхват от този на Директива 2003/48/ЕО и в нея се предвижда, че в случай на припокриване на обхвата се прилага Директива 2014/107/ЕС, на 18 март 2015 г. Комисията прие предложение за отмяна на Директива 2003/48/ЕО.</w:t>
      </w:r>
    </w:p>
    <w:p>
      <w:pPr>
        <w:ind w:left="840"/>
        <w:rPr>
          <w:noProof/>
        </w:rPr>
      </w:pPr>
      <w:r>
        <w:rPr>
          <w:noProof/>
        </w:rPr>
        <w:t xml:space="preserve">С цел свеждане до минимум на разходите и административната тежест за данъчните администрации и за икономическите оператори, e от решаващо </w:t>
      </w:r>
      <w:r>
        <w:rPr>
          <w:noProof/>
        </w:rPr>
        <w:lastRenderedPageBreak/>
        <w:t xml:space="preserve">значение да се гарантира, че изменението на действащото споразумение с Лихтенщайн в областта на спестяванията е в съответствие с промените в ЕС и в международен план. По този начин ще се повиши данъчната прозрачност в Европа и ще се създаде правно основание за прилагане на световния стандарт на ОИСР за автоматичен обмен на информация между Лихтенщайн и ЕС. </w:t>
      </w:r>
    </w:p>
    <w:p>
      <w:pPr>
        <w:pStyle w:val="ManualHeading1"/>
        <w:rPr>
          <w:noProof/>
        </w:rPr>
      </w:pPr>
      <w:r>
        <w:rPr>
          <w:noProof/>
        </w:rPr>
        <w:t>2.</w:t>
      </w:r>
      <w:r>
        <w:rPr>
          <w:noProof/>
        </w:rPr>
        <w:tab/>
        <w:t>ПРАВНО ОСНОВАНИЕ, СУБСИДИАРНОСТ И ПРОПОРЦИОНАЛНОСТ</w:t>
      </w:r>
    </w:p>
    <w:p>
      <w:pPr>
        <w:ind w:left="840"/>
        <w:rPr>
          <w:noProof/>
        </w:rPr>
      </w:pPr>
      <w:r>
        <w:rPr>
          <w:noProof/>
        </w:rPr>
        <w:t xml:space="preserve">Правното основание на представеното предложение е член 115 във връзка с член 218, параграф 5 и параграф 8, втора алинея от Договора за функционирането на Европейския съюз. Материалноправното основание е член 115 от ДФЕС. </w:t>
      </w:r>
    </w:p>
    <w:p>
      <w:pPr>
        <w:ind w:left="840"/>
        <w:rPr>
          <w:noProof/>
        </w:rPr>
      </w:pPr>
      <w:r>
        <w:rPr>
          <w:noProof/>
        </w:rPr>
        <w:t>С член 1 от Протокола за изменение, приложен към настоящото предложение за решение на Съвета, се променя заглавието на съществуващото споразумение, за да се отрази по-добре съдържанието на споразумението, изменено с Протокола за изменение. С него съществуващите членове и приложения се заменят с нов набор от разпоредби, включващи 10 члена, с приложение I, отразяващо общия стандарт за предоставяне на информация (ОСПИ) на ОИСР, който е част от световния стандарт, с приложение II, отразяващо важни части от коментарите на ОИСР по световния стандарт, и с приложение III, съдържащо списък на компетентните органи на Лихтенщайн и на всяка държава членка.</w:t>
      </w:r>
    </w:p>
    <w:p>
      <w:pPr>
        <w:ind w:left="840"/>
        <w:rPr>
          <w:noProof/>
        </w:rPr>
      </w:pPr>
      <w:r>
        <w:rPr>
          <w:noProof/>
        </w:rPr>
        <w:t>Новите членове отразяват членовете от разработеното от ОИСР типово споразумение между компетентните органи за прилагане на световния стандарт, с незначителни изменения, за да бъде отразен специфичният правен контекст на споразумение на ЕС. В член 1 липсва определение на „данъчен идентификационен номер“ (TIN), тъй като такова определение вече се съдържа в раздел VIII, параграф Д, точка 5 от приложение I. Член 5 включва пълен набор от разпоредби за обмена на информация при поискване в съответствие с последната редакция на модела на данъчна конвенция на ОИСР. Член 6 съдържа по-подробен набор от разпоредби за защита на данните. В член 7 се предвижда допълнителен етап на консултация преди държава членка или Лихтенщайн да пристъпи към преустановяване на действието на споразумението. Член 8 съдържа разпоредби за изменения на споразумението, включително бърз механизъм за временно прилагане от едната от договарящите се страни на измененията на световния стандарт, при съгласие от другата договаряща се страна. В член 10 се определя териториалното приложно поле.</w:t>
      </w:r>
    </w:p>
    <w:p>
      <w:pPr>
        <w:ind w:left="840"/>
        <w:rPr>
          <w:noProof/>
        </w:rPr>
      </w:pPr>
      <w:r>
        <w:rPr>
          <w:noProof/>
        </w:rPr>
        <w:t>Приложение I следва както общия стандарт за предоставяне на информация на ОИСР, така и приложение I към Директивата относно административното сътрудничество. Приложение II отразява основни части от коментарите по ОСПИ и съответства на приложение II към Директивата относно административното сътрудничество. Леките отклонения от приложение I или II към Директивата относно административното сътрудничество се дължат на привеждането на текста в съответствие с общия стандарт за предоставяне на информация на ОИСР по искане на преговарящите лица от Лихтенщайн. Тези отклонения включват следното:</w:t>
      </w:r>
    </w:p>
    <w:p>
      <w:pPr>
        <w:ind w:left="840"/>
        <w:rPr>
          <w:noProof/>
        </w:rPr>
      </w:pPr>
      <w:r>
        <w:rPr>
          <w:noProof/>
        </w:rPr>
        <w:t>1. В раздел I, параграф Д изискването за предоставяне на информация за мястото на раждане е приведено в съответствие с ОСПИ.</w:t>
      </w:r>
    </w:p>
    <w:p>
      <w:pPr>
        <w:ind w:left="840"/>
        <w:rPr>
          <w:noProof/>
        </w:rPr>
      </w:pPr>
      <w:r>
        <w:rPr>
          <w:noProof/>
        </w:rPr>
        <w:t>2. Определенията за „международна организация“ и „централна банка“ в раздел VIII, параграф Б, точки 3 и 4 са приведени в съответствие с ОСПИ, за да могат да се прилагат и в контекста на освобождаването от изискванията за прозрачност за пасивните нефинансови образувания в раздел VIII, параграф Г, точка 9, буква в).</w:t>
      </w:r>
    </w:p>
    <w:p>
      <w:pPr>
        <w:ind w:left="840"/>
        <w:rPr>
          <w:noProof/>
        </w:rPr>
      </w:pPr>
      <w:r>
        <w:rPr>
          <w:noProof/>
        </w:rPr>
        <w:t>3. В приложение II определението за „данъчна регистрация на финансова институция“ се привежда в съответствие с коментарите по ОСПИ, за да бъдат обхванати случаите, при които следва да се определи данъчната регистрация на друга финансова институция, например изискването за прозрачност за пасивни нефинансови образувания.</w:t>
      </w:r>
    </w:p>
    <w:p>
      <w:pPr>
        <w:ind w:left="840"/>
        <w:rPr>
          <w:noProof/>
        </w:rPr>
      </w:pPr>
      <w:r>
        <w:rPr>
          <w:noProof/>
        </w:rPr>
        <w:t>Член 2 от Протокола за изменение включва разпоредбите относно влизането в сила и прилагането. В него са уредени въпросите за прехода от действащото към измененото споразумение що се отнася до исканията за информация, кредитите на разположение на бенефициерите за удържането на данък при източника, окончателните плащания от страна на Лихтенщайн към държавите членки на данъка, удържан при източника, и окончателния обмен на информация в рамките на механизъм за доброволно деклариране.</w:t>
      </w:r>
    </w:p>
    <w:p>
      <w:pPr>
        <w:ind w:left="840"/>
        <w:rPr>
          <w:noProof/>
        </w:rPr>
      </w:pPr>
      <w:r>
        <w:rPr>
          <w:noProof/>
        </w:rPr>
        <w:t>В член 3 са изброени езиците, на които се подписва Протоколът за изменение.</w:t>
      </w:r>
    </w:p>
    <w:p>
      <w:pPr>
        <w:ind w:left="840"/>
        <w:rPr>
          <w:noProof/>
        </w:rPr>
      </w:pPr>
      <w:r>
        <w:rPr>
          <w:noProof/>
        </w:rPr>
        <w:t>Преразгледаното споразумение е допълнено от две съвместни декларации на договарящите се страни.</w:t>
      </w:r>
    </w:p>
    <w:p>
      <w:pPr>
        <w:ind w:left="840"/>
        <w:rPr>
          <w:noProof/>
        </w:rPr>
      </w:pPr>
      <w:r>
        <w:rPr>
          <w:noProof/>
        </w:rPr>
        <w:t xml:space="preserve">Първата съвместна декларация прави връзка с коментарите по световния стандарт и член 26 от Модела на данъчна конвенция на ОИСР относно дохода и капитала. Втората декларация се отнася до очакваната дата на влизане в сила на преразгледаното споразумение. </w:t>
      </w:r>
    </w:p>
    <w:p>
      <w:pPr>
        <w:ind w:left="840"/>
        <w:rPr>
          <w:noProof/>
        </w:rPr>
      </w:pPr>
      <w:r>
        <w:rPr>
          <w:noProof/>
        </w:rPr>
        <w:t>Предложението не надхвърля рамките на необходимото или целесъобразното за постигането на поставените цели.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ind w:left="840"/>
        <w:rPr>
          <w:noProof/>
        </w:rPr>
      </w:pPr>
      <w:r>
        <w:rPr>
          <w:noProof/>
        </w:rPr>
        <w:t>С Протокола за изменение се въвежда световният стандарт в отношенията между държавите членки на ЕС и Лихтенщайн. В процеса на разработване на световния стандарт на ОИСР по различни поводи бяха проведени консултации с различните заинтересовани страни.</w:t>
      </w:r>
    </w:p>
    <w:p>
      <w:pPr>
        <w:ind w:left="840"/>
        <w:rPr>
          <w:noProof/>
        </w:rPr>
      </w:pPr>
      <w:r>
        <w:rPr>
          <w:noProof/>
        </w:rPr>
        <w:t xml:space="preserve">По време на преговорите между Комисията и Лихтенщайн бяха проведени и консултации с държавите — членки на ЕС. На заседанията на Европейския съвет през март и декември 2014 г. Комисията докладва относно хода на преговорите с Лихтенщайн. </w:t>
      </w:r>
    </w:p>
    <w:p>
      <w:pPr>
        <w:ind w:left="840"/>
        <w:rPr>
          <w:noProof/>
        </w:rPr>
      </w:pPr>
      <w:r>
        <w:rPr>
          <w:noProof/>
        </w:rPr>
        <w:t>Комисията проведе консултации и с новата експертна група за автоматичен обмен на информация за финансови сметки, която предоставя съвети, за да се гарантира, че законодателството на ЕС относно автоматичния обмен на информация в областта на прякото данъчно облагане е ефективно съгласувано и в пълно съответствие със световния стандарт на ОИСР. Експертната група включва представители на организации, представляващи финансовия сектор, и организации, борещи се срещу укриването на данъци и избягването на данъчното облагане.</w:t>
      </w:r>
    </w:p>
    <w:p>
      <w:pPr>
        <w:pStyle w:val="ManualHeading1"/>
        <w:rPr>
          <w:noProof/>
        </w:rPr>
      </w:pPr>
      <w:r>
        <w:rPr>
          <w:noProof/>
        </w:rPr>
        <w:t>4.</w:t>
      </w:r>
      <w:r>
        <w:rPr>
          <w:noProof/>
        </w:rPr>
        <w:tab/>
        <w:t>ОТРАЖЕНИЕ ВЪРХУ БЮДЖЕТА</w:t>
      </w:r>
    </w:p>
    <w:p>
      <w:pPr>
        <w:ind w:left="840"/>
        <w:rPr>
          <w:noProof/>
        </w:rPr>
      </w:pPr>
      <w:r>
        <w:rPr>
          <w:noProof/>
        </w:rPr>
        <w:t>Предложението няма никакво отражение върху бюджета.</w:t>
      </w:r>
    </w:p>
    <w:p>
      <w:pPr>
        <w:pStyle w:val="ManualHeading1"/>
        <w:rPr>
          <w:noProof/>
        </w:rPr>
      </w:pPr>
      <w:r>
        <w:rPr>
          <w:noProof/>
        </w:rPr>
        <w:t>5.</w:t>
      </w:r>
      <w:r>
        <w:rPr>
          <w:noProof/>
        </w:rPr>
        <w:tab/>
        <w:t>ДРУГИ ЕЛЕМЕНТИ</w:t>
      </w:r>
    </w:p>
    <w:p>
      <w:pPr>
        <w:ind w:left="840"/>
        <w:rPr>
          <w:noProof/>
        </w:rPr>
      </w:pPr>
      <w:r>
        <w:rPr>
          <w:noProof/>
        </w:rPr>
        <w:t>Няма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2015/0176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Европейския съюз на Протокол за изменение на Споразумението между Европейската общност и Княжество Лихтенщайн, което предвижда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във връзка с член 218, параграф 5 и член 218, параграф 8, втора алинея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май 2013 г. Съветът оправомощи Комисията да започне преговори с Княжество Лихтенщайн за изменение на Споразумението между Европейската общност и Княжество Лихтенщайн, което предвижда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1"/>
      </w:r>
      <w:r>
        <w:rPr>
          <w:noProof/>
        </w:rPr>
        <w:t>, с цел привеждане на Споразумението в съответствие с неотдавнашните инициативи на международно равнище, на които беше договорено автоматичният обмен на информация да се насърчава като международен стандарт.</w:t>
      </w:r>
    </w:p>
    <w:p>
      <w:pPr>
        <w:pStyle w:val="ManualConsidrant"/>
        <w:rPr>
          <w:noProof/>
        </w:rPr>
      </w:pPr>
      <w:r>
        <w:t>(2)</w:t>
      </w:r>
      <w:r>
        <w:tab/>
      </w:r>
      <w:r>
        <w:rPr>
          <w:noProof/>
        </w:rPr>
        <w:t>Текстът на Протокола за изменение, който е резултат от проведените преговори, надлежно отразява дадените от Съвета насоки за водене на преговорите, тъй като привежда Споразумението в съответствие с последните инициативи на международно равнище по отношение на автоматичния обмен на информация, а именно световния стандарт за автоматичен обмен на информация за финансови сметки по данъчни въпроси, разработен от Организацията за икономическо сътрудничество и развитие (ОИСР). Съюзът, неговите държави членки и Княжество Лихтенщайн участваха активно в работата на Световния форум на ОИСР за подпомагане на развитието и прилагането на този стандарт. Текстът на Споразумението, изменено с настоящия Протокол за изменение, е правното основание за прилагане на световния стандарт в отношенията между Съюза и Княжество Лихтенщайн.</w:t>
      </w:r>
    </w:p>
    <w:p>
      <w:pPr>
        <w:pStyle w:val="ManualConsidrant"/>
        <w:rPr>
          <w:noProof/>
        </w:rPr>
      </w:pPr>
      <w:r>
        <w:t>(3)</w:t>
      </w:r>
      <w:r>
        <w:tab/>
      </w:r>
      <w:r>
        <w:rPr>
          <w:noProof/>
        </w:rPr>
        <w:t>Поради това Протоколът за изменение следва да бъде подписан от името на Европейския съюз, при условие на сключването му на на по-късна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Протокола за изменение на Споразумението между Европейската общност и Княжество Лихтенщайн, което предвижда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 при условие на сключването на посочения Протокол за изменение</w:t>
      </w:r>
      <w:r>
        <w:rPr>
          <w:rStyle w:val="FootnoteReference"/>
          <w:noProof/>
        </w:rPr>
        <w:footnoteReference w:id="2"/>
      </w:r>
      <w:r>
        <w:rPr>
          <w:noProof/>
        </w:rPr>
        <w:t>.</w:t>
      </w:r>
    </w:p>
    <w:p>
      <w:pPr>
        <w:rPr>
          <w:noProof/>
        </w:rPr>
      </w:pPr>
      <w:r>
        <w:rPr>
          <w:noProof/>
        </w:rPr>
        <w:t>Текстът на Протокола за изменение е приложен към настоящото решение.</w:t>
      </w:r>
    </w:p>
    <w:p>
      <w:pPr>
        <w:pStyle w:val="Titrearticle"/>
        <w:keepNext w:val="0"/>
        <w:rPr>
          <w:noProof/>
        </w:rPr>
      </w:pPr>
      <w:r>
        <w:rPr>
          <w:noProof/>
        </w:rPr>
        <w:t>Член 2</w:t>
      </w:r>
    </w:p>
    <w:p>
      <w:pPr>
        <w:rPr>
          <w:noProof/>
        </w:rPr>
      </w:pPr>
      <w:r>
        <w:rPr>
          <w:noProof/>
        </w:rPr>
        <w:t>Председателят на Съвета се оправомощава да посочи лицата, упълномощени да подпишат Протокола за изменение от името на Съюза.</w:t>
      </w:r>
    </w:p>
    <w:p>
      <w:pPr>
        <w:pStyle w:val="Titrearticle"/>
        <w:rPr>
          <w:noProof/>
        </w:rPr>
      </w:pPr>
      <w:r>
        <w:rPr>
          <w:noProof/>
        </w:rPr>
        <w:t>Член 3</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379, 24.12.2004 г., стр. 84; Специално издание на български език, 2007 г., глава 11, том 37, стр. 206</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2 09:30: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48D93E3AAF4405D9CBAF76B8AE214FE"/>
    <w:docVar w:name="LW_CROSSREFERENCE" w:val="&lt;UNUSED&gt;"/>
    <w:docVar w:name="LW_DocType" w:val="COM"/>
    <w:docVar w:name="LW_EMISSION" w:val="7.8.2015"/>
    <w:docVar w:name="LW_EMISSION_ISODATE" w:val="2015-08-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6"/>
    <w:docVar w:name="LW_REF.II.NEW.CP_YEAR" w:val="2015"/>
    <w:docVar w:name="LW_REF.INST.NEW" w:val="COM"/>
    <w:docVar w:name="LW_REF.INST.NEW_ADOPTED" w:val="final"/>
    <w:docVar w:name="LW_REF.INST.NEW_TEXT" w:val="(2015) 394"/>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0?\u1085?\u1103?\u1078?\u1077?\u1089?\u1090?\u1074?\u1086? \u1051?\u1080?\u1093?\u1090?\u1077?\u1085?\u1097?\u1072?\u1081?\u1085?, \u1082?\u1086?\u1077?\u1090?\u1086? \u1087?\u1088?\u1077?\u1076?\u1074?\u1080?\u1078?\u1076?\u1072? \u1084?\u1077?\u1088?\u1082?\u1080? \u1089? \u1088?\u1072?\u1074?\u1085?\u1086?\u1089?\u1090?\u1086?\u1077?\u1085? \u1077?\u1092?\u1077?\u1082?\u1090? \u1085?\u1072? \u1087?\u1088?\u1077?\u1076?\u1074?\u1080?\u1076?\u1077?\u1085?\u1080?\u1090?\u1077?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DA07-100A-43BF-89B5-F85503A7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1723</Words>
  <Characters>10138</Characters>
  <Application>Microsoft Office Word</Application>
  <DocSecurity>0</DocSecurity>
  <Lines>198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2015-08-31T13:37:00Z</dcterms:created>
  <dcterms:modified xsi:type="dcterms:W3CDTF">2015-09-02T07:30:00Z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