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8E7DC2C19B1458CACEB52CB94001381"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line="240" w:lineRule="auto"/>
        <w:jc w:val="center"/>
        <w:rPr>
          <w:rFonts w:ascii="Times New Roman" w:hAnsi="Times New Roman"/>
          <w:b/>
          <w:noProof/>
          <w:sz w:val="24"/>
          <w:szCs w:val="24"/>
        </w:rPr>
      </w:pPr>
      <w:bookmarkStart w:id="1" w:name="_GoBack"/>
      <w:bookmarkEnd w:id="1"/>
      <w:r>
        <w:rPr>
          <w:rFonts w:ascii="Times New Roman" w:hAnsi="Times New Roman"/>
          <w:b/>
          <w:noProof/>
          <w:sz w:val="24"/>
        </w:rPr>
        <w:lastRenderedPageBreak/>
        <w:t>RAPPORT DE LA COMMISSION</w:t>
      </w:r>
    </w:p>
    <w:p>
      <w:pPr>
        <w:spacing w:line="240" w:lineRule="auto"/>
        <w:jc w:val="center"/>
        <w:rPr>
          <w:rFonts w:ascii="Times New Roman" w:hAnsi="Times New Roman"/>
          <w:b/>
          <w:noProof/>
          <w:sz w:val="24"/>
          <w:szCs w:val="24"/>
        </w:rPr>
      </w:pPr>
      <w:r>
        <w:rPr>
          <w:rFonts w:ascii="Times New Roman" w:hAnsi="Times New Roman"/>
          <w:b/>
          <w:noProof/>
          <w:sz w:val="24"/>
        </w:rPr>
        <w:t>SUR LES TRAVAUX DES COMITÉS EN 2014</w:t>
      </w:r>
    </w:p>
    <w:p>
      <w:pPr>
        <w:spacing w:line="240" w:lineRule="auto"/>
        <w:jc w:val="center"/>
        <w:rPr>
          <w:rFonts w:ascii="Times New Roman" w:hAnsi="Times New Roman"/>
          <w:b/>
          <w:noProof/>
          <w:sz w:val="24"/>
          <w:szCs w:val="24"/>
        </w:rPr>
      </w:pPr>
    </w:p>
    <w:p>
      <w:pPr>
        <w:spacing w:line="240" w:lineRule="auto"/>
        <w:jc w:val="both"/>
        <w:rPr>
          <w:rFonts w:ascii="Times New Roman" w:hAnsi="Times New Roman"/>
          <w:noProof/>
          <w:sz w:val="24"/>
          <w:szCs w:val="24"/>
        </w:rPr>
      </w:pPr>
      <w:bookmarkStart w:id="2" w:name="_Toc531662363"/>
      <w:bookmarkStart w:id="3" w:name="_Toc530990686"/>
      <w:bookmarkStart w:id="4" w:name="_Toc527972231"/>
      <w:bookmarkStart w:id="5" w:name="_Toc525033196"/>
      <w:bookmarkStart w:id="6" w:name="_Toc525019710"/>
      <w:r>
        <w:rPr>
          <w:rFonts w:ascii="Times New Roman" w:hAnsi="Times New Roman"/>
          <w:noProof/>
          <w:sz w:val="24"/>
        </w:rPr>
        <w:t>Conformément à l'article 10, paragraphe 2, du règlement (UE) nº 182/2011 établissant les règles et principes généraux relatifs aux modalités de contrôle par les États membres de l’exercice des compétences d’exécution par la Commission</w:t>
      </w:r>
      <w:r>
        <w:rPr>
          <w:rFonts w:ascii="Times New Roman" w:hAnsi="Times New Roman"/>
          <w:noProof/>
          <w:sz w:val="24"/>
          <w:vertAlign w:val="superscript"/>
        </w:rPr>
        <w:footnoteReference w:id="1"/>
      </w:r>
      <w:r>
        <w:rPr>
          <w:rFonts w:ascii="Times New Roman" w:hAnsi="Times New Roman"/>
          <w:noProof/>
          <w:sz w:val="24"/>
        </w:rPr>
        <w:t xml:space="preserve"> (ci-après le «règlement de comitologie»), la Commission présente ci-après le rapport annuel sur les travaux des comités en 2014.</w:t>
      </w:r>
    </w:p>
    <w:p>
      <w:pPr>
        <w:spacing w:line="240" w:lineRule="auto"/>
        <w:jc w:val="both"/>
        <w:rPr>
          <w:rFonts w:ascii="Times New Roman" w:hAnsi="Times New Roman"/>
          <w:noProof/>
          <w:sz w:val="24"/>
          <w:szCs w:val="24"/>
        </w:rPr>
      </w:pPr>
      <w:r>
        <w:rPr>
          <w:rFonts w:ascii="Times New Roman" w:hAnsi="Times New Roman"/>
          <w:noProof/>
          <w:sz w:val="24"/>
        </w:rPr>
        <w:t>Le présent rapport fait un tour d’horizon de l’évolution du système de comitologie en 2014 et présente une synthèse des activités des comités. Il est accompagné d’un document de travail des services de la Commission contenant des statistiques détaillées sur les travaux des différents comités.</w:t>
      </w:r>
    </w:p>
    <w:p>
      <w:pPr>
        <w:spacing w:line="240" w:lineRule="auto"/>
        <w:jc w:val="both"/>
        <w:rPr>
          <w:rFonts w:ascii="Times New Roman" w:hAnsi="Times New Roman"/>
          <w:b/>
          <w:noProof/>
          <w:sz w:val="24"/>
          <w:szCs w:val="24"/>
        </w:rPr>
      </w:pPr>
      <w:r>
        <w:rPr>
          <w:rFonts w:ascii="Times New Roman" w:hAnsi="Times New Roman"/>
          <w:b/>
          <w:noProof/>
          <w:sz w:val="24"/>
        </w:rPr>
        <w:t>1.</w:t>
      </w:r>
      <w:r>
        <w:rPr>
          <w:noProof/>
        </w:rPr>
        <w:tab/>
      </w:r>
      <w:r>
        <w:rPr>
          <w:rFonts w:ascii="Times New Roman" w:hAnsi="Times New Roman"/>
          <w:b/>
          <w:smallCaps/>
          <w:noProof/>
          <w:sz w:val="24"/>
        </w:rPr>
        <w:t>Aperçu de l'évolution du système de comitologie en 2014</w:t>
      </w:r>
    </w:p>
    <w:p>
      <w:pPr>
        <w:spacing w:line="240" w:lineRule="auto"/>
        <w:jc w:val="both"/>
        <w:rPr>
          <w:rFonts w:ascii="Times New Roman" w:hAnsi="Times New Roman"/>
          <w:b/>
          <w:noProof/>
          <w:sz w:val="24"/>
          <w:szCs w:val="24"/>
        </w:rPr>
      </w:pPr>
      <w:r>
        <w:rPr>
          <w:rFonts w:ascii="Times New Roman" w:hAnsi="Times New Roman"/>
          <w:b/>
          <w:noProof/>
          <w:sz w:val="24"/>
        </w:rPr>
        <w:t>1.1</w:t>
      </w:r>
      <w:r>
        <w:rPr>
          <w:noProof/>
        </w:rPr>
        <w:tab/>
      </w:r>
      <w:r>
        <w:rPr>
          <w:rFonts w:ascii="Times New Roman" w:hAnsi="Times New Roman"/>
          <w:b/>
          <w:noProof/>
          <w:sz w:val="24"/>
        </w:rPr>
        <w:t>Évolution générale</w:t>
      </w:r>
    </w:p>
    <w:p>
      <w:pPr>
        <w:spacing w:line="240" w:lineRule="auto"/>
        <w:jc w:val="both"/>
        <w:rPr>
          <w:rFonts w:ascii="Times New Roman" w:hAnsi="Times New Roman"/>
          <w:b/>
          <w:noProof/>
          <w:sz w:val="24"/>
          <w:szCs w:val="24"/>
        </w:rPr>
      </w:pPr>
      <w:r>
        <w:rPr>
          <w:rFonts w:ascii="Times New Roman" w:hAnsi="Times New Roman"/>
          <w:noProof/>
          <w:sz w:val="24"/>
        </w:rPr>
        <w:t>Comme décrit dans le rapport de 2013</w:t>
      </w:r>
      <w:r>
        <w:rPr>
          <w:rFonts w:ascii="Times New Roman" w:hAnsi="Times New Roman"/>
          <w:noProof/>
          <w:sz w:val="24"/>
          <w:vertAlign w:val="superscript"/>
        </w:rPr>
        <w:footnoteReference w:id="2"/>
      </w:r>
      <w:r>
        <w:rPr>
          <w:rFonts w:ascii="Times New Roman" w:hAnsi="Times New Roman"/>
          <w:noProof/>
          <w:sz w:val="24"/>
        </w:rPr>
        <w:t>, à l'exception de la procédure de réglementation avec contrôle (PRAC), toutes les procédures de comitologie prévues par l'«ancienne» décision de comitologie</w:t>
      </w:r>
      <w:r>
        <w:rPr>
          <w:rFonts w:ascii="Times New Roman" w:hAnsi="Times New Roman"/>
          <w:noProof/>
          <w:sz w:val="24"/>
          <w:vertAlign w:val="superscript"/>
        </w:rPr>
        <w:footnoteReference w:id="3"/>
      </w:r>
      <w:r>
        <w:rPr>
          <w:rFonts w:ascii="Times New Roman" w:hAnsi="Times New Roman"/>
          <w:noProof/>
          <w:sz w:val="24"/>
        </w:rPr>
        <w:t xml:space="preserve"> ont été automatiquement adaptées de façon à les aligner sur les nouvelles procédures de comitologie prévues par le règlement de comitologie.</w:t>
      </w:r>
    </w:p>
    <w:p>
      <w:pPr>
        <w:spacing w:line="240" w:lineRule="auto"/>
        <w:jc w:val="both"/>
        <w:rPr>
          <w:rFonts w:ascii="Times New Roman" w:hAnsi="Times New Roman"/>
          <w:noProof/>
          <w:sz w:val="24"/>
          <w:szCs w:val="24"/>
        </w:rPr>
      </w:pPr>
      <w:r>
        <w:rPr>
          <w:rFonts w:ascii="Times New Roman" w:hAnsi="Times New Roman"/>
          <w:noProof/>
          <w:sz w:val="24"/>
        </w:rPr>
        <w:t>Par conséquent, en 2014, les comités de comitologie ont travaillé selon les procédures définies dans le règlement de comitologie, c'est-à-dire selon la procédure consultative (article 4) et la procédure d'examen (article 5), ainsi que la procédure de réglementation avec contrôle définie à l'article 5 </w:t>
      </w:r>
      <w:r>
        <w:rPr>
          <w:rFonts w:ascii="Times New Roman" w:hAnsi="Times New Roman"/>
          <w:i/>
          <w:noProof/>
          <w:sz w:val="24"/>
        </w:rPr>
        <w:t>bis</w:t>
      </w:r>
      <w:r>
        <w:rPr>
          <w:rFonts w:ascii="Times New Roman" w:hAnsi="Times New Roman"/>
          <w:noProof/>
          <w:sz w:val="24"/>
        </w:rPr>
        <w:t xml:space="preserve"> de la décision de comitologie.</w:t>
      </w:r>
    </w:p>
    <w:p>
      <w:pPr>
        <w:spacing w:line="240" w:lineRule="auto"/>
        <w:jc w:val="both"/>
        <w:rPr>
          <w:rFonts w:ascii="Times New Roman" w:hAnsi="Times New Roman"/>
          <w:noProof/>
          <w:sz w:val="24"/>
          <w:szCs w:val="24"/>
        </w:rPr>
      </w:pPr>
      <w:r>
        <w:rPr>
          <w:rFonts w:ascii="Times New Roman" w:hAnsi="Times New Roman"/>
          <w:noProof/>
          <w:sz w:val="24"/>
        </w:rPr>
        <w:t>Conformément à la déclaration</w:t>
      </w:r>
      <w:r>
        <w:rPr>
          <w:rFonts w:ascii="Times New Roman" w:hAnsi="Times New Roman"/>
          <w:noProof/>
          <w:sz w:val="24"/>
          <w:vertAlign w:val="superscript"/>
        </w:rPr>
        <w:footnoteReference w:id="4"/>
      </w:r>
      <w:r>
        <w:rPr>
          <w:rFonts w:ascii="Times New Roman" w:hAnsi="Times New Roman"/>
          <w:noProof/>
          <w:sz w:val="24"/>
        </w:rPr>
        <w:t xml:space="preserve"> faite lors de l'adoption du règlement de comitologie selon laquelle elle adapterait toutes les dispositions des actes de base existants relatives à la procédure de réglementation avec contrôle aux critères fixés par le traité, la Commission a adopté, en 2013, au terme d'un examen analytique préliminaire entamé en 2012, trois propositions</w:t>
      </w:r>
      <w:r>
        <w:rPr>
          <w:rFonts w:ascii="Times New Roman" w:hAnsi="Times New Roman"/>
          <w:noProof/>
          <w:sz w:val="24"/>
          <w:vertAlign w:val="superscript"/>
        </w:rPr>
        <w:footnoteReference w:id="5"/>
      </w:r>
      <w:r>
        <w:rPr>
          <w:rFonts w:ascii="Times New Roman" w:hAnsi="Times New Roman"/>
          <w:noProof/>
          <w:sz w:val="24"/>
        </w:rPr>
        <w:t xml:space="preserve"> concernant l'alignement d'un total de 200 actes de base sur les articles 290 et 291 du TFUE. En novembre 2014, la Commission</w:t>
      </w:r>
      <w:r>
        <w:rPr>
          <w:noProof/>
        </w:rPr>
        <w:t xml:space="preserve">, </w:t>
      </w:r>
      <w:r>
        <w:rPr>
          <w:rFonts w:ascii="Times New Roman" w:hAnsi="Times New Roman"/>
          <w:noProof/>
          <w:sz w:val="24"/>
        </w:rPr>
        <w:t>au début de son nouveau mandat, et dans le cadre de l’examen des propositions législatives en instance, a décidé de retirer ces propositions</w:t>
      </w:r>
      <w:r>
        <w:rPr>
          <w:rStyle w:val="FootnoteReference"/>
          <w:rFonts w:ascii="Times New Roman" w:hAnsi="Times New Roman"/>
          <w:noProof/>
          <w:sz w:val="24"/>
        </w:rPr>
        <w:footnoteReference w:id="6"/>
      </w:r>
      <w:r>
        <w:rPr>
          <w:rFonts w:ascii="Times New Roman" w:hAnsi="Times New Roman"/>
          <w:noProof/>
          <w:sz w:val="24"/>
        </w:rPr>
        <w:t xml:space="preserve"> en attendant l’issue des discussions à venir entre les institutions dans le cadre de l’accord interinstitutionnel sur l’amélioration de la réglementation.</w:t>
      </w:r>
    </w:p>
    <w:p>
      <w:pPr>
        <w:spacing w:line="240" w:lineRule="auto"/>
        <w:jc w:val="both"/>
        <w:rPr>
          <w:rFonts w:ascii="Times New Roman" w:hAnsi="Times New Roman"/>
          <w:b/>
          <w:noProof/>
          <w:sz w:val="24"/>
          <w:szCs w:val="24"/>
        </w:rPr>
      </w:pPr>
      <w:r>
        <w:rPr>
          <w:rFonts w:ascii="Times New Roman" w:hAnsi="Times New Roman"/>
          <w:b/>
          <w:noProof/>
          <w:sz w:val="24"/>
        </w:rPr>
        <w:t>1.2</w:t>
      </w:r>
      <w:r>
        <w:rPr>
          <w:noProof/>
        </w:rPr>
        <w:tab/>
      </w:r>
      <w:r>
        <w:rPr>
          <w:rFonts w:ascii="Times New Roman" w:hAnsi="Times New Roman"/>
          <w:b/>
          <w:noProof/>
          <w:sz w:val="24"/>
        </w:rPr>
        <w:t>Évolution de la jurisprudence</w:t>
      </w:r>
    </w:p>
    <w:p>
      <w:pPr>
        <w:spacing w:line="240" w:lineRule="auto"/>
        <w:jc w:val="both"/>
        <w:rPr>
          <w:rFonts w:ascii="Times New Roman" w:hAnsi="Times New Roman"/>
          <w:noProof/>
          <w:sz w:val="24"/>
          <w:szCs w:val="24"/>
        </w:rPr>
      </w:pPr>
      <w:r>
        <w:rPr>
          <w:rFonts w:ascii="Times New Roman" w:hAnsi="Times New Roman"/>
          <w:noProof/>
          <w:sz w:val="24"/>
        </w:rPr>
        <w:lastRenderedPageBreak/>
        <w:t>Avec son arrêt dans l’affaire C-427/12, Commission/Parlement et Conseil (l’affaire des «produits biocides»), rendu le 18 mars 2014, la Cour de justice s’est prononcée pour la première fois sur une affaire concernant la délimitation entre actes délégués et actes d’exécution. Par sa requête dans l'affaire des «produits biocides», la Commission européenne demandait l’annulation d'une disposition prévoyant l’adoption de mesures établissant les redevances exigibles par l’Agence européenne des produits chimiques au moyen d'actes d’exécution. La Commission considérait que ces dernières devraient être fixées par voie d'actes délégués. La Cour de justice a rejeté le recours de la Commission, jugeant qu'il n'était pas fondé. Si la Cour n'a pas remis en cause le fait que les articles 290 et 291 du TFUE ont chacun leur propre champ d'application, elle a reconnu que le législateur dispose d'une marge d'appréciation lorsqu'il décide de conférer à la Commission le pouvoir d’adopter un acte délégué en vertu de l'article 290, paragraphe 1, du TFUE ou un acte d’exécution en vertu de l'article 291, paragraphe 2, du TFUE. En conséquence, la Cour a jugé que le contrôle juridictionnel se limitait aux erreurs manifestes d'appréciation.</w:t>
      </w:r>
    </w:p>
    <w:p>
      <w:pPr>
        <w:spacing w:line="240" w:lineRule="auto"/>
        <w:jc w:val="both"/>
        <w:rPr>
          <w:rFonts w:ascii="Times New Roman" w:hAnsi="Times New Roman"/>
          <w:noProof/>
          <w:sz w:val="24"/>
          <w:szCs w:val="24"/>
        </w:rPr>
      </w:pPr>
      <w:r>
        <w:rPr>
          <w:rFonts w:ascii="Times New Roman" w:hAnsi="Times New Roman"/>
          <w:noProof/>
          <w:sz w:val="24"/>
        </w:rPr>
        <w:t>Dans son arrêt prononcé le 15 octobre 2014 dans l’affaire C-65/13, Parlement européen/Commission européenne (affaire «EURES»), la Cour a rejeté le recours du Parlement, qui cherchait à obtenir l’annulation de la décision d'exécution 2012/733/UE, considérant que la Commission n’avait pas outrepassé ses compétences d’exécution.</w:t>
      </w:r>
    </w:p>
    <w:p>
      <w:pPr>
        <w:spacing w:line="240" w:lineRule="auto"/>
        <w:jc w:val="both"/>
        <w:rPr>
          <w:rFonts w:ascii="Times New Roman" w:hAnsi="Times New Roman"/>
          <w:b/>
          <w:noProof/>
          <w:sz w:val="24"/>
          <w:szCs w:val="24"/>
        </w:rPr>
      </w:pPr>
      <w:r>
        <w:rPr>
          <w:noProof/>
        </w:rPr>
        <w:br w:type="page"/>
      </w:r>
      <w:r>
        <w:rPr>
          <w:rFonts w:ascii="Times New Roman" w:hAnsi="Times New Roman"/>
          <w:b/>
          <w:noProof/>
          <w:sz w:val="24"/>
        </w:rPr>
        <w:lastRenderedPageBreak/>
        <w:t>2.</w:t>
      </w:r>
      <w:r>
        <w:rPr>
          <w:noProof/>
        </w:rPr>
        <w:tab/>
      </w:r>
      <w:r>
        <w:rPr>
          <w:rFonts w:ascii="Times New Roman" w:hAnsi="Times New Roman"/>
          <w:b/>
          <w:smallCaps/>
          <w:noProof/>
          <w:sz w:val="24"/>
        </w:rPr>
        <w:t>Aperçu des activités</w:t>
      </w:r>
    </w:p>
    <w:p>
      <w:pPr>
        <w:spacing w:line="240" w:lineRule="auto"/>
        <w:jc w:val="both"/>
        <w:rPr>
          <w:rFonts w:ascii="Times New Roman" w:hAnsi="Times New Roman"/>
          <w:b/>
          <w:noProof/>
          <w:sz w:val="24"/>
          <w:szCs w:val="24"/>
        </w:rPr>
      </w:pPr>
      <w:r>
        <w:rPr>
          <w:rFonts w:ascii="Times New Roman" w:hAnsi="Times New Roman"/>
          <w:b/>
          <w:noProof/>
          <w:sz w:val="24"/>
        </w:rPr>
        <w:t>2.1</w:t>
      </w:r>
      <w:r>
        <w:rPr>
          <w:noProof/>
        </w:rPr>
        <w:tab/>
      </w:r>
      <w:r>
        <w:rPr>
          <w:rFonts w:ascii="Times New Roman" w:hAnsi="Times New Roman"/>
          <w:b/>
          <w:noProof/>
          <w:sz w:val="24"/>
        </w:rPr>
        <w:t>Nombre de comités et de réunions</w:t>
      </w:r>
    </w:p>
    <w:p>
      <w:pPr>
        <w:spacing w:line="240" w:lineRule="auto"/>
        <w:jc w:val="both"/>
        <w:rPr>
          <w:rFonts w:ascii="Times New Roman" w:hAnsi="Times New Roman"/>
          <w:noProof/>
          <w:sz w:val="24"/>
          <w:szCs w:val="24"/>
        </w:rPr>
      </w:pPr>
      <w:r>
        <w:rPr>
          <w:rFonts w:ascii="Times New Roman" w:hAnsi="Times New Roman"/>
          <w:noProof/>
          <w:sz w:val="24"/>
        </w:rPr>
        <w:t>Il importe de distinguer les comités de comitologie des autres entités, en particulier des «groupes d'experts» créés par la Commission elle-même. Ces derniers mettent leurs connaissances spécialisées à la disposition de la Commission</w:t>
      </w:r>
      <w:r>
        <w:rPr>
          <w:rFonts w:ascii="Times New Roman" w:hAnsi="Times New Roman"/>
          <w:noProof/>
          <w:sz w:val="24"/>
          <w:vertAlign w:val="superscript"/>
        </w:rPr>
        <w:footnoteReference w:id="7"/>
      </w:r>
      <w:r>
        <w:rPr>
          <w:rFonts w:ascii="Times New Roman" w:hAnsi="Times New Roman"/>
          <w:noProof/>
          <w:sz w:val="24"/>
        </w:rPr>
        <w:t xml:space="preserve"> pour l'élaboration et la mise en œuvre des politiques ainsi que des actes délégués, tandis que les comités de comitologie assistent la Commission dans l’exercice des compétences d’exécution qui lui ont été conférées par des actes législatifs de base. Le présent rapport porte exclusivement sur les comités de comitologie. Le </w:t>
      </w:r>
      <w:r>
        <w:rPr>
          <w:rFonts w:ascii="Times New Roman" w:hAnsi="Times New Roman"/>
          <w:noProof/>
          <w:sz w:val="24"/>
          <w:u w:val="single"/>
        </w:rPr>
        <w:t>tableau I</w:t>
      </w:r>
      <w:r>
        <w:rPr>
          <w:rFonts w:ascii="Times New Roman" w:hAnsi="Times New Roman"/>
          <w:noProof/>
          <w:sz w:val="24"/>
        </w:rPr>
        <w:t xml:space="preserve"> ci-dessous présente le </w:t>
      </w:r>
      <w:r>
        <w:rPr>
          <w:rFonts w:ascii="Times New Roman" w:hAnsi="Times New Roman"/>
          <w:noProof/>
          <w:sz w:val="24"/>
          <w:u w:val="single"/>
        </w:rPr>
        <w:t>nombre de comités de comitologie actifs</w:t>
      </w:r>
      <w:r>
        <w:rPr>
          <w:rFonts w:ascii="Times New Roman" w:hAnsi="Times New Roman"/>
          <w:noProof/>
          <w:sz w:val="24"/>
        </w:rPr>
        <w:t xml:space="preserve"> par secteur d'activité pour la période comprise entre le 1</w:t>
      </w:r>
      <w:r>
        <w:rPr>
          <w:rFonts w:ascii="Times New Roman" w:hAnsi="Times New Roman"/>
          <w:noProof/>
          <w:sz w:val="24"/>
          <w:vertAlign w:val="superscript"/>
        </w:rPr>
        <w:t>er </w:t>
      </w:r>
      <w:r>
        <w:rPr>
          <w:rFonts w:ascii="Times New Roman" w:hAnsi="Times New Roman"/>
          <w:noProof/>
          <w:sz w:val="24"/>
        </w:rPr>
        <w:t>janvier 2014 et le 1</w:t>
      </w:r>
      <w:r>
        <w:rPr>
          <w:rFonts w:ascii="Times New Roman" w:hAnsi="Times New Roman"/>
          <w:noProof/>
          <w:sz w:val="24"/>
          <w:vertAlign w:val="superscript"/>
        </w:rPr>
        <w:t xml:space="preserve">er janvier </w:t>
      </w:r>
      <w:r>
        <w:rPr>
          <w:rFonts w:ascii="Times New Roman" w:hAnsi="Times New Roman"/>
          <w:noProof/>
          <w:sz w:val="24"/>
        </w:rPr>
        <w:t>2015. Les chiffres relatifs à l'année antérieure (au 31 décembre 2013) sont également indiqués à titre de comparaison. Les sections et configurations ne sont pas comptées à part, car elles font partie d'un comité principal.</w:t>
      </w:r>
    </w:p>
    <w:p>
      <w:pPr>
        <w:spacing w:line="240" w:lineRule="auto"/>
        <w:jc w:val="center"/>
        <w:rPr>
          <w:rFonts w:ascii="Times New Roman" w:hAnsi="Times New Roman"/>
          <w:b/>
          <w:noProof/>
          <w:sz w:val="24"/>
          <w:szCs w:val="24"/>
          <w:u w:val="single"/>
        </w:rPr>
      </w:pPr>
      <w:r>
        <w:rPr>
          <w:rFonts w:ascii="Times New Roman" w:hAnsi="Times New Roman"/>
          <w:b/>
          <w:noProof/>
          <w:sz w:val="24"/>
          <w:u w:val="single"/>
        </w:rPr>
        <w:t xml:space="preserve">TABLEAU I – </w:t>
      </w:r>
      <w:r>
        <w:rPr>
          <w:rFonts w:ascii="Times New Roman Bold" w:hAnsi="Times New Roman Bold"/>
          <w:b/>
          <w:smallCaps/>
          <w:noProof/>
          <w:sz w:val="24"/>
          <w:u w:val="single"/>
        </w:rPr>
        <w:t>Nombre total de comités</w:t>
      </w:r>
      <w:r>
        <w:rPr>
          <w:rFonts w:ascii="Times New Roman" w:hAnsi="Times New Roman"/>
          <w:b/>
          <w:noProof/>
          <w:sz w:val="24"/>
          <w:u w:val="single"/>
        </w:rPr>
        <w:t xml:space="preserve"> (2014/2015)</w:t>
      </w:r>
    </w:p>
    <w:tbl>
      <w:tblPr>
        <w:tblW w:w="5000" w:type="pct"/>
        <w:tblLook w:val="0000" w:firstRow="0" w:lastRow="0" w:firstColumn="0" w:lastColumn="0" w:noHBand="0" w:noVBand="0"/>
      </w:tblPr>
      <w:tblGrid>
        <w:gridCol w:w="6571"/>
        <w:gridCol w:w="1354"/>
        <w:gridCol w:w="1363"/>
      </w:tblGrid>
      <w:tr>
        <w:trPr>
          <w:trHeight w:val="510"/>
        </w:trPr>
        <w:tc>
          <w:tcPr>
            <w:tcW w:w="3242" w:type="pct"/>
            <w:tcBorders>
              <w:top w:val="single" w:sz="4" w:space="0" w:color="auto"/>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Domaine d'action</w:t>
            </w:r>
          </w:p>
        </w:tc>
        <w:tc>
          <w:tcPr>
            <w:tcW w:w="877"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2014/2015</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Agriculture et développement rural (AGRI)</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Budget (BUDG)</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Action pour le climat (CLIMA)</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Réseaux de communication, contenu et technologies (CNECT)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Affaires économiques et financières (ECFIN)</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Éducation et culture (EAC)</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Emploi, affaires sociales et inclusion (EMPL)</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Énergie (ENER)</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Environnement (ENV)</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Office européen de lutte antifraude (OLAF)</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Eurostat (ESTAT)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Stabilité financière, services financiers et union des marchés des capitaux (FISMA)</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Santé et sécurité alimentaire (SANTE)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26</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Aide humanitaire et protection civile (ECHO)</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Informatique (DIGIT)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Marché intérieur, industrie, entrepreneuriat et PME (GROW)</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Coopération internationale et développement (DEVCO)</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Justice et consommateurs (JUST)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Affaires maritimes et pêche (MARE)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4</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Migration et affaires intérieures (HOME)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Mobilité et transports (MOVE)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32</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Voisinage et négociations d'élargissement (NEAR)</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Politique régionale et urbaine (REGIO)</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Recherche et innovation (RTD)</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Secrétariat général (SG)</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Service des instruments de politique étrangère (FPI)</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Fiscalité et union douanière (TAXUD)</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Commerce (TRADE)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TOTAL</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287</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301</w:t>
            </w:r>
          </w:p>
        </w:tc>
      </w:tr>
    </w:tbl>
    <w:p>
      <w:pPr>
        <w:spacing w:line="240" w:lineRule="auto"/>
        <w:jc w:val="both"/>
        <w:rPr>
          <w:rFonts w:ascii="Times New Roman" w:hAnsi="Times New Roman"/>
          <w:i/>
          <w:noProof/>
          <w:sz w:val="18"/>
          <w:szCs w:val="18"/>
        </w:rPr>
      </w:pPr>
      <w:r>
        <w:rPr>
          <w:rFonts w:ascii="Times New Roman" w:hAnsi="Times New Roman"/>
          <w:noProof/>
          <w:sz w:val="18"/>
        </w:rPr>
        <w:t xml:space="preserve">* </w:t>
      </w:r>
      <w:r>
        <w:rPr>
          <w:rFonts w:ascii="Times New Roman" w:hAnsi="Times New Roman"/>
          <w:i/>
          <w:noProof/>
          <w:sz w:val="18"/>
        </w:rPr>
        <w:t>y compris le comité d’appel (pour les besoins du registre de comitologie, le comité d’appel est pris en compte en tant que comité sous la responsabilité du SG; dans la pratique, il est géré par tous les services concernés).</w:t>
      </w:r>
    </w:p>
    <w:p>
      <w:pPr>
        <w:spacing w:line="240" w:lineRule="auto"/>
        <w:jc w:val="both"/>
        <w:rPr>
          <w:rFonts w:ascii="Times New Roman" w:hAnsi="Times New Roman"/>
          <w:noProof/>
          <w:sz w:val="24"/>
          <w:szCs w:val="24"/>
        </w:rPr>
      </w:pPr>
      <w:r>
        <w:rPr>
          <w:rFonts w:ascii="Times New Roman" w:hAnsi="Times New Roman"/>
          <w:noProof/>
          <w:sz w:val="24"/>
        </w:rPr>
        <w:t>En 2014, les comités de comitologie ont pu généralement être ventilés selon le type de procédure qui régit leur activité (procédure de consultation, procédure d'examen, procédure de réglementation avec contrôle – voir tableau II). Certains comités ayant appliqué des procédures multiples ont été séparés des comités opérant selon une procédure unique.</w:t>
      </w:r>
    </w:p>
    <w:p>
      <w:pPr>
        <w:spacing w:line="240" w:lineRule="auto"/>
        <w:jc w:val="center"/>
        <w:rPr>
          <w:rFonts w:ascii="Times New Roman" w:hAnsi="Times New Roman"/>
          <w:b/>
          <w:smallCaps/>
          <w:noProof/>
          <w:sz w:val="24"/>
          <w:szCs w:val="24"/>
          <w:u w:val="single"/>
        </w:rPr>
      </w:pPr>
      <w:bookmarkStart w:id="7" w:name="_Toc138589006"/>
      <w:r>
        <w:rPr>
          <w:rFonts w:ascii="Times New Roman" w:hAnsi="Times New Roman"/>
          <w:b/>
          <w:noProof/>
          <w:sz w:val="24"/>
          <w:u w:val="single"/>
        </w:rPr>
        <w:t xml:space="preserve">TABLEAU II - </w:t>
      </w:r>
      <w:r>
        <w:rPr>
          <w:rFonts w:ascii="Times New Roman Bold" w:hAnsi="Times New Roman Bold"/>
          <w:b/>
          <w:smallCaps/>
          <w:noProof/>
          <w:sz w:val="24"/>
          <w:u w:val="single"/>
        </w:rPr>
        <w:t xml:space="preserve">Nombre de comités par type de procédure </w:t>
      </w:r>
      <w:r>
        <w:rPr>
          <w:rFonts w:ascii="Times New Roman" w:hAnsi="Times New Roman"/>
          <w:b/>
          <w:noProof/>
          <w:sz w:val="24"/>
          <w:u w:val="single"/>
        </w:rPr>
        <w:t>(2014)</w:t>
      </w:r>
      <w:bookmarkEnd w:id="7"/>
    </w:p>
    <w:tbl>
      <w:tblPr>
        <w:tblW w:w="5000" w:type="pct"/>
        <w:tblLook w:val="0000" w:firstRow="0" w:lastRow="0" w:firstColumn="0" w:lastColumn="0" w:noHBand="0" w:noVBand="0"/>
      </w:tblPr>
      <w:tblGrid>
        <w:gridCol w:w="1101"/>
        <w:gridCol w:w="1634"/>
        <w:gridCol w:w="1637"/>
        <w:gridCol w:w="1637"/>
        <w:gridCol w:w="1642"/>
        <w:gridCol w:w="1637"/>
      </w:tblGrid>
      <w:tr>
        <w:trPr>
          <w:trHeight w:val="510"/>
        </w:trPr>
        <w:tc>
          <w:tcPr>
            <w:tcW w:w="593" w:type="pct"/>
            <w:vMerge w:val="restart"/>
            <w:tcBorders>
              <w:top w:val="single" w:sz="4" w:space="0" w:color="auto"/>
              <w:left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 </w:t>
            </w:r>
          </w:p>
        </w:tc>
        <w:tc>
          <w:tcPr>
            <w:tcW w:w="3526" w:type="pct"/>
            <w:gridSpan w:val="4"/>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Type de procédure</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p>
        </w:tc>
      </w:tr>
      <w:tr>
        <w:trPr>
          <w:trHeight w:val="510"/>
        </w:trPr>
        <w:tc>
          <w:tcPr>
            <w:tcW w:w="593" w:type="pct"/>
            <w:vMerge/>
            <w:tcBorders>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rPr>
            </w:pPr>
          </w:p>
        </w:tc>
        <w:tc>
          <w:tcPr>
            <w:tcW w:w="880"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Consultation</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Examen</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Réglementation avec contrôle</w:t>
            </w:r>
          </w:p>
        </w:tc>
        <w:tc>
          <w:tcPr>
            <w:tcW w:w="884"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Opérant selon plusieurs procédures</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TOTAL</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44</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MOVE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7</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3</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OLAF</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TOTAL</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103</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22</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137</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287</w:t>
            </w:r>
          </w:p>
        </w:tc>
      </w:tr>
    </w:tbl>
    <w:p>
      <w:pPr>
        <w:spacing w:line="240" w:lineRule="auto"/>
        <w:jc w:val="both"/>
        <w:rPr>
          <w:rFonts w:ascii="Times New Roman" w:hAnsi="Times New Roman"/>
          <w:noProof/>
          <w:sz w:val="18"/>
          <w:szCs w:val="18"/>
        </w:rPr>
      </w:pPr>
      <w:r>
        <w:rPr>
          <w:rFonts w:ascii="Times New Roman" w:hAnsi="Times New Roman"/>
          <w:noProof/>
          <w:sz w:val="18"/>
        </w:rPr>
        <w:t xml:space="preserve">* </w:t>
      </w:r>
      <w:r>
        <w:rPr>
          <w:rFonts w:ascii="Times New Roman" w:hAnsi="Times New Roman"/>
          <w:i/>
          <w:noProof/>
          <w:sz w:val="18"/>
        </w:rPr>
        <w:t>y compris le comité d’appel</w:t>
      </w:r>
      <w:r>
        <w:rPr>
          <w:rFonts w:ascii="Times New Roman" w:hAnsi="Times New Roman"/>
          <w:noProof/>
          <w:sz w:val="18"/>
        </w:rPr>
        <w:t>.</w:t>
      </w:r>
    </w:p>
    <w:p>
      <w:pPr>
        <w:spacing w:line="240" w:lineRule="auto"/>
        <w:jc w:val="both"/>
        <w:rPr>
          <w:rFonts w:ascii="Times New Roman" w:hAnsi="Times New Roman"/>
          <w:noProof/>
          <w:sz w:val="24"/>
          <w:szCs w:val="24"/>
        </w:rPr>
      </w:pPr>
      <w:r>
        <w:rPr>
          <w:rFonts w:ascii="Times New Roman" w:hAnsi="Times New Roman"/>
          <w:noProof/>
          <w:sz w:val="24"/>
        </w:rPr>
        <w:t xml:space="preserve">Le nombre de comités n'est pas le seul indicateur de l'activité pour la comitologie. Le </w:t>
      </w:r>
      <w:r>
        <w:rPr>
          <w:rFonts w:ascii="Times New Roman" w:hAnsi="Times New Roman"/>
          <w:i/>
          <w:noProof/>
          <w:sz w:val="24"/>
        </w:rPr>
        <w:t>nombre de réunions</w:t>
      </w:r>
      <w:r>
        <w:rPr>
          <w:rFonts w:ascii="Times New Roman" w:hAnsi="Times New Roman"/>
          <w:noProof/>
          <w:sz w:val="24"/>
        </w:rPr>
        <w:t xml:space="preserve"> tenues ainsi que le </w:t>
      </w:r>
      <w:r>
        <w:rPr>
          <w:rFonts w:ascii="Times New Roman" w:hAnsi="Times New Roman"/>
          <w:i/>
          <w:noProof/>
          <w:sz w:val="24"/>
        </w:rPr>
        <w:t>nombre de procédures écrites</w:t>
      </w:r>
      <w:r>
        <w:rPr>
          <w:rFonts w:ascii="Times New Roman" w:hAnsi="Times New Roman"/>
          <w:i/>
          <w:noProof/>
          <w:sz w:val="24"/>
          <w:vertAlign w:val="superscript"/>
        </w:rPr>
        <w:footnoteReference w:id="8"/>
      </w:r>
      <w:r>
        <w:rPr>
          <w:rFonts w:ascii="Times New Roman" w:hAnsi="Times New Roman"/>
          <w:noProof/>
          <w:sz w:val="24"/>
        </w:rPr>
        <w:t xml:space="preserve"> utilisées en 2014 reflètent également l'intensité générale des travaux, à l'échelle des secteurs d'activité et au sein des différents comités (</w:t>
      </w:r>
      <w:r>
        <w:rPr>
          <w:rFonts w:ascii="Times New Roman" w:hAnsi="Times New Roman"/>
          <w:noProof/>
          <w:sz w:val="24"/>
          <w:u w:val="single"/>
        </w:rPr>
        <w:t>tableau III</w:t>
      </w:r>
      <w:r>
        <w:rPr>
          <w:rFonts w:ascii="Times New Roman" w:hAnsi="Times New Roman"/>
          <w:noProof/>
          <w:sz w:val="24"/>
        </w:rPr>
        <w:t>).</w:t>
      </w:r>
    </w:p>
    <w:p>
      <w:pPr>
        <w:rPr>
          <w:rFonts w:ascii="Times New Roman" w:hAnsi="Times New Roman"/>
          <w:b/>
          <w:noProof/>
          <w:sz w:val="24"/>
          <w:szCs w:val="24"/>
          <w:u w:val="single"/>
        </w:rPr>
      </w:pPr>
      <w:r>
        <w:rPr>
          <w:noProof/>
        </w:rPr>
        <w:br w:type="page"/>
      </w:r>
      <w:r>
        <w:rPr>
          <w:rFonts w:ascii="Times New Roman" w:hAnsi="Times New Roman"/>
          <w:b/>
          <w:noProof/>
          <w:sz w:val="24"/>
          <w:u w:val="single"/>
        </w:rPr>
        <w:t xml:space="preserve">TABLEAU III – </w:t>
      </w:r>
      <w:r>
        <w:rPr>
          <w:rFonts w:ascii="Times New Roman Bold" w:hAnsi="Times New Roman Bold"/>
          <w:b/>
          <w:smallCaps/>
          <w:noProof/>
          <w:sz w:val="24"/>
          <w:u w:val="single"/>
        </w:rPr>
        <w:t>Nombre de réunions et de procédures écrites</w:t>
      </w:r>
      <w:r>
        <w:rPr>
          <w:rFonts w:ascii="Times New Roman" w:hAnsi="Times New Roman"/>
          <w:b/>
          <w:noProof/>
          <w:sz w:val="24"/>
          <w:u w:val="single"/>
        </w:rPr>
        <w:t xml:space="preserve"> (2014)</w:t>
      </w:r>
    </w:p>
    <w:tbl>
      <w:tblPr>
        <w:tblW w:w="5000" w:type="pct"/>
        <w:tblLook w:val="0000" w:firstRow="0" w:lastRow="0" w:firstColumn="0" w:lastColumn="0" w:noHBand="0" w:noVBand="0"/>
      </w:tblPr>
      <w:tblGrid>
        <w:gridCol w:w="1598"/>
        <w:gridCol w:w="1536"/>
        <w:gridCol w:w="1538"/>
        <w:gridCol w:w="1540"/>
        <w:gridCol w:w="1538"/>
        <w:gridCol w:w="1538"/>
      </w:tblGrid>
      <w:tr>
        <w:trPr>
          <w:trHeight w:val="510"/>
        </w:trPr>
        <w:tc>
          <w:tcPr>
            <w:tcW w:w="860" w:type="pct"/>
            <w:vMerge w:val="restart"/>
            <w:tcBorders>
              <w:top w:val="single" w:sz="4" w:space="0" w:color="auto"/>
              <w:left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7" w:type="pct"/>
            <w:vMerge w:val="restart"/>
            <w:tcBorders>
              <w:top w:val="single" w:sz="4" w:space="0" w:color="auto"/>
              <w:left w:val="nil"/>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 xml:space="preserve">Nombre de comités </w:t>
            </w:r>
          </w:p>
        </w:tc>
        <w:tc>
          <w:tcPr>
            <w:tcW w:w="1657"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Réunions</w:t>
            </w:r>
          </w:p>
        </w:tc>
        <w:tc>
          <w:tcPr>
            <w:tcW w:w="1656"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Procédures écrites</w:t>
            </w:r>
          </w:p>
        </w:tc>
      </w:tr>
      <w:tr>
        <w:trPr>
          <w:trHeight w:val="510"/>
        </w:trPr>
        <w:tc>
          <w:tcPr>
            <w:tcW w:w="860" w:type="pct"/>
            <w:vMerge/>
            <w:tcBorders>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7" w:type="pct"/>
            <w:vMerge/>
            <w:tcBorders>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2014</w:t>
            </w:r>
          </w:p>
        </w:tc>
        <w:tc>
          <w:tcPr>
            <w:tcW w:w="82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2013</w:t>
            </w: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2014</w:t>
            </w: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2013</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48</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59</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38</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29</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28</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OLAF</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240</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506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403</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89</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32</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TOTAL</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287</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773</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716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893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966</w:t>
            </w:r>
          </w:p>
        </w:tc>
      </w:tr>
    </w:tbl>
    <w:p>
      <w:pPr>
        <w:spacing w:line="240" w:lineRule="auto"/>
        <w:jc w:val="both"/>
        <w:rPr>
          <w:rFonts w:ascii="Times New Roman" w:hAnsi="Times New Roman"/>
          <w:i/>
          <w:noProof/>
          <w:sz w:val="18"/>
          <w:szCs w:val="18"/>
        </w:rPr>
      </w:pPr>
      <w:r>
        <w:rPr>
          <w:rFonts w:ascii="Times New Roman" w:hAnsi="Times New Roman"/>
          <w:i/>
          <w:noProof/>
          <w:sz w:val="18"/>
        </w:rPr>
        <w:t>* y compris 6 réunions du comité d’appel.</w:t>
      </w:r>
    </w:p>
    <w:p>
      <w:pPr>
        <w:spacing w:line="240" w:lineRule="auto"/>
        <w:jc w:val="both"/>
        <w:rPr>
          <w:rFonts w:ascii="Times New Roman" w:hAnsi="Times New Roman"/>
          <w:b/>
          <w:noProof/>
          <w:sz w:val="24"/>
          <w:szCs w:val="24"/>
        </w:rPr>
      </w:pPr>
    </w:p>
    <w:p>
      <w:pPr>
        <w:spacing w:line="240" w:lineRule="auto"/>
        <w:jc w:val="both"/>
        <w:rPr>
          <w:rFonts w:ascii="Times New Roman" w:hAnsi="Times New Roman"/>
          <w:b/>
          <w:noProof/>
          <w:sz w:val="24"/>
          <w:szCs w:val="24"/>
        </w:rPr>
      </w:pPr>
    </w:p>
    <w:p>
      <w:pPr>
        <w:spacing w:line="240" w:lineRule="auto"/>
        <w:jc w:val="both"/>
        <w:rPr>
          <w:rFonts w:ascii="Times New Roman" w:hAnsi="Times New Roman"/>
          <w:b/>
          <w:noProof/>
          <w:sz w:val="24"/>
          <w:szCs w:val="24"/>
        </w:rPr>
      </w:pPr>
    </w:p>
    <w:p>
      <w:pPr>
        <w:spacing w:line="240" w:lineRule="auto"/>
        <w:jc w:val="both"/>
        <w:rPr>
          <w:rFonts w:ascii="Times New Roman" w:hAnsi="Times New Roman"/>
          <w:b/>
          <w:noProof/>
          <w:sz w:val="24"/>
          <w:szCs w:val="24"/>
        </w:rPr>
      </w:pPr>
      <w:r>
        <w:rPr>
          <w:rFonts w:ascii="Times New Roman" w:hAnsi="Times New Roman"/>
          <w:b/>
          <w:noProof/>
          <w:sz w:val="24"/>
        </w:rPr>
        <w:t>2.2</w:t>
      </w:r>
      <w:r>
        <w:rPr>
          <w:noProof/>
        </w:rPr>
        <w:tab/>
      </w:r>
      <w:r>
        <w:rPr>
          <w:rFonts w:ascii="Times New Roman" w:hAnsi="Times New Roman"/>
          <w:b/>
          <w:noProof/>
          <w:sz w:val="24"/>
        </w:rPr>
        <w:t>Nombre d'avis et de mesures/d'actes d’exécution</w:t>
      </w:r>
    </w:p>
    <w:p>
      <w:pPr>
        <w:spacing w:line="240" w:lineRule="auto"/>
        <w:jc w:val="both"/>
        <w:rPr>
          <w:rFonts w:ascii="Times New Roman" w:hAnsi="Times New Roman"/>
          <w:noProof/>
          <w:sz w:val="24"/>
          <w:szCs w:val="24"/>
        </w:rPr>
      </w:pPr>
      <w:r>
        <w:rPr>
          <w:rFonts w:ascii="Times New Roman" w:hAnsi="Times New Roman"/>
          <w:noProof/>
          <w:sz w:val="24"/>
        </w:rPr>
        <w:t xml:space="preserve">Comme chaque fois, le présent rapport fournit des chiffres globaux pour les </w:t>
      </w:r>
      <w:r>
        <w:rPr>
          <w:rFonts w:ascii="Times New Roman" w:hAnsi="Times New Roman"/>
          <w:i/>
          <w:noProof/>
          <w:sz w:val="24"/>
        </w:rPr>
        <w:t xml:space="preserve">avis </w:t>
      </w:r>
      <w:r>
        <w:rPr>
          <w:rFonts w:ascii="Times New Roman" w:hAnsi="Times New Roman"/>
          <w:noProof/>
          <w:sz w:val="24"/>
        </w:rPr>
        <w:t xml:space="preserve">formels émis par les comités et les </w:t>
      </w:r>
      <w:r>
        <w:rPr>
          <w:rFonts w:ascii="Times New Roman" w:hAnsi="Times New Roman"/>
          <w:i/>
          <w:noProof/>
          <w:sz w:val="24"/>
        </w:rPr>
        <w:t>mesures/actes d’exécution</w:t>
      </w:r>
      <w:r>
        <w:rPr>
          <w:rFonts w:ascii="Times New Roman" w:hAnsi="Times New Roman"/>
          <w:noProof/>
          <w:sz w:val="24"/>
        </w:rPr>
        <w:t xml:space="preserve"> correspondants adoptés par la Commission</w:t>
      </w:r>
      <w:r>
        <w:rPr>
          <w:rFonts w:ascii="Times New Roman" w:hAnsi="Times New Roman"/>
          <w:noProof/>
          <w:sz w:val="24"/>
          <w:vertAlign w:val="superscript"/>
        </w:rPr>
        <w:footnoteReference w:id="9"/>
      </w:r>
      <w:r>
        <w:rPr>
          <w:rFonts w:ascii="Times New Roman" w:hAnsi="Times New Roman"/>
          <w:noProof/>
          <w:sz w:val="24"/>
        </w:rPr>
        <w:t xml:space="preserve">. Ces chiffres quantifient le travail tangible fourni par les comités (voir le </w:t>
      </w:r>
      <w:r>
        <w:rPr>
          <w:rFonts w:ascii="Times New Roman" w:hAnsi="Times New Roman"/>
          <w:noProof/>
          <w:sz w:val="24"/>
          <w:u w:val="single"/>
        </w:rPr>
        <w:t>tableau IV</w:t>
      </w:r>
      <w:r>
        <w:rPr>
          <w:rFonts w:ascii="Times New Roman" w:hAnsi="Times New Roman"/>
          <w:noProof/>
          <w:sz w:val="24"/>
        </w:rPr>
        <w:t>).</w:t>
      </w:r>
    </w:p>
    <w:p>
      <w:pPr>
        <w:spacing w:line="240" w:lineRule="auto"/>
        <w:jc w:val="center"/>
        <w:rPr>
          <w:rFonts w:ascii="Times New Roman" w:hAnsi="Times New Roman"/>
          <w:b/>
          <w:smallCaps/>
          <w:noProof/>
          <w:sz w:val="24"/>
          <w:szCs w:val="24"/>
          <w:u w:val="single"/>
        </w:rPr>
      </w:pPr>
      <w:r>
        <w:rPr>
          <w:rFonts w:ascii="Times New Roman" w:hAnsi="Times New Roman"/>
          <w:b/>
          <w:noProof/>
          <w:sz w:val="24"/>
          <w:u w:val="single"/>
        </w:rPr>
        <w:t xml:space="preserve">TABLEAU IV – </w:t>
      </w:r>
      <w:r>
        <w:rPr>
          <w:rFonts w:ascii="Times New Roman Bold" w:hAnsi="Times New Roman Bold"/>
          <w:b/>
          <w:smallCaps/>
          <w:noProof/>
          <w:sz w:val="24"/>
          <w:u w:val="single"/>
        </w:rPr>
        <w:t>Nombre d’avis et de mesures/d'actes d’exécution adoptés</w:t>
      </w:r>
      <w:r>
        <w:rPr>
          <w:rFonts w:ascii="Times New Roman" w:hAnsi="Times New Roman"/>
          <w:b/>
          <w:noProof/>
          <w:sz w:val="24"/>
          <w:u w:val="single"/>
        </w:rPr>
        <w:t xml:space="preserve"> (2014)</w:t>
      </w:r>
    </w:p>
    <w:tbl>
      <w:tblPr>
        <w:tblW w:w="5000" w:type="pct"/>
        <w:tblLook w:val="0000" w:firstRow="0" w:lastRow="0" w:firstColumn="0" w:lastColumn="0" w:noHBand="0" w:noVBand="0"/>
      </w:tblPr>
      <w:tblGrid>
        <w:gridCol w:w="1715"/>
        <w:gridCol w:w="2524"/>
        <w:gridCol w:w="2526"/>
        <w:gridCol w:w="2523"/>
      </w:tblGrid>
      <w:tr>
        <w:trPr>
          <w:trHeight w:val="510"/>
        </w:trPr>
        <w:tc>
          <w:tcPr>
            <w:tcW w:w="923" w:type="pct"/>
            <w:tcBorders>
              <w:top w:val="single" w:sz="4" w:space="0" w:color="auto"/>
              <w:left w:val="single" w:sz="4" w:space="0" w:color="auto"/>
              <w:bottom w:val="single" w:sz="4" w:space="0" w:color="auto"/>
              <w:right w:val="single" w:sz="4" w:space="0" w:color="auto"/>
            </w:tcBorders>
            <w:shd w:val="clear" w:color="auto" w:fill="FFFF99"/>
            <w:noWrap/>
            <w:vAlign w:val="bottom"/>
          </w:tcPr>
          <w:bookmarkEnd w:id="2"/>
          <w:bookmarkEnd w:id="3"/>
          <w:bookmarkEnd w:id="4"/>
          <w:bookmarkEnd w:id="5"/>
          <w:bookmarkEnd w:id="6"/>
          <w:p>
            <w:pPr>
              <w:spacing w:after="0" w:line="240" w:lineRule="auto"/>
              <w:rPr>
                <w:rFonts w:ascii="Times New Roman" w:hAnsi="Times New Roman"/>
                <w:noProof/>
                <w:color w:val="000000"/>
                <w:sz w:val="18"/>
                <w:szCs w:val="18"/>
              </w:rPr>
            </w:pPr>
            <w:r>
              <w:rPr>
                <w:rFonts w:ascii="Times New Roman" w:hAnsi="Times New Roman"/>
                <w:noProof/>
                <w:color w:val="000000"/>
                <w:sz w:val="18"/>
              </w:rPr>
              <w:t> </w:t>
            </w:r>
          </w:p>
        </w:tc>
        <w:tc>
          <w:tcPr>
            <w:tcW w:w="135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Avis</w:t>
            </w:r>
          </w:p>
        </w:tc>
        <w:tc>
          <w:tcPr>
            <w:tcW w:w="1360"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Actes d’exécution</w:t>
            </w:r>
            <w:r>
              <w:rPr>
                <w:rFonts w:ascii="Times New Roman" w:hAnsi="Times New Roman"/>
                <w:b/>
                <w:noProof/>
                <w:color w:val="000000"/>
                <w:sz w:val="18"/>
                <w:szCs w:val="18"/>
              </w:rPr>
              <w:br/>
            </w:r>
            <w:r>
              <w:rPr>
                <w:rFonts w:ascii="Times New Roman" w:hAnsi="Times New Roman"/>
                <w:b/>
                <w:noProof/>
                <w:color w:val="000000"/>
                <w:sz w:val="18"/>
              </w:rPr>
              <w:t>adoptés</w:t>
            </w:r>
          </w:p>
        </w:tc>
        <w:tc>
          <w:tcPr>
            <w:tcW w:w="135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Mesures</w:t>
            </w:r>
            <w:r>
              <w:rPr>
                <w:rFonts w:ascii="Times New Roman" w:hAnsi="Times New Roman"/>
                <w:b/>
                <w:noProof/>
                <w:color w:val="000000"/>
                <w:sz w:val="18"/>
                <w:szCs w:val="18"/>
              </w:rPr>
              <w:br/>
            </w:r>
            <w:r>
              <w:rPr>
                <w:rFonts w:ascii="Times New Roman" w:hAnsi="Times New Roman"/>
                <w:b/>
                <w:noProof/>
                <w:color w:val="000000"/>
                <w:sz w:val="18"/>
              </w:rPr>
              <w:t>PRAC adoptées</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135</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86</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84</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28</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38</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54</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24</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45</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42</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93</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44</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32</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112</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OLAF</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152</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799</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695</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67</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79</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74</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67</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63</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TOTAL</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1 889</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1 563</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165</w:t>
            </w:r>
          </w:p>
        </w:tc>
      </w:tr>
    </w:tbl>
    <w:p>
      <w:pPr>
        <w:spacing w:line="240" w:lineRule="auto"/>
        <w:jc w:val="both"/>
        <w:rPr>
          <w:rFonts w:ascii="Times New Roman" w:hAnsi="Times New Roman"/>
          <w:i/>
          <w:noProof/>
          <w:sz w:val="18"/>
          <w:szCs w:val="18"/>
        </w:rPr>
      </w:pPr>
      <w:r>
        <w:rPr>
          <w:rFonts w:ascii="Times New Roman" w:hAnsi="Times New Roman"/>
          <w:i/>
          <w:noProof/>
          <w:sz w:val="18"/>
        </w:rPr>
        <w:t>* y compris 13 avis émis par le comité d’appel et 2 actes adoptés.</w:t>
      </w:r>
    </w:p>
    <w:p>
      <w:pPr>
        <w:spacing w:line="240" w:lineRule="auto"/>
        <w:jc w:val="both"/>
        <w:rPr>
          <w:rFonts w:ascii="Times New Roman" w:hAnsi="Times New Roman"/>
          <w:i/>
          <w:noProof/>
          <w:sz w:val="20"/>
          <w:szCs w:val="20"/>
        </w:rPr>
      </w:pPr>
    </w:p>
    <w:p>
      <w:pPr>
        <w:spacing w:line="240" w:lineRule="auto"/>
        <w:jc w:val="both"/>
        <w:rPr>
          <w:rFonts w:ascii="Times New Roman" w:hAnsi="Times New Roman"/>
          <w:i/>
          <w:noProof/>
          <w:sz w:val="24"/>
          <w:szCs w:val="24"/>
        </w:rPr>
      </w:pPr>
    </w:p>
    <w:p>
      <w:pPr>
        <w:spacing w:line="240" w:lineRule="auto"/>
        <w:jc w:val="both"/>
        <w:rPr>
          <w:rFonts w:ascii="Times New Roman" w:hAnsi="Times New Roman"/>
          <w:i/>
          <w:noProof/>
          <w:sz w:val="24"/>
          <w:szCs w:val="24"/>
        </w:rPr>
      </w:pPr>
    </w:p>
    <w:p>
      <w:pPr>
        <w:spacing w:line="240" w:lineRule="auto"/>
        <w:jc w:val="both"/>
        <w:rPr>
          <w:rFonts w:ascii="Times New Roman" w:hAnsi="Times New Roman"/>
          <w:b/>
          <w:noProof/>
          <w:sz w:val="24"/>
          <w:szCs w:val="24"/>
        </w:rPr>
      </w:pPr>
      <w:r>
        <w:rPr>
          <w:rFonts w:ascii="Times New Roman" w:hAnsi="Times New Roman"/>
          <w:b/>
          <w:noProof/>
          <w:sz w:val="24"/>
        </w:rPr>
        <w:t>2.3</w:t>
      </w:r>
      <w:r>
        <w:rPr>
          <w:noProof/>
        </w:rPr>
        <w:tab/>
      </w:r>
      <w:r>
        <w:rPr>
          <w:rFonts w:ascii="Times New Roman" w:hAnsi="Times New Roman"/>
          <w:b/>
          <w:noProof/>
          <w:sz w:val="24"/>
        </w:rPr>
        <w:t>Réunions du comité d’appel</w:t>
      </w:r>
    </w:p>
    <w:p>
      <w:pPr>
        <w:spacing w:line="240" w:lineRule="auto"/>
        <w:jc w:val="both"/>
        <w:rPr>
          <w:rFonts w:ascii="Times New Roman" w:hAnsi="Times New Roman"/>
          <w:noProof/>
          <w:sz w:val="24"/>
          <w:szCs w:val="24"/>
        </w:rPr>
      </w:pPr>
      <w:r>
        <w:rPr>
          <w:rFonts w:ascii="Times New Roman" w:hAnsi="Times New Roman"/>
          <w:noProof/>
          <w:sz w:val="24"/>
        </w:rPr>
        <w:t>Le comité d'appel s’est réuni six fois au cours de l'année 2014 pour examiner au total treize projets d'actes d'exécution (dans les domaines de la politique de la santé et des consommateurs, de la mobilité et des transports), qui lui ont été soumis par la Commission. Le comité d’appel n’a pas émis d’avis dans onze cas et a rendu un avi positif dans deux cas. La Commission a décidé d’adopter l’ensemble de ces actes d’exécution.</w:t>
      </w:r>
    </w:p>
    <w:p>
      <w:pPr>
        <w:spacing w:line="240" w:lineRule="auto"/>
        <w:jc w:val="both"/>
        <w:rPr>
          <w:rFonts w:ascii="Times New Roman" w:hAnsi="Times New Roman"/>
          <w:b/>
          <w:noProof/>
          <w:sz w:val="24"/>
          <w:szCs w:val="24"/>
        </w:rPr>
      </w:pPr>
      <w:r>
        <w:rPr>
          <w:noProof/>
        </w:rPr>
        <w:br w:type="page"/>
      </w:r>
      <w:r>
        <w:rPr>
          <w:rFonts w:ascii="Times New Roman" w:hAnsi="Times New Roman"/>
          <w:b/>
          <w:noProof/>
          <w:sz w:val="24"/>
        </w:rPr>
        <w:t>2.4</w:t>
      </w:r>
      <w:r>
        <w:rPr>
          <w:noProof/>
        </w:rPr>
        <w:tab/>
      </w:r>
      <w:r>
        <w:rPr>
          <w:rFonts w:ascii="Times New Roman" w:hAnsi="Times New Roman"/>
          <w:b/>
          <w:noProof/>
          <w:sz w:val="24"/>
        </w:rPr>
        <w:t>Recours à la procédure de réglementation avec contrôle (PRAC)</w:t>
      </w:r>
    </w:p>
    <w:p>
      <w:pPr>
        <w:spacing w:line="240" w:lineRule="auto"/>
        <w:jc w:val="both"/>
        <w:rPr>
          <w:rFonts w:ascii="Times New Roman" w:hAnsi="Times New Roman"/>
          <w:noProof/>
          <w:sz w:val="24"/>
          <w:szCs w:val="24"/>
        </w:rPr>
      </w:pPr>
      <w:r>
        <w:rPr>
          <w:rFonts w:ascii="Times New Roman" w:hAnsi="Times New Roman"/>
          <w:noProof/>
          <w:sz w:val="24"/>
        </w:rPr>
        <w:t xml:space="preserve">Comme indiqué à la section 1, la procédure de réglementation avec contrôle n'a pas été concernée par la réforme de la comitologie en 2011. Cette procédure ne peut plus être utilisée dans la nouvelle législation, mais elle apparaît encore dans de nombreux actes de base existants et continuera de s’appliquer en vertu de ces actes jusqu'à ce que ceux-ci soient adaptés. En 2014, 165 mesures ont été adoptées selon la procédure de réglementation avec contrôle (voir </w:t>
      </w:r>
      <w:r>
        <w:rPr>
          <w:rFonts w:ascii="Times New Roman" w:hAnsi="Times New Roman"/>
          <w:noProof/>
          <w:sz w:val="24"/>
          <w:u w:val="single"/>
        </w:rPr>
        <w:t>tableau V</w:t>
      </w:r>
      <w:r>
        <w:rPr>
          <w:rFonts w:ascii="Times New Roman" w:hAnsi="Times New Roman"/>
          <w:noProof/>
          <w:sz w:val="24"/>
        </w:rPr>
        <w:t>). Le droit de veto a été utilisé dans un cas (DG SANTE). En 2013, à titre de comparaison, le droit de veto a été utilisé une fois.</w:t>
      </w:r>
    </w:p>
    <w:p>
      <w:pPr>
        <w:spacing w:line="240" w:lineRule="auto"/>
        <w:jc w:val="center"/>
        <w:rPr>
          <w:rFonts w:ascii="Times New Roman" w:hAnsi="Times New Roman"/>
          <w:b/>
          <w:smallCaps/>
          <w:noProof/>
          <w:sz w:val="24"/>
          <w:szCs w:val="24"/>
          <w:u w:val="single"/>
        </w:rPr>
      </w:pPr>
      <w:r>
        <w:rPr>
          <w:rFonts w:ascii="Times New Roman" w:hAnsi="Times New Roman"/>
          <w:b/>
          <w:noProof/>
          <w:sz w:val="24"/>
          <w:u w:val="single"/>
        </w:rPr>
        <w:t xml:space="preserve">TABLEAU V — </w:t>
      </w:r>
      <w:r>
        <w:rPr>
          <w:rFonts w:ascii="Times New Roman Bold" w:hAnsi="Times New Roman Bold"/>
          <w:b/>
          <w:smallCaps/>
          <w:noProof/>
          <w:sz w:val="24"/>
          <w:u w:val="single"/>
        </w:rPr>
        <w:t>Nombre de mesures adoptées selon la procédure de réglementation avec contrôle (PRAC)</w:t>
      </w:r>
      <w:r>
        <w:rPr>
          <w:rFonts w:ascii="Times New Roman" w:hAnsi="Times New Roman"/>
          <w:b/>
          <w:noProof/>
          <w:sz w:val="24"/>
          <w:u w:val="single"/>
        </w:rPr>
        <w:t xml:space="preserve"> (2014)</w:t>
      </w:r>
    </w:p>
    <w:tbl>
      <w:tblPr>
        <w:tblW w:w="5000" w:type="pct"/>
        <w:tblLook w:val="0000" w:firstRow="0" w:lastRow="0" w:firstColumn="0" w:lastColumn="0" w:noHBand="0" w:noVBand="0"/>
      </w:tblPr>
      <w:tblGrid>
        <w:gridCol w:w="1715"/>
        <w:gridCol w:w="2524"/>
        <w:gridCol w:w="2526"/>
        <w:gridCol w:w="2523"/>
      </w:tblGrid>
      <w:tr>
        <w:trPr>
          <w:trHeight w:val="597"/>
        </w:trPr>
        <w:tc>
          <w:tcPr>
            <w:tcW w:w="923"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 </w:t>
            </w:r>
          </w:p>
        </w:tc>
        <w:tc>
          <w:tcPr>
            <w:tcW w:w="1359"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Mesures</w:t>
            </w:r>
            <w:r>
              <w:rPr>
                <w:rFonts w:ascii="Times New Roman" w:hAnsi="Times New Roman"/>
                <w:b/>
                <w:noProof/>
                <w:color w:val="000000"/>
                <w:sz w:val="18"/>
                <w:szCs w:val="18"/>
              </w:rPr>
              <w:br/>
            </w:r>
            <w:r>
              <w:rPr>
                <w:rFonts w:ascii="Times New Roman" w:hAnsi="Times New Roman"/>
                <w:b/>
                <w:noProof/>
                <w:color w:val="000000"/>
                <w:sz w:val="18"/>
              </w:rPr>
              <w:t>PRAC adoptées</w:t>
            </w:r>
          </w:p>
        </w:tc>
        <w:tc>
          <w:tcPr>
            <w:tcW w:w="1360"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Opposition du PE à l'adoption de projets de mesures PRAC</w:t>
            </w:r>
          </w:p>
        </w:tc>
        <w:tc>
          <w:tcPr>
            <w:tcW w:w="1359"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Opposition du Conseil à l'adoption de projets de mesures PRAC</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24</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32</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OLAF</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67</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TOTAL</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165</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w:t>
            </w:r>
          </w:p>
        </w:tc>
      </w:tr>
    </w:tbl>
    <w:p>
      <w:pPr>
        <w:spacing w:line="240" w:lineRule="auto"/>
        <w:jc w:val="both"/>
        <w:rPr>
          <w:rFonts w:ascii="Times New Roman" w:hAnsi="Times New Roman"/>
          <w:b/>
          <w:noProof/>
          <w:sz w:val="24"/>
          <w:szCs w:val="24"/>
        </w:rPr>
      </w:pPr>
      <w:r>
        <w:rPr>
          <w:rFonts w:ascii="Times New Roman" w:hAnsi="Times New Roman"/>
          <w:b/>
          <w:noProof/>
          <w:sz w:val="24"/>
          <w:szCs w:val="24"/>
        </w:rPr>
        <w:br/>
      </w:r>
    </w:p>
    <w:p>
      <w:pPr>
        <w:spacing w:line="240" w:lineRule="auto"/>
        <w:jc w:val="both"/>
        <w:rPr>
          <w:rFonts w:ascii="Times New Roman" w:hAnsi="Times New Roman"/>
          <w:b/>
          <w:noProof/>
          <w:sz w:val="24"/>
          <w:szCs w:val="24"/>
        </w:rPr>
      </w:pPr>
      <w:r>
        <w:rPr>
          <w:rFonts w:ascii="Times New Roman" w:hAnsi="Times New Roman"/>
          <w:b/>
          <w:noProof/>
          <w:sz w:val="24"/>
        </w:rPr>
        <w:t>3.</w:t>
      </w:r>
      <w:r>
        <w:rPr>
          <w:noProof/>
        </w:rPr>
        <w:tab/>
      </w:r>
      <w:r>
        <w:rPr>
          <w:rFonts w:ascii="Times New Roman" w:hAnsi="Times New Roman"/>
          <w:b/>
          <w:noProof/>
          <w:sz w:val="24"/>
        </w:rPr>
        <w:t>Informations détaillées sur les activités des comités</w:t>
      </w:r>
    </w:p>
    <w:p>
      <w:pPr>
        <w:spacing w:line="240" w:lineRule="auto"/>
        <w:jc w:val="both"/>
        <w:rPr>
          <w:rFonts w:ascii="Times New Roman" w:hAnsi="Times New Roman"/>
          <w:noProof/>
          <w:sz w:val="24"/>
          <w:szCs w:val="24"/>
        </w:rPr>
      </w:pPr>
      <w:r>
        <w:rPr>
          <w:rFonts w:ascii="Times New Roman" w:hAnsi="Times New Roman"/>
          <w:noProof/>
          <w:sz w:val="24"/>
        </w:rPr>
        <w:t>Le document de travail qui accompagne le présent rapport fournit des informations détaillées sur les activités de chaque comité en 2014, ventilées en fonction des différentes directions générales concernées.</w:t>
      </w:r>
      <w:bookmarkStart w:id="8" w:name="_CopyToNewDocument_"/>
      <w:bookmarkEnd w:id="8"/>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auto"/>
    <w:notTrueType/>
    <w:pitch w:val="default"/>
    <w:sig w:usb0="00000003" w:usb1="00000000" w:usb2="00000000" w:usb3="00000000" w:csb0="00000001" w:csb1="00000000"/>
  </w:font>
  <w:font w:name="Times New Roman Bold">
    <w:altName w:val="Times New Roman"/>
    <w:panose1 w:val="02020803070505020304"/>
    <w:charset w:val="EE"/>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JO L 55 du 28.2.2011, p. 13.</w:t>
      </w:r>
    </w:p>
  </w:footnote>
  <w:footnote w:id="2">
    <w:p>
      <w:pPr>
        <w:pStyle w:val="FootnoteText"/>
      </w:pPr>
      <w:r>
        <w:rPr>
          <w:rStyle w:val="FootnoteReference"/>
        </w:rPr>
        <w:footnoteRef/>
      </w:r>
      <w:r>
        <w:tab/>
        <w:t>Rapport de la Commission sur les travaux des comités en 2013, COM(2014) 572 final.</w:t>
      </w:r>
    </w:p>
  </w:footnote>
  <w:footnote w:id="3">
    <w:p>
      <w:pPr>
        <w:pStyle w:val="FootnoteText"/>
      </w:pPr>
      <w:r>
        <w:rPr>
          <w:rStyle w:val="FootnoteReference"/>
        </w:rPr>
        <w:footnoteRef/>
      </w:r>
      <w:r>
        <w:tab/>
        <w:t>Décision 1999/468/CE du Conseil du 28 juin 1999 (JO L 184 du 17.7.1999, p. 23), modifiée par la décision 2006/512/CE du Conseil (JO C 255 du 21.10.2006, p. 4).</w:t>
      </w:r>
    </w:p>
  </w:footnote>
  <w:footnote w:id="4">
    <w:p>
      <w:pPr>
        <w:pStyle w:val="FootnoteText"/>
      </w:pPr>
      <w:r>
        <w:rPr>
          <w:rStyle w:val="FootnoteReference"/>
        </w:rPr>
        <w:footnoteRef/>
      </w:r>
      <w:r>
        <w:tab/>
        <w:t>Cette déclaration a été publiée au Journal officiel en même temps que le règlement (UE) nº 182/2011 (JO L 55 du 28.2.2011, p. 19).</w:t>
      </w:r>
    </w:p>
  </w:footnote>
  <w:footnote w:id="5">
    <w:p>
      <w:pPr>
        <w:pStyle w:val="FootnoteText"/>
      </w:pPr>
      <w:r>
        <w:rPr>
          <w:rStyle w:val="FootnoteReference"/>
        </w:rPr>
        <w:footnoteRef/>
      </w:r>
      <w:r>
        <w:tab/>
        <w:t>COM(2013) 451, 452 et 751.</w:t>
      </w:r>
    </w:p>
  </w:footnote>
  <w:footnote w:id="6">
    <w:p>
      <w:pPr>
        <w:pStyle w:val="FootnoteText"/>
      </w:pPr>
      <w:r>
        <w:rPr>
          <w:rStyle w:val="FootnoteReference"/>
        </w:rPr>
        <w:footnoteRef/>
      </w:r>
      <w:r>
        <w:t xml:space="preserve"> </w:t>
      </w:r>
      <w:r>
        <w:tab/>
        <w:t>JO C 80 du 7.3.2015, p. 17.</w:t>
      </w:r>
    </w:p>
  </w:footnote>
  <w:footnote w:id="7">
    <w:p>
      <w:pPr>
        <w:pStyle w:val="FootnoteText"/>
      </w:pPr>
      <w:r>
        <w:rPr>
          <w:rStyle w:val="FootnoteReference"/>
        </w:rPr>
        <w:footnoteRef/>
      </w:r>
      <w:r>
        <w:tab/>
        <w:t xml:space="preserve">Pour de plus amples informations, voir: </w:t>
      </w:r>
      <w:hyperlink r:id="rId1">
        <w:r>
          <w:rPr>
            <w:rStyle w:val="Hyperlink"/>
          </w:rPr>
          <w:t>http://ec.europa.eu/transparency/regexpert/index.cfm?Lang=FR</w:t>
        </w:r>
      </w:hyperlink>
      <w:r>
        <w:t xml:space="preserve"> </w:t>
      </w:r>
    </w:p>
  </w:footnote>
  <w:footnote w:id="8">
    <w:p>
      <w:pPr>
        <w:pStyle w:val="FootnoteText"/>
      </w:pPr>
      <w:r>
        <w:rPr>
          <w:rStyle w:val="FootnoteReference"/>
        </w:rPr>
        <w:footnoteRef/>
      </w:r>
      <w:r>
        <w:tab/>
        <w:t>Le vote du comité peut avoir lieu au cours d’une réunion ordinaire de celui-ci ou, dans des cas dûment justifiés, par procédure écrite, conformément à l'article 3, paragraphe 5, du règlement de comitologie.</w:t>
      </w:r>
    </w:p>
  </w:footnote>
  <w:footnote w:id="9">
    <w:p>
      <w:pPr>
        <w:pStyle w:val="FootnoteText"/>
      </w:pPr>
      <w:r>
        <w:rPr>
          <w:rStyle w:val="FootnoteReference"/>
        </w:rPr>
        <w:footnoteRef/>
      </w:r>
      <w:r>
        <w:tab/>
        <w:t>Il y a lieu de préciser que des écarts sont possibles entre le nombre d’avis et le nombre de mesures/d'actes d’exécution pour une année donnée. L’introduction du document de travail des services de la Commission qui accompagne le rapport en précise les raisons.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E43525"/>
    <w:multiLevelType w:val="multilevel"/>
    <w:tmpl w:val="76202BFE"/>
    <w:lvl w:ilvl="0">
      <w:start w:val="1"/>
      <w:numFmt w:val="decimal"/>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DD5905"/>
    <w:multiLevelType w:val="singleLevel"/>
    <w:tmpl w:val="6CB4B73E"/>
    <w:lvl w:ilvl="0">
      <w:start w:val="1"/>
      <w:numFmt w:val="bullet"/>
      <w:pStyle w:val="ListBullet2"/>
      <w:lvlText w:val=""/>
      <w:lvlJc w:val="left"/>
      <w:pPr>
        <w:tabs>
          <w:tab w:val="num" w:pos="1134"/>
        </w:tabs>
        <w:ind w:left="1134" w:hanging="283"/>
      </w:pPr>
      <w:rPr>
        <w:rFonts w:ascii="Symbol" w:hAnsi="Symbol" w:hint="default"/>
      </w:rPr>
    </w:lvl>
  </w:abstractNum>
  <w:abstractNum w:abstractNumId="3">
    <w:nsid w:val="24E930D7"/>
    <w:multiLevelType w:val="multilevel"/>
    <w:tmpl w:val="EFD2E05E"/>
    <w:lvl w:ilvl="0">
      <w:start w:val="1"/>
      <w:numFmt w:val="decimal"/>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5">
    <w:nsid w:val="3A5459E8"/>
    <w:multiLevelType w:val="singleLevel"/>
    <w:tmpl w:val="2188C922"/>
    <w:lvl w:ilvl="0">
      <w:start w:val="1"/>
      <w:numFmt w:val="bullet"/>
      <w:pStyle w:val="Tiret1"/>
      <w:lvlText w:val="–"/>
      <w:lvlJc w:val="left"/>
      <w:pPr>
        <w:tabs>
          <w:tab w:val="num" w:pos="1417"/>
        </w:tabs>
        <w:ind w:left="1417" w:hanging="567"/>
      </w:pPr>
    </w:lvl>
  </w:abstractNum>
  <w:abstractNum w:abstractNumId="6">
    <w:nsid w:val="3BA736C9"/>
    <w:multiLevelType w:val="singleLevel"/>
    <w:tmpl w:val="F00A6C0C"/>
    <w:lvl w:ilvl="0">
      <w:start w:val="1"/>
      <w:numFmt w:val="bullet"/>
      <w:pStyle w:val="Tiret0"/>
      <w:lvlText w:val="–"/>
      <w:lvlJc w:val="left"/>
      <w:pPr>
        <w:tabs>
          <w:tab w:val="num" w:pos="850"/>
        </w:tabs>
        <w:ind w:left="850" w:hanging="850"/>
      </w:pPr>
    </w:lvl>
  </w:abstractNum>
  <w:abstractNum w:abstractNumId="7">
    <w:nsid w:val="3C90278F"/>
    <w:multiLevelType w:val="singleLevel"/>
    <w:tmpl w:val="0FE08974"/>
    <w:name w:val="Tiret 1"/>
    <w:lvl w:ilvl="0">
      <w:start w:val="1"/>
      <w:numFmt w:val="bullet"/>
      <w:pStyle w:val="Tiret3"/>
      <w:lvlText w:val="–"/>
      <w:lvlJc w:val="left"/>
      <w:pPr>
        <w:tabs>
          <w:tab w:val="num" w:pos="2551"/>
        </w:tabs>
        <w:ind w:left="2551" w:hanging="567"/>
      </w:pPr>
    </w:lvl>
  </w:abstractNum>
  <w:abstractNum w:abstractNumId="8">
    <w:nsid w:val="3E191884"/>
    <w:multiLevelType w:val="singleLevel"/>
    <w:tmpl w:val="3020C764"/>
    <w:lvl w:ilvl="0">
      <w:start w:val="1"/>
      <w:numFmt w:val="bullet"/>
      <w:pStyle w:val="ListBullet3"/>
      <w:lvlText w:val=""/>
      <w:lvlJc w:val="left"/>
      <w:pPr>
        <w:tabs>
          <w:tab w:val="num" w:pos="1134"/>
        </w:tabs>
        <w:ind w:left="1134" w:hanging="283"/>
      </w:pPr>
      <w:rPr>
        <w:rFonts w:ascii="Symbol" w:hAnsi="Symbol" w:hint="default"/>
      </w:rPr>
    </w:lvl>
  </w:abstractNum>
  <w:abstractNum w:abstractNumId="9">
    <w:nsid w:val="40315490"/>
    <w:multiLevelType w:val="singleLevel"/>
    <w:tmpl w:val="1F86C700"/>
    <w:name w:val="7,134676E-02"/>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0">
    <w:nsid w:val="48842C30"/>
    <w:multiLevelType w:val="singleLevel"/>
    <w:tmpl w:val="4FA60B90"/>
    <w:name w:val="List Dash"/>
    <w:lvl w:ilvl="0">
      <w:start w:val="1"/>
      <w:numFmt w:val="bullet"/>
      <w:pStyle w:val="Bullet4"/>
      <w:lvlText w:val=""/>
      <w:lvlJc w:val="left"/>
      <w:pPr>
        <w:tabs>
          <w:tab w:val="num" w:pos="3118"/>
        </w:tabs>
        <w:ind w:left="3118" w:hanging="567"/>
      </w:pPr>
      <w:rPr>
        <w:rFonts w:ascii="Symbol" w:hAnsi="Symbol" w:hint="default"/>
      </w:rPr>
    </w:lvl>
  </w:abstractNum>
  <w:abstractNum w:abstractNumId="11">
    <w:nsid w:val="54593082"/>
    <w:multiLevelType w:val="singleLevel"/>
    <w:tmpl w:val="EDE069AC"/>
    <w:name w:val="Tiret 0"/>
    <w:lvl w:ilvl="0">
      <w:start w:val="1"/>
      <w:numFmt w:val="bullet"/>
      <w:pStyle w:val="Bullet0"/>
      <w:lvlText w:val=""/>
      <w:lvlJc w:val="left"/>
      <w:pPr>
        <w:tabs>
          <w:tab w:val="num" w:pos="850"/>
        </w:tabs>
        <w:ind w:left="850" w:hanging="850"/>
      </w:pPr>
      <w:rPr>
        <w:rFonts w:ascii="Symbol" w:hAnsi="Symbol" w:hint="default"/>
      </w:rPr>
    </w:lvl>
  </w:abstractNum>
  <w:abstractNum w:abstractNumId="12">
    <w:nsid w:val="568864DC"/>
    <w:multiLevelType w:val="singleLevel"/>
    <w:tmpl w:val="485EBDAC"/>
    <w:name w:val="Tiret 3"/>
    <w:lvl w:ilvl="0">
      <w:start w:val="1"/>
      <w:numFmt w:val="bullet"/>
      <w:pStyle w:val="Tiret4"/>
      <w:lvlText w:val="–"/>
      <w:lvlJc w:val="left"/>
      <w:pPr>
        <w:tabs>
          <w:tab w:val="num" w:pos="3118"/>
        </w:tabs>
        <w:ind w:left="3118" w:hanging="567"/>
      </w:pPr>
    </w:lvl>
  </w:abstractNum>
  <w:abstractNum w:abstractNumId="13">
    <w:nsid w:val="596D67A1"/>
    <w:multiLevelType w:val="singleLevel"/>
    <w:tmpl w:val="9AC8831A"/>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14">
    <w:nsid w:val="5F342530"/>
    <w:multiLevelType w:val="singleLevel"/>
    <w:tmpl w:val="D5444702"/>
    <w:name w:val="List Dash 2"/>
    <w:lvl w:ilvl="0">
      <w:start w:val="1"/>
      <w:numFmt w:val="bullet"/>
      <w:pStyle w:val="Bullet3"/>
      <w:lvlText w:val=""/>
      <w:lvlJc w:val="left"/>
      <w:pPr>
        <w:tabs>
          <w:tab w:val="num" w:pos="2551"/>
        </w:tabs>
        <w:ind w:left="2551" w:hanging="567"/>
      </w:pPr>
      <w:rPr>
        <w:rFonts w:ascii="Symbol" w:hAnsi="Symbol" w:hint="default"/>
      </w:rPr>
    </w:lvl>
  </w:abstractNum>
  <w:abstractNum w:abstractNumId="15">
    <w:nsid w:val="5F8C3B69"/>
    <w:multiLevelType w:val="multilevel"/>
    <w:tmpl w:val="9B14DAA8"/>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F9C40AA"/>
    <w:multiLevelType w:val="singleLevel"/>
    <w:tmpl w:val="B89CB5A2"/>
    <w:lvl w:ilvl="0">
      <w:start w:val="1"/>
      <w:numFmt w:val="bullet"/>
      <w:pStyle w:val="Bullet2"/>
      <w:lvlText w:val=""/>
      <w:lvlJc w:val="left"/>
      <w:pPr>
        <w:tabs>
          <w:tab w:val="num" w:pos="1984"/>
        </w:tabs>
        <w:ind w:left="1984" w:hanging="567"/>
      </w:pPr>
      <w:rPr>
        <w:rFonts w:ascii="Symbol" w:hAnsi="Symbol" w:hint="default"/>
      </w:rPr>
    </w:lvl>
  </w:abstractNum>
  <w:abstractNum w:abstractNumId="17">
    <w:nsid w:val="62970F71"/>
    <w:multiLevelType w:val="singleLevel"/>
    <w:tmpl w:val="5AFA8C72"/>
    <w:name w:val="Bullet 4"/>
    <w:lvl w:ilvl="0">
      <w:start w:val="1"/>
      <w:numFmt w:val="bullet"/>
      <w:pStyle w:val="Tiret2"/>
      <w:lvlText w:val="–"/>
      <w:lvlJc w:val="left"/>
      <w:pPr>
        <w:tabs>
          <w:tab w:val="num" w:pos="1984"/>
        </w:tabs>
        <w:ind w:left="1984" w:hanging="567"/>
      </w:pPr>
    </w:lvl>
  </w:abstractNum>
  <w:abstractNum w:abstractNumId="18">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19">
    <w:nsid w:val="69995580"/>
    <w:multiLevelType w:val="singleLevel"/>
    <w:tmpl w:val="75CC7CBA"/>
    <w:lvl w:ilvl="0">
      <w:start w:val="1"/>
      <w:numFmt w:val="decimal"/>
      <w:pStyle w:val="Considrant"/>
      <w:lvlText w:val="(%1)"/>
      <w:lvlJc w:val="left"/>
      <w:pPr>
        <w:tabs>
          <w:tab w:val="num" w:pos="709"/>
        </w:tabs>
        <w:ind w:left="709" w:hanging="709"/>
      </w:pPr>
    </w:lvl>
  </w:abstractNum>
  <w:abstractNum w:abstractNumId="20">
    <w:nsid w:val="6A6901C1"/>
    <w:multiLevelType w:val="singleLevel"/>
    <w:tmpl w:val="208841AE"/>
    <w:lvl w:ilvl="0">
      <w:start w:val="1"/>
      <w:numFmt w:val="bullet"/>
      <w:pStyle w:val="ListBullet1"/>
      <w:lvlText w:val=""/>
      <w:lvlJc w:val="left"/>
      <w:pPr>
        <w:tabs>
          <w:tab w:val="num" w:pos="1134"/>
        </w:tabs>
        <w:ind w:left="1134" w:hanging="283"/>
      </w:pPr>
      <w:rPr>
        <w:rFonts w:ascii="Symbol" w:hAnsi="Symbol" w:hint="default"/>
      </w:rPr>
    </w:lvl>
  </w:abstractNum>
  <w:abstractNum w:abstractNumId="21">
    <w:nsid w:val="6D2B5511"/>
    <w:multiLevelType w:val="singleLevel"/>
    <w:tmpl w:val="74A09970"/>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711167E2"/>
    <w:multiLevelType w:val="multilevel"/>
    <w:tmpl w:val="C3843A7A"/>
    <w:name w:val="List Dash 1"/>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5C26F71"/>
    <w:multiLevelType w:val="multilevel"/>
    <w:tmpl w:val="E01E7708"/>
    <w:name w:val="Bullet 0"/>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8A241BD"/>
    <w:multiLevelType w:val="singleLevel"/>
    <w:tmpl w:val="53C4DF32"/>
    <w:lvl w:ilvl="0">
      <w:start w:val="1"/>
      <w:numFmt w:val="bullet"/>
      <w:pStyle w:val="ListDash3"/>
      <w:lvlText w:val="–"/>
      <w:lvlJc w:val="left"/>
      <w:pPr>
        <w:tabs>
          <w:tab w:val="num" w:pos="1134"/>
        </w:tabs>
        <w:ind w:left="1134" w:hanging="283"/>
      </w:pPr>
      <w:rPr>
        <w:rFonts w:ascii="Times New Roman" w:hAnsi="Times New Roman" w:cs="Times New Roman"/>
      </w:rPr>
    </w:lvl>
  </w:abstractNum>
  <w:abstractNum w:abstractNumId="25">
    <w:nsid w:val="79C96D36"/>
    <w:multiLevelType w:val="multilevel"/>
    <w:tmpl w:val="BE983CE4"/>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BE95D7F"/>
    <w:multiLevelType w:val="multilevel"/>
    <w:tmpl w:val="F126F780"/>
    <w:name w:val="List Bulle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7">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28">
    <w:nsid w:val="7F7154E1"/>
    <w:multiLevelType w:val="singleLevel"/>
    <w:tmpl w:val="E3F6D2C6"/>
    <w:lvl w:ilvl="0">
      <w:start w:val="1"/>
      <w:numFmt w:val="bullet"/>
      <w:pStyle w:val="ListBullet4"/>
      <w:lvlText w:val=""/>
      <w:lvlJc w:val="left"/>
      <w:pPr>
        <w:tabs>
          <w:tab w:val="num" w:pos="1134"/>
        </w:tabs>
        <w:ind w:left="1134" w:hanging="283"/>
      </w:pPr>
      <w:rPr>
        <w:rFonts w:ascii="Symbol" w:hAnsi="Symbol"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28"/>
  </w:num>
  <w:num w:numId="7">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17"/>
  </w:num>
  <w:num w:numId="13">
    <w:abstractNumId w:val="7"/>
  </w:num>
  <w:num w:numId="14">
    <w:abstractNumId w:val="1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16"/>
  </w:num>
  <w:num w:numId="20">
    <w:abstractNumId w:val="14"/>
  </w:num>
  <w:num w:numId="21">
    <w:abstractNumId w:val="10"/>
  </w:num>
  <w:num w:numId="22">
    <w:abstractNumId w:val="19"/>
    <w:lvlOverride w:ilvl="0">
      <w:startOverride w:val="1"/>
    </w:lvlOverride>
  </w:num>
  <w:num w:numId="23">
    <w:abstractNumId w:val="20"/>
  </w:num>
  <w:num w:numId="24">
    <w:abstractNumId w:val="9"/>
  </w:num>
  <w:num w:numId="25">
    <w:abstractNumId w:val="18"/>
  </w:num>
  <w:num w:numId="26">
    <w:abstractNumId w:val="13"/>
  </w:num>
  <w:num w:numId="27">
    <w:abstractNumId w:val="24"/>
  </w:num>
  <w:num w:numId="28">
    <w:abstractNumId w:val="27"/>
  </w:num>
  <w:num w:numId="29">
    <w:abstractNumId w:val="2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18E7DC2C19B1458CACEB52CB94001381"/>
    <w:docVar w:name="LW_CROSSREFERENCE" w:val="{SWD(2015) 165 final}"/>
    <w:docVar w:name="LW_DocType" w:val="NORMAL"/>
    <w:docVar w:name="LW_EMISSION" w:val="3.9.2015"/>
    <w:docVar w:name="LW_EMISSION_ISODATE" w:val="2015-09-03"/>
    <w:docVar w:name="LW_EMISSION_LOCATION" w:val="BRX"/>
    <w:docVar w:name="LW_EMISSION_PREFIX" w:val="Bruxelles, le "/>
    <w:docVar w:name="LW_EMISSION_SUFFIX" w:val=" "/>
    <w:docVar w:name="LW_ID_DOCTYPE_NONLW" w:val="CP-003"/>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418"/>
    <w:docVar w:name="LW_REF.INTERNE" w:val="&lt;UNUSED&gt;"/>
    <w:docVar w:name="LW_SOUS.TITRE.OBJ.CP" w:val="&lt;UNUSED&gt;"/>
    <w:docVar w:name="LW_SUPERTITRE" w:val="&lt;UNUSED&gt;"/>
    <w:docVar w:name="LW_TITRE.OBJ.CP" w:val="sur les travaux des comités en 2014"/>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semiHidden="0" w:uiPriority="0" w:unhideWhenUsed="0" w:qFormat="1"/>
    <w:lsdException w:name="table of figures" w:uiPriority="0"/>
    <w:lsdException w:name="footnote reference"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fr-FR"/>
    </w:rPr>
  </w:style>
  <w:style w:type="character" w:customStyle="1" w:styleId="Heading2Char">
    <w:name w:val="Heading 2 Char"/>
    <w:link w:val="Heading2"/>
    <w:semiHidden/>
    <w:rPr>
      <w:rFonts w:ascii="Times New Roman" w:eastAsia="Times New Roman" w:hAnsi="Times New Roman"/>
      <w:b/>
      <w:bCs/>
      <w:iCs/>
      <w:sz w:val="24"/>
      <w:szCs w:val="28"/>
      <w:lang w:eastAsia="fr-FR"/>
    </w:rPr>
  </w:style>
  <w:style w:type="character" w:customStyle="1" w:styleId="Heading3Char">
    <w:name w:val="Heading 3 Char"/>
    <w:link w:val="Heading3"/>
    <w:semiHidden/>
    <w:rPr>
      <w:rFonts w:ascii="Times New Roman" w:eastAsia="Times New Roman" w:hAnsi="Times New Roman"/>
      <w:bCs/>
      <w:i/>
      <w:sz w:val="24"/>
      <w:szCs w:val="26"/>
      <w:lang w:eastAsia="fr-FR"/>
    </w:rPr>
  </w:style>
  <w:style w:type="character" w:customStyle="1" w:styleId="Heading4Char">
    <w:name w:val="Heading 4 Char"/>
    <w:link w:val="Heading4"/>
    <w:semiHidden/>
    <w:rPr>
      <w:rFonts w:ascii="Times New Roman" w:eastAsia="Times New Roman" w:hAnsi="Times New Roman"/>
      <w:bCs/>
      <w:sz w:val="24"/>
      <w:szCs w:val="28"/>
      <w:lang w:eastAsia="fr-FR"/>
    </w:rPr>
  </w:style>
  <w:style w:type="character" w:styleId="Hyperlink">
    <w:name w:val="Hyperlink"/>
    <w:unhideWhenUsed/>
    <w:rPr>
      <w:rFonts w:ascii="Times New Roman" w:hAnsi="Times New Roman" w:cs="Times New Roman" w:hint="default"/>
      <w:color w:val="0000FF"/>
      <w:u w:val="single"/>
    </w:rPr>
  </w:style>
  <w:style w:type="character" w:styleId="FollowedHyperlink">
    <w:name w:val="FollowedHyperlink"/>
    <w:semiHidden/>
    <w:unhideWhenUsed/>
    <w:rPr>
      <w:color w:val="800080"/>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autoRedefine/>
    <w:semiHidden/>
    <w:unhideWhenUsed/>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autoRedefine/>
    <w:semiHidden/>
    <w:unhideWhenUsed/>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autoRedefine/>
    <w:semiHidden/>
    <w:unhideWhenUsed/>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autoRedefine/>
    <w:semiHidden/>
    <w:unhideWhenUsed/>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autoRedefine/>
    <w:semiHidden/>
    <w:unhideWhenUsed/>
    <w:pPr>
      <w:tabs>
        <w:tab w:val="right" w:leader="dot" w:pos="9071"/>
      </w:tabs>
      <w:spacing w:before="120" w:after="120" w:line="240" w:lineRule="auto"/>
      <w:jc w:val="both"/>
    </w:pPr>
    <w:rPr>
      <w:rFonts w:ascii="Times New Roman" w:eastAsia="Times New Roman" w:hAnsi="Times New Roman"/>
      <w:sz w:val="24"/>
      <w:szCs w:val="24"/>
    </w:rPr>
  </w:style>
  <w:style w:type="paragraph" w:styleId="FootnoteText">
    <w:name w:val="footnote text"/>
    <w:basedOn w:val="Normal"/>
    <w:link w:val="FootnoteTextChar"/>
    <w:semiHidden/>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fr-FR"/>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har">
    <w:name w:val="Footer Char"/>
    <w:link w:val="Footer"/>
    <w:uiPriority w:val="99"/>
    <w:rPr>
      <w:rFonts w:ascii="Times New Roman" w:eastAsia="Times New Roman" w:hAnsi="Times New Roman"/>
      <w:sz w:val="24"/>
      <w:szCs w:val="24"/>
      <w:lang w:eastAsia="fr-FR"/>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unhideWhenUsed/>
    <w:pPr>
      <w:spacing w:before="120" w:after="120" w:line="240" w:lineRule="auto"/>
      <w:jc w:val="both"/>
    </w:pPr>
    <w:rPr>
      <w:rFonts w:ascii="Times New Roman" w:eastAsia="Times New Roman" w:hAnsi="Times New Roman"/>
      <w:sz w:val="24"/>
      <w:szCs w:val="24"/>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fr-FR"/>
    </w:rPr>
  </w:style>
  <w:style w:type="paragraph" w:styleId="ListBullet">
    <w:name w:val="List Bullet"/>
    <w:basedOn w:val="Normal"/>
    <w:semiHidden/>
    <w:unhideWhenUsed/>
    <w:pPr>
      <w:numPr>
        <w:numId w:val="2"/>
      </w:numPr>
      <w:spacing w:before="120" w:after="120" w:line="240" w:lineRule="auto"/>
      <w:jc w:val="both"/>
    </w:pPr>
    <w:rPr>
      <w:rFonts w:ascii="Times New Roman" w:eastAsia="Times New Roman" w:hAnsi="Times New Roman"/>
      <w:sz w:val="24"/>
      <w:szCs w:val="24"/>
    </w:rPr>
  </w:style>
  <w:style w:type="paragraph" w:styleId="ListNumber">
    <w:name w:val="List Number"/>
    <w:basedOn w:val="Normal"/>
    <w:semiHidden/>
    <w:unhideWhenUsed/>
    <w:pPr>
      <w:numPr>
        <w:numId w:val="3"/>
      </w:numPr>
      <w:spacing w:before="120" w:after="120" w:line="240" w:lineRule="auto"/>
      <w:jc w:val="both"/>
    </w:pPr>
    <w:rPr>
      <w:rFonts w:ascii="Times New Roman" w:eastAsia="Times New Roman" w:hAnsi="Times New Roman"/>
      <w:sz w:val="24"/>
      <w:szCs w:val="24"/>
    </w:rPr>
  </w:style>
  <w:style w:type="paragraph" w:styleId="ListBullet2">
    <w:name w:val="List Bullet 2"/>
    <w:basedOn w:val="Normal"/>
    <w:semiHidden/>
    <w:unhideWhenUsed/>
    <w:pPr>
      <w:numPr>
        <w:numId w:val="4"/>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semiHidden/>
    <w:unhideWhenUsed/>
    <w:pPr>
      <w:numPr>
        <w:numId w:val="5"/>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semiHidden/>
    <w:unhideWhenUsed/>
    <w:pPr>
      <w:numPr>
        <w:numId w:val="6"/>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semiHidden/>
    <w:unhideWhenUsed/>
    <w:pPr>
      <w:numPr>
        <w:numId w:val="7"/>
      </w:numPr>
      <w:spacing w:before="120" w:after="120" w:line="240" w:lineRule="auto"/>
      <w:jc w:val="both"/>
    </w:pPr>
    <w:rPr>
      <w:rFonts w:ascii="Times New Roman" w:eastAsia="Times New Roman" w:hAnsi="Times New Roman"/>
      <w:sz w:val="24"/>
      <w:szCs w:val="24"/>
    </w:rPr>
  </w:style>
  <w:style w:type="paragraph" w:styleId="ListNumber3">
    <w:name w:val="List Number 3"/>
    <w:basedOn w:val="Normal"/>
    <w:semiHidden/>
    <w:unhideWhenUsed/>
    <w:pPr>
      <w:numPr>
        <w:numId w:val="8"/>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semiHidden/>
    <w:unhideWhenUsed/>
    <w:pPr>
      <w:numPr>
        <w:numId w:val="9"/>
      </w:numPr>
      <w:spacing w:before="120" w:after="120" w:line="240" w:lineRule="auto"/>
      <w:jc w:val="both"/>
    </w:pPr>
    <w:rPr>
      <w:rFonts w:ascii="Times New Roman" w:eastAsia="Times New Roman" w:hAnsi="Times New Roman"/>
      <w:sz w:val="24"/>
      <w:szCs w:val="24"/>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eastAsia="Times New Roman" w:hAnsi="Times New Roman"/>
      <w:b/>
      <w:bCs/>
      <w:lang w:eastAsia="fr-FR"/>
    </w:rPr>
  </w:style>
  <w:style w:type="paragraph" w:styleId="BalloonText">
    <w:name w:val="Balloon Text"/>
    <w:basedOn w:val="Normal"/>
    <w:link w:val="BalloonTextChar"/>
    <w:semiHidden/>
    <w:unhideWhenUsed/>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lang w:eastAsia="fr-FR"/>
    </w:rPr>
  </w:style>
  <w:style w:type="paragraph" w:styleId="Revision">
    <w:name w:val="Revision"/>
    <w:uiPriority w:val="99"/>
    <w:semiHidden/>
    <w:rPr>
      <w:rFonts w:ascii="Times New Roman" w:eastAsia="Times New Roman" w:hAnsi="Times New Roman"/>
      <w:sz w:val="24"/>
      <w:szCs w:val="24"/>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b/>
      <w:sz w:val="28"/>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paragraph" w:customStyle="1" w:styleId="Point0number">
    <w:name w:val="Point 0 (number)"/>
    <w:basedOn w:val="Normal"/>
    <w:pPr>
      <w:numPr>
        <w:numId w:val="16"/>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16"/>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16"/>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16"/>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16"/>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16"/>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16"/>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TypedudocumentPagedecouverture">
    <w:name w:val="Type du document (Page de couverture)"/>
    <w:basedOn w:val="Normal"/>
    <w:pPr>
      <w:spacing w:before="120" w:after="120" w:line="240" w:lineRule="auto"/>
      <w:jc w:val="both"/>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AccompagnantPagedecouverture">
    <w:name w:val="Accompagnant (Page de couverture)"/>
    <w:basedOn w:val="Accompagnant"/>
    <w:next w:val="Type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customStyle="1" w:styleId="ListBullet1">
    <w:name w:val="List Bullet 1"/>
    <w:basedOn w:val="Normal"/>
    <w:pPr>
      <w:numPr>
        <w:numId w:val="23"/>
      </w:numPr>
      <w:spacing w:before="120" w:after="120" w:line="240" w:lineRule="auto"/>
      <w:jc w:val="both"/>
    </w:pPr>
    <w:rPr>
      <w:rFonts w:ascii="Times New Roman" w:eastAsia="Times New Roman" w:hAnsi="Times New Roman"/>
      <w:sz w:val="24"/>
      <w:szCs w:val="24"/>
    </w:rPr>
  </w:style>
  <w:style w:type="paragraph" w:customStyle="1" w:styleId="ListDash">
    <w:name w:val="List Dash"/>
    <w:basedOn w:val="Normal"/>
    <w:pPr>
      <w:numPr>
        <w:numId w:val="24"/>
      </w:numPr>
      <w:spacing w:before="120" w:after="120" w:line="240" w:lineRule="auto"/>
      <w:jc w:val="both"/>
    </w:pPr>
    <w:rPr>
      <w:rFonts w:ascii="Times New Roman" w:eastAsia="Times New Roman" w:hAnsi="Times New Roman"/>
      <w:sz w:val="24"/>
      <w:szCs w:val="24"/>
    </w:rPr>
  </w:style>
  <w:style w:type="paragraph" w:customStyle="1" w:styleId="ListDash1">
    <w:name w:val="List Dash 1"/>
    <w:basedOn w:val="Normal"/>
    <w:pPr>
      <w:numPr>
        <w:numId w:val="25"/>
      </w:numPr>
      <w:spacing w:before="120" w:after="120" w:line="240" w:lineRule="auto"/>
      <w:jc w:val="both"/>
    </w:pPr>
    <w:rPr>
      <w:rFonts w:ascii="Times New Roman" w:eastAsia="Times New Roman" w:hAnsi="Times New Roman"/>
      <w:sz w:val="24"/>
      <w:szCs w:val="24"/>
    </w:rPr>
  </w:style>
  <w:style w:type="paragraph" w:customStyle="1" w:styleId="ListDash2">
    <w:name w:val="List Dash 2"/>
    <w:basedOn w:val="Normal"/>
    <w:pPr>
      <w:numPr>
        <w:numId w:val="26"/>
      </w:numPr>
      <w:spacing w:before="120" w:after="120" w:line="240" w:lineRule="auto"/>
      <w:jc w:val="both"/>
    </w:pPr>
    <w:rPr>
      <w:rFonts w:ascii="Times New Roman" w:eastAsia="Times New Roman" w:hAnsi="Times New Roman"/>
      <w:sz w:val="24"/>
      <w:szCs w:val="24"/>
    </w:rPr>
  </w:style>
  <w:style w:type="paragraph" w:customStyle="1" w:styleId="ListDash3">
    <w:name w:val="List Dash 3"/>
    <w:basedOn w:val="Normal"/>
    <w:pPr>
      <w:numPr>
        <w:numId w:val="27"/>
      </w:numPr>
      <w:spacing w:before="120" w:after="120" w:line="240" w:lineRule="auto"/>
      <w:jc w:val="both"/>
    </w:pPr>
    <w:rPr>
      <w:rFonts w:ascii="Times New Roman" w:eastAsia="Times New Roman" w:hAnsi="Times New Roman"/>
      <w:sz w:val="24"/>
      <w:szCs w:val="24"/>
    </w:rPr>
  </w:style>
  <w:style w:type="paragraph" w:customStyle="1" w:styleId="ListDash4">
    <w:name w:val="List Dash 4"/>
    <w:basedOn w:val="Normal"/>
    <w:pPr>
      <w:numPr>
        <w:numId w:val="28"/>
      </w:numPr>
      <w:spacing w:before="120" w:after="120" w:line="240" w:lineRule="auto"/>
      <w:jc w:val="both"/>
    </w:pPr>
    <w:rPr>
      <w:rFonts w:ascii="Times New Roman" w:eastAsia="Times New Roman" w:hAnsi="Times New Roman"/>
      <w:sz w:val="24"/>
      <w:szCs w:val="24"/>
    </w:rPr>
  </w:style>
  <w:style w:type="paragraph" w:customStyle="1" w:styleId="ListNumber1">
    <w:name w:val="List Number 1"/>
    <w:basedOn w:val="Text1"/>
    <w:pPr>
      <w:numPr>
        <w:numId w:val="29"/>
      </w:numPr>
    </w:pPr>
  </w:style>
  <w:style w:type="paragraph" w:customStyle="1" w:styleId="ListNumberLevel2">
    <w:name w:val="List Number (Level 2)"/>
    <w:basedOn w:val="Normal"/>
    <w:pPr>
      <w:numPr>
        <w:ilvl w:val="1"/>
        <w:numId w:val="3"/>
      </w:numPr>
      <w:spacing w:before="120" w:after="120" w:line="240" w:lineRule="auto"/>
      <w:jc w:val="both"/>
    </w:pPr>
    <w:rPr>
      <w:rFonts w:ascii="Times New Roman" w:eastAsia="Times New Roman" w:hAnsi="Times New Roman"/>
      <w:sz w:val="24"/>
      <w:szCs w:val="24"/>
    </w:rPr>
  </w:style>
  <w:style w:type="paragraph" w:customStyle="1" w:styleId="ListNumber1Level2">
    <w:name w:val="List Number 1 (Level 2)"/>
    <w:basedOn w:val="Text1"/>
    <w:pPr>
      <w:numPr>
        <w:ilvl w:val="1"/>
        <w:numId w:val="29"/>
      </w:numPr>
    </w:pPr>
  </w:style>
  <w:style w:type="paragraph" w:customStyle="1" w:styleId="ListNumber2Level2">
    <w:name w:val="List Number 2 (Level 2)"/>
    <w:basedOn w:val="Text2"/>
    <w:pPr>
      <w:numPr>
        <w:ilvl w:val="1"/>
        <w:numId w:val="7"/>
      </w:numPr>
    </w:pPr>
  </w:style>
  <w:style w:type="paragraph" w:customStyle="1" w:styleId="ListNumber3Level2">
    <w:name w:val="List Number 3 (Level 2)"/>
    <w:basedOn w:val="Text3"/>
    <w:pPr>
      <w:numPr>
        <w:ilvl w:val="1"/>
        <w:numId w:val="8"/>
      </w:numPr>
    </w:pPr>
  </w:style>
  <w:style w:type="paragraph" w:customStyle="1" w:styleId="ListNumber4Level2">
    <w:name w:val="List Number 4 (Level 2)"/>
    <w:basedOn w:val="Text4"/>
    <w:pPr>
      <w:numPr>
        <w:ilvl w:val="1"/>
        <w:numId w:val="9"/>
      </w:numPr>
    </w:pPr>
  </w:style>
  <w:style w:type="paragraph" w:customStyle="1" w:styleId="ListNumberLevel3">
    <w:name w:val="List Number (Level 3)"/>
    <w:basedOn w:val="Normal"/>
    <w:pPr>
      <w:numPr>
        <w:ilvl w:val="2"/>
        <w:numId w:val="3"/>
      </w:numPr>
      <w:spacing w:before="120" w:after="120" w:line="240" w:lineRule="auto"/>
      <w:jc w:val="both"/>
    </w:pPr>
    <w:rPr>
      <w:rFonts w:ascii="Times New Roman" w:eastAsia="Times New Roman" w:hAnsi="Times New Roman"/>
      <w:sz w:val="24"/>
      <w:szCs w:val="24"/>
    </w:rPr>
  </w:style>
  <w:style w:type="paragraph" w:customStyle="1" w:styleId="ListNumber1Level3">
    <w:name w:val="List Number 1 (Level 3)"/>
    <w:basedOn w:val="Text1"/>
    <w:pPr>
      <w:numPr>
        <w:ilvl w:val="2"/>
        <w:numId w:val="29"/>
      </w:numPr>
    </w:pPr>
  </w:style>
  <w:style w:type="paragraph" w:customStyle="1" w:styleId="ListNumber2Level3">
    <w:name w:val="List Number 2 (Level 3)"/>
    <w:basedOn w:val="Text2"/>
    <w:pPr>
      <w:numPr>
        <w:ilvl w:val="2"/>
        <w:numId w:val="7"/>
      </w:numPr>
    </w:pPr>
  </w:style>
  <w:style w:type="paragraph" w:customStyle="1" w:styleId="ListNumber3Level3">
    <w:name w:val="List Number 3 (Level 3)"/>
    <w:basedOn w:val="Text3"/>
    <w:pPr>
      <w:numPr>
        <w:ilvl w:val="2"/>
        <w:numId w:val="8"/>
      </w:numPr>
    </w:pPr>
  </w:style>
  <w:style w:type="paragraph" w:customStyle="1" w:styleId="ListNumber4Level3">
    <w:name w:val="List Number 4 (Level 3)"/>
    <w:basedOn w:val="Text4"/>
    <w:pPr>
      <w:numPr>
        <w:ilvl w:val="2"/>
        <w:numId w:val="9"/>
      </w:numPr>
    </w:pPr>
  </w:style>
  <w:style w:type="paragraph" w:customStyle="1" w:styleId="ListNumberLevel4">
    <w:name w:val="List Number (Level 4)"/>
    <w:basedOn w:val="Normal"/>
    <w:pPr>
      <w:numPr>
        <w:ilvl w:val="3"/>
        <w:numId w:val="3"/>
      </w:numPr>
      <w:spacing w:before="120" w:after="120" w:line="240" w:lineRule="auto"/>
      <w:jc w:val="both"/>
    </w:pPr>
    <w:rPr>
      <w:rFonts w:ascii="Times New Roman" w:eastAsia="Times New Roman" w:hAnsi="Times New Roman"/>
      <w:sz w:val="24"/>
      <w:szCs w:val="24"/>
    </w:rPr>
  </w:style>
  <w:style w:type="paragraph" w:customStyle="1" w:styleId="ListNumber1Level4">
    <w:name w:val="List Number 1 (Level 4)"/>
    <w:basedOn w:val="Text1"/>
    <w:pPr>
      <w:numPr>
        <w:ilvl w:val="3"/>
        <w:numId w:val="29"/>
      </w:numPr>
    </w:pPr>
  </w:style>
  <w:style w:type="paragraph" w:customStyle="1" w:styleId="ListNumber2Level4">
    <w:name w:val="List Number 2 (Level 4)"/>
    <w:basedOn w:val="Text2"/>
    <w:pPr>
      <w:numPr>
        <w:ilvl w:val="3"/>
        <w:numId w:val="7"/>
      </w:numPr>
    </w:pPr>
  </w:style>
  <w:style w:type="paragraph" w:customStyle="1" w:styleId="ListNumber3Level4">
    <w:name w:val="List Number 3 (Level 4)"/>
    <w:basedOn w:val="Text3"/>
    <w:pPr>
      <w:numPr>
        <w:ilvl w:val="3"/>
        <w:numId w:val="8"/>
      </w:numPr>
    </w:pPr>
  </w:style>
  <w:style w:type="paragraph" w:customStyle="1" w:styleId="ListNumber4Level4">
    <w:name w:val="List Number 4 (Level 4)"/>
    <w:basedOn w:val="Text4"/>
    <w:pPr>
      <w:numPr>
        <w:ilvl w:val="3"/>
        <w:numId w:val="9"/>
      </w:numPr>
    </w:p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rPr>
  </w:style>
  <w:style w:type="paragraph" w:customStyle="1" w:styleId="c19marge1">
    <w:name w:val="c19marge1"/>
    <w:basedOn w:val="Normal"/>
    <w:pPr>
      <w:spacing w:after="240" w:line="240" w:lineRule="auto"/>
      <w:ind w:left="1247"/>
      <w:jc w:val="both"/>
    </w:pPr>
    <w:rPr>
      <w:rFonts w:ascii="Times New Roman" w:eastAsia="Times New Roman" w:hAnsi="Times New Roman"/>
      <w:sz w:val="24"/>
      <w:szCs w:val="24"/>
    </w:rPr>
  </w:style>
  <w:style w:type="paragraph" w:customStyle="1" w:styleId="c08dispositif">
    <w:name w:val="c08dispositif"/>
    <w:basedOn w:val="Normal"/>
    <w:pPr>
      <w:spacing w:before="100" w:beforeAutospacing="1" w:after="240" w:line="240" w:lineRule="auto"/>
      <w:ind w:left="1134" w:hanging="567"/>
      <w:jc w:val="both"/>
    </w:pPr>
    <w:rPr>
      <w:rFonts w:ascii="Times New Roman" w:eastAsia="Times New Roman" w:hAnsi="Times New Roman"/>
      <w:b/>
      <w:bCs/>
      <w:sz w:val="24"/>
      <w:szCs w:val="24"/>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character" w:styleId="FootnoteReference">
    <w:name w:val="footnote reference"/>
    <w:semiHidden/>
    <w:unhideWhenUsed/>
    <w:rPr>
      <w:vertAlign w:val="superscript"/>
    </w:rPr>
  </w:style>
  <w:style w:type="character" w:styleId="CommentReference">
    <w:name w:val="annotation reference"/>
    <w:semiHidden/>
    <w:unhideWhenUsed/>
    <w:rPr>
      <w:rFonts w:ascii="Times New Roman" w:hAnsi="Times New Roman" w:cs="Times New Roman" w:hint="default"/>
      <w:sz w:val="16"/>
    </w:rPr>
  </w:style>
  <w:style w:type="character" w:styleId="EndnoteReference">
    <w:name w:val="endnote reference"/>
    <w:semiHidden/>
    <w:unhideWhenUsed/>
    <w:rPr>
      <w:vertAlign w:val="superscript"/>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table" w:styleId="TableGrid">
    <w:name w:val="Table Grid"/>
    <w:basedOn w:val="TableNormal"/>
    <w:pPr>
      <w:spacing w:before="120" w:after="1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16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nsparency/regexpert/index.cfm?Lang=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DF9D5-F64D-43A5-86A5-D6C80645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2100</Words>
  <Characters>9371</Characters>
  <Application>Microsoft Office Word</Application>
  <DocSecurity>0</DocSecurity>
  <Lines>851</Lines>
  <Paragraphs>882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10589</CharactersWithSpaces>
  <SharedDoc>false</SharedDoc>
  <HLinks>
    <vt:vector size="6" baseType="variant">
      <vt:variant>
        <vt:i4>6225942</vt:i4>
      </vt:variant>
      <vt:variant>
        <vt:i4>0</vt:i4>
      </vt:variant>
      <vt:variant>
        <vt:i4>0</vt:i4>
      </vt:variant>
      <vt:variant>
        <vt:i4>5</vt:i4>
      </vt:variant>
      <vt:variant>
        <vt:lpwstr>http://ec.europa.eu/transparency/regexpert/index.cfm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31</cp:revision>
  <cp:lastPrinted>2015-06-24T07:49:00Z</cp:lastPrinted>
  <dcterms:created xsi:type="dcterms:W3CDTF">2015-07-27T13:40:00Z</dcterms:created>
  <dcterms:modified xsi:type="dcterms:W3CDTF">2015-08-25T13:59:00Z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