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984A48BB624CCEACA9A54D8D71D6F7"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ДОКЛАД НА КОМИСИЯТА</w:t>
      </w:r>
    </w:p>
    <w:p>
      <w:pPr>
        <w:spacing w:line="240" w:lineRule="auto"/>
        <w:jc w:val="center"/>
        <w:rPr>
          <w:rFonts w:ascii="Times New Roman" w:hAnsi="Times New Roman"/>
          <w:b/>
          <w:noProof/>
          <w:sz w:val="24"/>
          <w:szCs w:val="24"/>
        </w:rPr>
      </w:pPr>
      <w:r>
        <w:rPr>
          <w:rFonts w:ascii="Times New Roman" w:hAnsi="Times New Roman"/>
          <w:b/>
          <w:noProof/>
          <w:sz w:val="24"/>
        </w:rPr>
        <w:t>ЗА РАБОТАТА НА КОМИТЕТИТЕ ПРЕЗ 2014 ГОДИНА</w:t>
      </w:r>
    </w:p>
    <w:p>
      <w:pPr>
        <w:spacing w:line="240" w:lineRule="auto"/>
        <w:jc w:val="center"/>
        <w:rPr>
          <w:rFonts w:ascii="Times New Roman" w:hAnsi="Times New Roman"/>
          <w:b/>
          <w:noProof/>
          <w:sz w:val="24"/>
          <w:szCs w:val="24"/>
        </w:rPr>
      </w:pPr>
    </w:p>
    <w:p>
      <w:pPr>
        <w:spacing w:line="240" w:lineRule="auto"/>
        <w:jc w:val="both"/>
        <w:rPr>
          <w:rFonts w:ascii="Times New Roman" w:hAnsi="Times New Roman"/>
          <w:noProof/>
          <w:sz w:val="24"/>
          <w:szCs w:val="24"/>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rPr>
        <w:t>Съгласно член 10, параграф 2 от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(наричан по-нататък „Регламент относно комитологията“)</w:t>
      </w:r>
      <w:r>
        <w:rPr>
          <w:rFonts w:ascii="Times New Roman" w:hAnsi="Times New Roman"/>
          <w:noProof/>
          <w:sz w:val="24"/>
          <w:vertAlign w:val="superscript"/>
        </w:rPr>
        <w:footnoteReference w:id="1"/>
      </w:r>
      <w:r>
        <w:rPr>
          <w:rFonts w:ascii="Times New Roman" w:hAnsi="Times New Roman"/>
          <w:noProof/>
          <w:sz w:val="24"/>
        </w:rPr>
        <w:t xml:space="preserve"> Комисията представя годишен доклад за работата на комитетите през 2014 г.</w:t>
      </w:r>
    </w:p>
    <w:p>
      <w:pPr>
        <w:spacing w:line="240" w:lineRule="auto"/>
        <w:jc w:val="both"/>
        <w:rPr>
          <w:rFonts w:ascii="Times New Roman" w:hAnsi="Times New Roman"/>
          <w:noProof/>
          <w:spacing w:val="-6"/>
          <w:sz w:val="24"/>
          <w:szCs w:val="24"/>
        </w:rPr>
      </w:pPr>
      <w:r>
        <w:rPr>
          <w:rFonts w:ascii="Times New Roman" w:hAnsi="Times New Roman"/>
          <w:noProof/>
          <w:spacing w:val="-6"/>
          <w:sz w:val="24"/>
        </w:rPr>
        <w:t>Докладът съдържа преглед на развитията в системата на комитологията през 2014 г. и резюме на дейностите на комитетите. Той е придружен от работен документ на службите на Комисията, съдържащ подробна статистика за работата на отделните комитети.</w:t>
      </w:r>
    </w:p>
    <w:p>
      <w:pPr>
        <w:spacing w:line="24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smallCaps/>
          <w:noProof/>
          <w:sz w:val="24"/>
        </w:rPr>
        <w:t>Преглед на развитията в системата на комитология през 2014 г.</w:t>
      </w:r>
    </w:p>
    <w:p>
      <w:pPr>
        <w:spacing w:line="240" w:lineRule="auto"/>
        <w:jc w:val="both"/>
        <w:rPr>
          <w:rFonts w:ascii="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Общо развитие</w:t>
      </w:r>
    </w:p>
    <w:p>
      <w:pPr>
        <w:spacing w:line="240" w:lineRule="auto"/>
        <w:jc w:val="both"/>
        <w:rPr>
          <w:rFonts w:ascii="Times New Roman" w:hAnsi="Times New Roman"/>
          <w:b/>
          <w:noProof/>
          <w:sz w:val="24"/>
          <w:szCs w:val="24"/>
        </w:rPr>
      </w:pPr>
      <w:r>
        <w:rPr>
          <w:rFonts w:ascii="Times New Roman" w:hAnsi="Times New Roman"/>
          <w:noProof/>
          <w:sz w:val="24"/>
        </w:rPr>
        <w:t>Както бе описано в доклада за 2013 г.</w:t>
      </w:r>
      <w:r>
        <w:rPr>
          <w:rFonts w:ascii="Times New Roman" w:hAnsi="Times New Roman"/>
          <w:noProof/>
          <w:sz w:val="24"/>
          <w:vertAlign w:val="superscript"/>
        </w:rPr>
        <w:footnoteReference w:id="2"/>
      </w:r>
      <w:r>
        <w:rPr>
          <w:rFonts w:ascii="Times New Roman" w:hAnsi="Times New Roman"/>
          <w:noProof/>
          <w:sz w:val="24"/>
        </w:rPr>
        <w:t>, всички процедури по комитология, предвидени в „старото“ Решение относно комитологията</w:t>
      </w:r>
      <w:r>
        <w:rPr>
          <w:rFonts w:ascii="Times New Roman" w:hAnsi="Times New Roman"/>
          <w:noProof/>
          <w:sz w:val="24"/>
          <w:vertAlign w:val="superscript"/>
        </w:rPr>
        <w:footnoteReference w:id="3"/>
      </w:r>
      <w:r>
        <w:rPr>
          <w:rFonts w:ascii="Times New Roman" w:hAnsi="Times New Roman"/>
          <w:noProof/>
          <w:sz w:val="24"/>
        </w:rPr>
        <w:t>, с изключение на процедурата по регулиране с контрол (ПРК), бяха автоматично адаптирани към новите процедури по комитология, предвидени в Регламента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rPr>
        <w:t>Следователно през 2014 г. комитетите по комитология функционираха съгласно процедурите, определени в Регламента относно комитологията, а именно по консултиране (член 4) и по разглеждане (член 5), както и съгласно ПРК, определена в член 5а от Решението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rPr>
        <w:t>В съответствие с изявлението</w:t>
      </w:r>
      <w:r>
        <w:rPr>
          <w:rFonts w:ascii="Times New Roman" w:hAnsi="Times New Roman"/>
          <w:noProof/>
          <w:sz w:val="24"/>
          <w:vertAlign w:val="superscript"/>
        </w:rPr>
        <w:footnoteReference w:id="4"/>
      </w:r>
      <w:r>
        <w:rPr>
          <w:rFonts w:ascii="Times New Roman" w:hAnsi="Times New Roman"/>
          <w:noProof/>
          <w:sz w:val="24"/>
        </w:rPr>
        <w:t>, направено при приемането на Регламента относно комитологията, че всички разпоредби за ПРК в съществуващи основни актове ще бъдат адаптирани към заложените в Договора критерии, след проведен през 2012 г. предварителен скрининг през 2013 г. Комисията прие три предложения</w:t>
      </w:r>
      <w:r>
        <w:rPr>
          <w:rFonts w:ascii="Times New Roman" w:hAnsi="Times New Roman"/>
          <w:noProof/>
          <w:sz w:val="24"/>
          <w:vertAlign w:val="superscript"/>
        </w:rPr>
        <w:footnoteReference w:id="5"/>
      </w:r>
      <w:r>
        <w:rPr>
          <w:rFonts w:ascii="Times New Roman" w:hAnsi="Times New Roman"/>
          <w:noProof/>
          <w:sz w:val="24"/>
        </w:rPr>
        <w:t xml:space="preserve"> за привеждане на общо 200 основни акта в съответствие с членове 290 и 291 от ДФЕС. През ноември 2014 г. в началото на новия си мандат и в рамките на прегледа на внесените законодателните предложения Комисията реши да оттегли тези предложения</w:t>
      </w:r>
      <w:r>
        <w:rPr>
          <w:rStyle w:val="FootnoteReference"/>
          <w:rFonts w:ascii="Times New Roman" w:hAnsi="Times New Roman"/>
          <w:noProof/>
          <w:sz w:val="24"/>
        </w:rPr>
        <w:footnoteReference w:id="6"/>
      </w:r>
      <w:r>
        <w:rPr>
          <w:rFonts w:ascii="Times New Roman" w:hAnsi="Times New Roman"/>
          <w:noProof/>
          <w:sz w:val="24"/>
        </w:rPr>
        <w:t xml:space="preserve"> в очакване на резултата от бъдещите дискусии между институциите в контекста на Междуинституционалното споразумение за по-добро регулиране</w:t>
      </w:r>
      <w:r>
        <w:rPr>
          <w:noProof/>
        </w:rPr>
        <w:t>.</w:t>
      </w:r>
    </w:p>
    <w:p>
      <w:pPr>
        <w:spacing w:line="240" w:lineRule="auto"/>
        <w:jc w:val="both"/>
        <w:rPr>
          <w:rFonts w:ascii="Times New Roman" w:hAnsi="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Развитие в съдебната практика</w:t>
      </w:r>
    </w:p>
    <w:p>
      <w:pPr>
        <w:spacing w:line="240" w:lineRule="auto"/>
        <w:jc w:val="both"/>
        <w:rPr>
          <w:rFonts w:ascii="Times New Roman" w:hAnsi="Times New Roman"/>
          <w:noProof/>
          <w:sz w:val="24"/>
          <w:szCs w:val="24"/>
        </w:rPr>
      </w:pPr>
      <w:r>
        <w:rPr>
          <w:rFonts w:ascii="Times New Roman" w:hAnsi="Times New Roman"/>
          <w:noProof/>
          <w:sz w:val="24"/>
        </w:rPr>
        <w:t>С решението си по дело C-427/12, Комисия/Парламент и Съвет („делото за биоцидите“), на 18 март 2014 г. Съдът за първи път се произнесе по случай на разграничаване между делегирани актове и актове за изпълнение. С жалбата си по делото за биоцидите Европейската комисия поиска отмяната на разпоредба, предвиждаща приемането на мерки за определяне на таксите, дължими на Европейската агенция по химикалите, чрез актове за изпълнение. Според Комисията те следва да се определят в делегирани актове. Съдът отхвърли жалбата на Комисията като неоснователна. Въпреки че Съдът не постави под съмнение факта, че членове 290 и 291 от ДФЕС имат своите съответни приложни полета, той призна, че законодателят разполага с определена дискреционна власт, когато решава да предостави на Комисията делегирано правомощие съгласно член 290, параграф 1 от ДФЕС или изпълнително правомощие съгласно член 291, параграф 2 от ДФЕС. Вследствие на това Съдът постанови, че съдебният контрол се свежда до явни грешки.</w:t>
      </w:r>
    </w:p>
    <w:p>
      <w:pPr>
        <w:spacing w:line="240" w:lineRule="auto"/>
        <w:jc w:val="both"/>
        <w:rPr>
          <w:rFonts w:ascii="Times New Roman" w:hAnsi="Times New Roman"/>
          <w:noProof/>
          <w:sz w:val="24"/>
          <w:szCs w:val="24"/>
        </w:rPr>
      </w:pPr>
      <w:r>
        <w:rPr>
          <w:rFonts w:ascii="Times New Roman" w:hAnsi="Times New Roman"/>
          <w:noProof/>
          <w:sz w:val="24"/>
        </w:rPr>
        <w:t>В своето решение от 15 октомври 2014 г. по дело C-65/13, Европейски парламент/Европейска комисия (дело EURES), Съдът отхвърли жалбата на Парламента за отмяна на Решение за изпълнение 2012/733/ЕС предвид факта, че Комисията не е превишила изпълнителните си правомощия.</w:t>
      </w:r>
    </w:p>
    <w:p>
      <w:pPr>
        <w:spacing w:after="80" w:line="240" w:lineRule="auto"/>
        <w:jc w:val="both"/>
        <w:rPr>
          <w:rFonts w:ascii="Times New Roman" w:hAnsi="Times New Roman"/>
          <w:b/>
          <w:noProof/>
          <w:sz w:val="24"/>
          <w:szCs w:val="24"/>
        </w:rPr>
      </w:pPr>
      <w:r>
        <w:rPr>
          <w:noProof/>
        </w:rPr>
        <w:br w:type="page"/>
      </w:r>
      <w:r>
        <w:rPr>
          <w:rFonts w:ascii="Times New Roman" w:hAnsi="Times New Roman"/>
          <w:b/>
          <w:noProof/>
          <w:sz w:val="24"/>
        </w:rPr>
        <w:t>2.</w:t>
      </w:r>
      <w:r>
        <w:rPr>
          <w:noProof/>
        </w:rPr>
        <w:tab/>
      </w:r>
      <w:r>
        <w:rPr>
          <w:rFonts w:ascii="Times New Roman" w:hAnsi="Times New Roman"/>
          <w:b/>
          <w:smallCaps/>
          <w:noProof/>
          <w:sz w:val="24"/>
        </w:rPr>
        <w:t>Преглед на дейностите</w:t>
      </w:r>
    </w:p>
    <w:p>
      <w:pPr>
        <w:spacing w:after="120"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Брой на комитетите и на заседанията</w:t>
      </w:r>
    </w:p>
    <w:p>
      <w:pPr>
        <w:spacing w:after="80" w:line="240" w:lineRule="auto"/>
        <w:jc w:val="both"/>
        <w:rPr>
          <w:rFonts w:ascii="Times New Roman" w:hAnsi="Times New Roman"/>
          <w:noProof/>
          <w:spacing w:val="-6"/>
          <w:sz w:val="24"/>
          <w:szCs w:val="24"/>
        </w:rPr>
      </w:pPr>
      <w:r>
        <w:rPr>
          <w:rFonts w:ascii="Times New Roman" w:hAnsi="Times New Roman"/>
          <w:noProof/>
          <w:spacing w:val="-6"/>
          <w:sz w:val="24"/>
        </w:rPr>
        <w:t>Важно е да се прави разлика между комитетите в рамките на процедурата по комитология, от една страна, и други структури, по-специално „експертните групи“, създадени от самата Комисия, от друга страна. Тези групи предоставят експертни познания на Комисията</w:t>
      </w:r>
      <w:r>
        <w:rPr>
          <w:rFonts w:ascii="Times New Roman" w:hAnsi="Times New Roman"/>
          <w:noProof/>
          <w:spacing w:val="-6"/>
          <w:sz w:val="24"/>
          <w:vertAlign w:val="superscript"/>
        </w:rPr>
        <w:footnoteReference w:id="7"/>
      </w:r>
      <w:r>
        <w:rPr>
          <w:rFonts w:ascii="Times New Roman" w:hAnsi="Times New Roman"/>
          <w:noProof/>
          <w:spacing w:val="-6"/>
          <w:sz w:val="24"/>
        </w:rPr>
        <w:t xml:space="preserve"> при изготвянето и изпълнението на политиките, както и на делегираните актове, докато комитетите в рамките на процедурата по комитология подпомагат Комисията при упражняването на изпълнителните правомощия, които са ѝ предоставени с основни правни актове. Настоящият доклад е посветен изключително на комитетите в рамките на процедурата по комитология. </w:t>
      </w:r>
      <w:r>
        <w:rPr>
          <w:rFonts w:ascii="Times New Roman" w:hAnsi="Times New Roman"/>
          <w:noProof/>
          <w:spacing w:val="-6"/>
          <w:sz w:val="24"/>
          <w:u w:val="single"/>
        </w:rPr>
        <w:t>Броят на действащите комитети по комитология</w:t>
      </w:r>
      <w:r>
        <w:rPr>
          <w:rFonts w:ascii="Times New Roman" w:hAnsi="Times New Roman"/>
          <w:noProof/>
          <w:spacing w:val="-6"/>
          <w:sz w:val="24"/>
        </w:rPr>
        <w:t xml:space="preserve"> в периода 1 януари 2014 г. — 1 януари 2015 г. бе изчислен по сектор на дейност (вж. </w:t>
      </w:r>
      <w:r>
        <w:rPr>
          <w:rFonts w:ascii="Times New Roman" w:hAnsi="Times New Roman"/>
          <w:noProof/>
          <w:spacing w:val="-6"/>
          <w:sz w:val="24"/>
          <w:u w:val="single"/>
        </w:rPr>
        <w:t>таблица I</w:t>
      </w:r>
      <w:r>
        <w:rPr>
          <w:rFonts w:ascii="Times New Roman" w:hAnsi="Times New Roman"/>
          <w:noProof/>
          <w:spacing w:val="-6"/>
          <w:sz w:val="24"/>
        </w:rPr>
        <w:t>). С цел да се даде възможност за сравнение са дадени и данните за предходната година (към 31 декември 2013 г.). Подразделенията и конфигурациите не са отчетени отделно, тъй като принадлежат към даден основен комитет.</w:t>
      </w:r>
    </w:p>
    <w:p>
      <w:pPr>
        <w:spacing w:after="120" w:line="240" w:lineRule="auto"/>
        <w:jc w:val="center"/>
        <w:rPr>
          <w:rFonts w:ascii="Times New Roman" w:hAnsi="Times New Roman"/>
          <w:b/>
          <w:noProof/>
          <w:sz w:val="24"/>
          <w:szCs w:val="24"/>
          <w:u w:val="single"/>
        </w:rPr>
      </w:pPr>
      <w:r>
        <w:rPr>
          <w:rFonts w:ascii="Times New Roman" w:hAnsi="Times New Roman"/>
          <w:b/>
          <w:noProof/>
          <w:sz w:val="24"/>
          <w:u w:val="single"/>
        </w:rPr>
        <w:t>ТАБЛИЦА I — Общ брой на комитетите (2014 г.—2015 г.)</w:t>
      </w:r>
    </w:p>
    <w:tbl>
      <w:tblPr>
        <w:tblW w:w="5000" w:type="pct"/>
        <w:tblLook w:val="0000" w:firstRow="0" w:lastRow="0" w:firstColumn="0" w:lastColumn="0" w:noHBand="0" w:noVBand="0"/>
      </w:tblPr>
      <w:tblGrid>
        <w:gridCol w:w="6877"/>
        <w:gridCol w:w="1201"/>
        <w:gridCol w:w="1210"/>
      </w:tblGrid>
      <w:tr>
        <w:trPr>
          <w:trHeight w:val="276"/>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pacing w:val="-2"/>
                <w:sz w:val="18"/>
                <w:szCs w:val="18"/>
              </w:rPr>
            </w:pPr>
            <w:r>
              <w:rPr>
                <w:rFonts w:ascii="Times New Roman" w:hAnsi="Times New Roman"/>
                <w:b/>
                <w:noProof/>
                <w:color w:val="000000"/>
                <w:spacing w:val="-2"/>
                <w:sz w:val="18"/>
              </w:rPr>
              <w:t>Сектор на политиката</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pacing w:val="-10"/>
                <w:sz w:val="16"/>
                <w:szCs w:val="16"/>
              </w:rPr>
            </w:pPr>
            <w:r>
              <w:rPr>
                <w:rFonts w:ascii="Times New Roman" w:hAnsi="Times New Roman"/>
                <w:b/>
                <w:noProof/>
                <w:color w:val="000000"/>
                <w:spacing w:val="-10"/>
                <w:sz w:val="16"/>
                <w:szCs w:val="16"/>
              </w:rPr>
              <w:t>2014 г.—2015 г.</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pacing w:val="-6"/>
                <w:sz w:val="16"/>
                <w:szCs w:val="16"/>
              </w:rPr>
            </w:pPr>
            <w:r>
              <w:rPr>
                <w:rFonts w:ascii="Times New Roman" w:hAnsi="Times New Roman"/>
                <w:b/>
                <w:noProof/>
                <w:color w:val="000000"/>
                <w:spacing w:val="-6"/>
                <w:sz w:val="16"/>
                <w:szCs w:val="16"/>
              </w:rPr>
              <w:t>2013 г.</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Земеделие и развитие на селските райони (AGRI)</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Бюджет (BUDG)</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Действия по климата (CLIMA)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Съобщителни мрежи, съдържание и технологии (CNECT)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Икономически и финансови въпроси (ECFIN)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Образование и култура (EAC)</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Трудова заетост, социални въпроси и приобщаване (EMPL)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Енергетика (ENER)</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Околна среда (ENV)</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Европейска служба за борба с измамите (OLAF)</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Евростат (ESTAT)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Финансова стабилност, финансови услуги и съюз на капиталовите пазари (FISMA)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9</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Здравеопазване и безопасност на храните (SANTE)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Хуманитарна помощ и гражданска защита (ECHO)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Информатика (DIGIT)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Вътрешен пазар, промишленост, предприемачество и МСП (GROW)</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Международно сътрудничество и развитие (DEVCO)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Правосъдие и потребители (JUST)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pacing w:val="-2"/>
                <w:sz w:val="18"/>
                <w:szCs w:val="18"/>
              </w:rPr>
            </w:pPr>
            <w:r>
              <w:rPr>
                <w:rFonts w:ascii="Times New Roman" w:hAnsi="Times New Roman"/>
                <w:b/>
                <w:noProof/>
                <w:color w:val="000000"/>
                <w:spacing w:val="-2"/>
                <w:sz w:val="18"/>
              </w:rPr>
              <w:t>Морско дело и рибарство (MARE)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pacing w:val="-2"/>
                <w:sz w:val="18"/>
                <w:szCs w:val="18"/>
              </w:rPr>
            </w:pPr>
            <w:r>
              <w:rPr>
                <w:rFonts w:ascii="Times New Roman" w:hAnsi="Times New Roman"/>
                <w:noProof/>
                <w:color w:val="000000"/>
                <w:spacing w:val="-2"/>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pacing w:val="-2"/>
                <w:sz w:val="18"/>
                <w:szCs w:val="18"/>
              </w:rPr>
            </w:pPr>
            <w:r>
              <w:rPr>
                <w:rFonts w:ascii="Times New Roman" w:hAnsi="Times New Roman"/>
                <w:noProof/>
                <w:color w:val="000000"/>
                <w:spacing w:val="-2"/>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Миграция и вътрешни работи (HOME)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Мобилност и транспорт (MOVE)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Политика за съседство и преговори за разширяване (NEAR)</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Регионална и селищна политика (REGIO)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Научни изследвания и иновации (RTD)</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8</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Генерален секретариат (SG)</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2*</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Служба за инструментите в областта на външната политика (FPI)</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Данъчно облагане и митнически съюз (TAXUD)</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pacing w:val="-2"/>
                <w:sz w:val="18"/>
                <w:szCs w:val="18"/>
              </w:rPr>
            </w:pPr>
            <w:r>
              <w:rPr>
                <w:rFonts w:ascii="Times New Roman" w:hAnsi="Times New Roman"/>
                <w:b/>
                <w:noProof/>
                <w:color w:val="000000"/>
                <w:spacing w:val="-2"/>
                <w:sz w:val="18"/>
              </w:rPr>
              <w:t>Търговия (TRADE)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pacing w:val="-2"/>
                <w:sz w:val="18"/>
                <w:szCs w:val="18"/>
              </w:rPr>
            </w:pPr>
            <w:r>
              <w:rPr>
                <w:rFonts w:ascii="Times New Roman" w:hAnsi="Times New Roman"/>
                <w:noProof/>
                <w:color w:val="000000"/>
                <w:spacing w:val="-2"/>
                <w:sz w:val="18"/>
              </w:rPr>
              <w:t>13</w:t>
            </w:r>
          </w:p>
        </w:tc>
      </w:tr>
      <w:tr>
        <w:trPr>
          <w:trHeight w:val="117"/>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pacing w:val="-2"/>
                <w:sz w:val="18"/>
                <w:szCs w:val="18"/>
              </w:rPr>
            </w:pPr>
            <w:r>
              <w:rPr>
                <w:rFonts w:ascii="Times New Roman" w:hAnsi="Times New Roman"/>
                <w:b/>
                <w:noProof/>
                <w:color w:val="000000"/>
                <w:spacing w:val="-2"/>
                <w:sz w:val="18"/>
              </w:rPr>
              <w:t>ОБЩО: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pacing w:val="-2"/>
                <w:sz w:val="18"/>
                <w:szCs w:val="18"/>
              </w:rPr>
            </w:pPr>
            <w:r>
              <w:rPr>
                <w:rFonts w:ascii="Times New Roman" w:hAnsi="Times New Roman"/>
                <w:b/>
                <w:noProof/>
                <w:color w:val="000000"/>
                <w:spacing w:val="-2"/>
                <w:sz w:val="18"/>
              </w:rPr>
              <w:t>287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pacing w:val="-2"/>
                <w:sz w:val="18"/>
                <w:szCs w:val="18"/>
              </w:rPr>
            </w:pPr>
            <w:r>
              <w:rPr>
                <w:rFonts w:ascii="Times New Roman" w:hAnsi="Times New Roman"/>
                <w:b/>
                <w:noProof/>
                <w:color w:val="000000"/>
                <w:spacing w:val="-2"/>
                <w:sz w:val="18"/>
              </w:rPr>
              <w:t>301</w:t>
            </w:r>
          </w:p>
        </w:tc>
      </w:tr>
    </w:tbl>
    <w:p>
      <w:pPr>
        <w:spacing w:line="240" w:lineRule="auto"/>
        <w:jc w:val="both"/>
        <w:rPr>
          <w:rFonts w:ascii="Times New Roman" w:hAnsi="Times New Roman"/>
          <w:i/>
          <w:noProof/>
          <w:spacing w:val="-7"/>
          <w:sz w:val="18"/>
          <w:szCs w:val="18"/>
        </w:rPr>
      </w:pPr>
      <w:r>
        <w:rPr>
          <w:rFonts w:ascii="Times New Roman" w:hAnsi="Times New Roman"/>
          <w:noProof/>
          <w:spacing w:val="-7"/>
          <w:sz w:val="18"/>
        </w:rPr>
        <w:t xml:space="preserve">* </w:t>
      </w:r>
      <w:r>
        <w:rPr>
          <w:rFonts w:ascii="Times New Roman" w:hAnsi="Times New Roman"/>
          <w:i/>
          <w:noProof/>
          <w:spacing w:val="-7"/>
          <w:sz w:val="18"/>
        </w:rPr>
        <w:t>Включително апелативния комитет (за нуждите на регистъра на комитологията апелативният комитет е регистриран като комитет, за когото отговорната служба е Генералният секретариат; в практиката той се управлява от всички засегнати служби).</w:t>
      </w:r>
    </w:p>
    <w:p>
      <w:pPr>
        <w:spacing w:line="240" w:lineRule="auto"/>
        <w:jc w:val="both"/>
        <w:rPr>
          <w:rFonts w:ascii="Times New Roman" w:hAnsi="Times New Roman"/>
          <w:noProof/>
          <w:sz w:val="24"/>
          <w:szCs w:val="24"/>
        </w:rPr>
      </w:pPr>
      <w:r>
        <w:rPr>
          <w:rFonts w:ascii="Times New Roman" w:hAnsi="Times New Roman"/>
          <w:noProof/>
          <w:sz w:val="24"/>
        </w:rPr>
        <w:t>През 2014 г. комитетите по комитология можеха като цяло да се класифицират според вида на процедурата, по реда на която осъществяваха дейността си (процедура по консултиране, процедура по разглеждане, процедура по регулиране с контрол — вж. таблица II). Някои комитети, които прилагаха повече от една процедура, бяха отделени от комитетите, извършващи дейност съгласно една-единствена процедура.</w:t>
      </w:r>
    </w:p>
    <w:p>
      <w:pPr>
        <w:spacing w:line="240" w:lineRule="auto"/>
        <w:jc w:val="center"/>
        <w:rPr>
          <w:rFonts w:ascii="Times New Roman" w:hAnsi="Times New Roman"/>
          <w:b/>
          <w:smallCaps/>
          <w:noProof/>
          <w:sz w:val="24"/>
          <w:szCs w:val="24"/>
          <w:u w:val="single"/>
        </w:rPr>
      </w:pPr>
      <w:bookmarkStart w:id="7" w:name="_Toc138589006"/>
      <w:r>
        <w:rPr>
          <w:rFonts w:ascii="Times New Roman" w:hAnsi="Times New Roman"/>
          <w:b/>
          <w:noProof/>
          <w:sz w:val="24"/>
          <w:u w:val="single"/>
        </w:rPr>
        <w:t>ТАБЛИЦА II — Брой на комитетите по процедури (2014 г.)</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Вид на процедурата</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Консултиране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Разглеждане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Регулиране с контрол</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Работи, следвайки няколко процедури</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ОБЩО:</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137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Включително апелативния комитет.</w:t>
      </w:r>
    </w:p>
    <w:p>
      <w:pPr>
        <w:spacing w:line="240" w:lineRule="auto"/>
        <w:jc w:val="both"/>
        <w:rPr>
          <w:rFonts w:ascii="Times New Roman" w:hAnsi="Times New Roman"/>
          <w:noProof/>
          <w:spacing w:val="-6"/>
          <w:sz w:val="24"/>
          <w:szCs w:val="24"/>
        </w:rPr>
      </w:pPr>
      <w:r>
        <w:rPr>
          <w:rFonts w:ascii="Times New Roman" w:hAnsi="Times New Roman"/>
          <w:noProof/>
          <w:spacing w:val="-6"/>
          <w:sz w:val="24"/>
        </w:rPr>
        <w:t xml:space="preserve">Броят на комитетите не е единственият показател за дейността на равнище комитология. </w:t>
      </w:r>
      <w:r>
        <w:rPr>
          <w:rFonts w:ascii="Times New Roman" w:hAnsi="Times New Roman"/>
          <w:i/>
          <w:noProof/>
          <w:spacing w:val="-6"/>
          <w:sz w:val="24"/>
        </w:rPr>
        <w:t>Броят на заседанията</w:t>
      </w:r>
      <w:r>
        <w:rPr>
          <w:rFonts w:ascii="Times New Roman" w:hAnsi="Times New Roman"/>
          <w:noProof/>
          <w:spacing w:val="-6"/>
          <w:sz w:val="24"/>
        </w:rPr>
        <w:t xml:space="preserve">, които са били проведени, както и </w:t>
      </w:r>
      <w:r>
        <w:rPr>
          <w:rFonts w:ascii="Times New Roman" w:hAnsi="Times New Roman"/>
          <w:i/>
          <w:noProof/>
          <w:spacing w:val="-6"/>
          <w:sz w:val="24"/>
        </w:rPr>
        <w:t>броят на писмените процедури</w:t>
      </w:r>
      <w:r>
        <w:rPr>
          <w:rFonts w:ascii="Times New Roman" w:hAnsi="Times New Roman"/>
          <w:i/>
          <w:noProof/>
          <w:spacing w:val="-6"/>
          <w:sz w:val="24"/>
          <w:vertAlign w:val="superscript"/>
        </w:rPr>
        <w:footnoteReference w:id="8"/>
      </w:r>
      <w:r>
        <w:rPr>
          <w:rFonts w:ascii="Times New Roman" w:hAnsi="Times New Roman"/>
          <w:noProof/>
          <w:spacing w:val="-6"/>
          <w:sz w:val="24"/>
        </w:rPr>
        <w:t>, използвани през 2014 г., също отразяват интензивността на работата като цяло, както на секторно равнище, така и в отделните комитети (</w:t>
      </w:r>
      <w:r>
        <w:rPr>
          <w:rFonts w:ascii="Times New Roman" w:hAnsi="Times New Roman"/>
          <w:noProof/>
          <w:spacing w:val="-6"/>
          <w:sz w:val="24"/>
          <w:u w:val="single"/>
        </w:rPr>
        <w:t>таблица III</w:t>
      </w:r>
      <w:r>
        <w:rPr>
          <w:rFonts w:ascii="Times New Roman" w:hAnsi="Times New Roman"/>
          <w:noProof/>
          <w:spacing w:val="-6"/>
          <w:sz w:val="24"/>
        </w:rPr>
        <w:t>).</w:t>
      </w:r>
    </w:p>
    <w:p>
      <w:pPr>
        <w:rPr>
          <w:rFonts w:ascii="Times New Roman" w:hAnsi="Times New Roman"/>
          <w:b/>
          <w:noProof/>
          <w:sz w:val="24"/>
          <w:szCs w:val="24"/>
          <w:u w:val="single"/>
        </w:rPr>
      </w:pPr>
      <w:r>
        <w:rPr>
          <w:noProof/>
        </w:rPr>
        <w:br w:type="page"/>
      </w:r>
      <w:r>
        <w:rPr>
          <w:rFonts w:ascii="Times New Roman" w:hAnsi="Times New Roman"/>
          <w:b/>
          <w:noProof/>
          <w:sz w:val="24"/>
          <w:u w:val="single"/>
        </w:rPr>
        <w:t>ТАБЛИЦА III — Брой на заседанията и на писмените процедури (2014 г.)</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Брой на комитетите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Заседания</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Писмени процедури</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2013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2013 г.</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403</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773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893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966</w:t>
            </w:r>
          </w:p>
        </w:tc>
      </w:tr>
    </w:tbl>
    <w:p>
      <w:pPr>
        <w:spacing w:line="240" w:lineRule="auto"/>
        <w:jc w:val="both"/>
        <w:rPr>
          <w:rFonts w:ascii="Times New Roman" w:hAnsi="Times New Roman"/>
          <w:i/>
          <w:noProof/>
          <w:sz w:val="18"/>
          <w:szCs w:val="18"/>
        </w:rPr>
      </w:pPr>
      <w:r>
        <w:rPr>
          <w:rFonts w:ascii="Times New Roman" w:hAnsi="Times New Roman"/>
          <w:i/>
          <w:noProof/>
          <w:sz w:val="18"/>
        </w:rPr>
        <w:t>* Включително 6 заседания на апелативния комитет.</w:t>
      </w: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Брой на становищата и на актовете/мерките за изпълнение</w:t>
      </w:r>
    </w:p>
    <w:p>
      <w:pPr>
        <w:spacing w:line="240" w:lineRule="auto"/>
        <w:jc w:val="both"/>
        <w:rPr>
          <w:rFonts w:ascii="Times New Roman" w:hAnsi="Times New Roman"/>
          <w:noProof/>
          <w:sz w:val="24"/>
          <w:szCs w:val="24"/>
        </w:rPr>
      </w:pPr>
      <w:r>
        <w:rPr>
          <w:rFonts w:ascii="Times New Roman" w:hAnsi="Times New Roman"/>
          <w:noProof/>
          <w:sz w:val="24"/>
        </w:rPr>
        <w:t xml:space="preserve">Както винаги, така и в настоящия доклад се посочва общият брой на официалните становища, дадени от комитетите, и на последвалите </w:t>
      </w:r>
      <w:r>
        <w:rPr>
          <w:rFonts w:ascii="Times New Roman" w:hAnsi="Times New Roman"/>
          <w:i/>
          <w:noProof/>
          <w:sz w:val="24"/>
        </w:rPr>
        <w:t>актове/мерки за изпълнение</w:t>
      </w:r>
      <w:r>
        <w:rPr>
          <w:rFonts w:ascii="Times New Roman" w:hAnsi="Times New Roman"/>
          <w:noProof/>
          <w:sz w:val="24"/>
        </w:rPr>
        <w:t>, приети от Комисията</w:t>
      </w:r>
      <w:r>
        <w:rPr>
          <w:rFonts w:ascii="Times New Roman" w:hAnsi="Times New Roman"/>
          <w:noProof/>
          <w:sz w:val="24"/>
          <w:vertAlign w:val="superscript"/>
        </w:rPr>
        <w:footnoteReference w:id="9"/>
      </w:r>
      <w:r>
        <w:rPr>
          <w:rFonts w:ascii="Times New Roman" w:hAnsi="Times New Roman"/>
          <w:noProof/>
          <w:sz w:val="24"/>
        </w:rPr>
        <w:t xml:space="preserve">. Чрез тези данни се измерват количествено осезаемите „резултати“ от работата на комитетите (вж. </w:t>
      </w:r>
      <w:r>
        <w:rPr>
          <w:rFonts w:ascii="Times New Roman" w:hAnsi="Times New Roman"/>
          <w:noProof/>
          <w:sz w:val="24"/>
          <w:u w:val="single"/>
        </w:rPr>
        <w:t>Таблица IV</w:t>
      </w:r>
      <w:r>
        <w:rPr>
          <w:rFonts w:ascii="Times New Roman" w:hAnsi="Times New Roman"/>
          <w:noProof/>
          <w:sz w:val="24"/>
        </w:rPr>
        <w:t>).</w:t>
      </w:r>
    </w:p>
    <w:p>
      <w:pPr>
        <w:spacing w:line="240" w:lineRule="auto"/>
        <w:jc w:val="center"/>
        <w:rPr>
          <w:rFonts w:ascii="Times New Roman" w:hAnsi="Times New Roman"/>
          <w:b/>
          <w:smallCaps/>
          <w:noProof/>
          <w:sz w:val="24"/>
          <w:szCs w:val="24"/>
          <w:u w:val="single"/>
        </w:rPr>
      </w:pPr>
      <w:r>
        <w:rPr>
          <w:rFonts w:ascii="Times New Roman" w:hAnsi="Times New Roman"/>
          <w:b/>
          <w:noProof/>
          <w:sz w:val="24"/>
          <w:u w:val="single"/>
        </w:rPr>
        <w:t>ТАБЛИЦА IV — Брой на становищата и на приетите актове/мерки за изпълнение (2014 г.)</w:t>
      </w:r>
    </w:p>
    <w:tbl>
      <w:tblPr>
        <w:tblW w:w="5000" w:type="pct"/>
        <w:tblLook w:val="0000" w:firstRow="0" w:lastRow="0" w:firstColumn="0" w:lastColumn="0" w:noHBand="0" w:noVBand="0"/>
      </w:tblPr>
      <w:tblGrid>
        <w:gridCol w:w="1715"/>
        <w:gridCol w:w="2524"/>
        <w:gridCol w:w="2526"/>
        <w:gridCol w:w="2523"/>
      </w:tblGrid>
      <w:tr>
        <w:trPr>
          <w:trHeight w:val="510"/>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Становища</w:t>
            </w:r>
          </w:p>
        </w:tc>
        <w:tc>
          <w:tcPr>
            <w:tcW w:w="136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актове за изпълнение</w:t>
            </w:r>
          </w:p>
        </w:tc>
        <w:tc>
          <w:tcPr>
            <w:tcW w:w="135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695</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1 889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1 563</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r>
    </w:tbl>
    <w:p>
      <w:pPr>
        <w:spacing w:line="240" w:lineRule="auto"/>
        <w:jc w:val="both"/>
        <w:rPr>
          <w:rFonts w:ascii="Times New Roman" w:hAnsi="Times New Roman"/>
          <w:i/>
          <w:noProof/>
          <w:sz w:val="18"/>
          <w:szCs w:val="18"/>
        </w:rPr>
      </w:pPr>
      <w:r>
        <w:rPr>
          <w:rFonts w:ascii="Times New Roman" w:hAnsi="Times New Roman"/>
          <w:i/>
          <w:noProof/>
          <w:sz w:val="18"/>
        </w:rPr>
        <w:t>* Включително 13 становища, дадени от апелативния комитет, и 2 приети акта.</w:t>
      </w:r>
    </w:p>
    <w:p>
      <w:pPr>
        <w:spacing w:line="240" w:lineRule="auto"/>
        <w:jc w:val="both"/>
        <w:rPr>
          <w:rFonts w:ascii="Times New Roman" w:hAnsi="Times New Roman"/>
          <w:i/>
          <w:noProof/>
          <w:sz w:val="20"/>
          <w:szCs w:val="20"/>
        </w:rPr>
      </w:pPr>
    </w:p>
    <w:p>
      <w:pPr>
        <w:spacing w:line="240" w:lineRule="auto"/>
        <w:jc w:val="both"/>
        <w:rPr>
          <w:rFonts w:ascii="Times New Roman" w:hAnsi="Times New Roman"/>
          <w:i/>
          <w:noProof/>
          <w:sz w:val="24"/>
          <w:szCs w:val="24"/>
        </w:rPr>
      </w:pPr>
    </w:p>
    <w:p>
      <w:pPr>
        <w:spacing w:line="240" w:lineRule="auto"/>
        <w:jc w:val="both"/>
        <w:rPr>
          <w:rFonts w:ascii="Times New Roman" w:hAnsi="Times New Roman"/>
          <w:i/>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Заседания на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През 2014 г. апелативният комитет е заседавал 6 пъти и е разгледал 13 проекта на актове за изпълнение (в областите на здравеопазването и политиката за потребителите, митниците и околната среда), за които е бил сезиран от Комисията. Апелативният комитет не е дал становище по 11 случая, а в 2 случая е дал положително становище. Комисията реши да приеме всички тези актове за изпълнение.</w:t>
      </w:r>
    </w:p>
    <w:p>
      <w:pPr>
        <w:spacing w:after="100" w:line="240" w:lineRule="auto"/>
        <w:jc w:val="both"/>
        <w:rPr>
          <w:rFonts w:ascii="Times New Roman" w:hAnsi="Times New Roman"/>
          <w:b/>
          <w:noProof/>
          <w:sz w:val="24"/>
          <w:szCs w:val="24"/>
        </w:rPr>
      </w:pPr>
      <w:r>
        <w:rPr>
          <w:noProof/>
        </w:rPr>
        <w:br w:type="page"/>
      </w:r>
      <w:r>
        <w:rPr>
          <w:rFonts w:ascii="Times New Roman" w:hAnsi="Times New Roman"/>
          <w:b/>
          <w:noProof/>
          <w:sz w:val="24"/>
        </w:rPr>
        <w:t>2.4</w:t>
      </w:r>
      <w:r>
        <w:rPr>
          <w:noProof/>
        </w:rPr>
        <w:tab/>
      </w:r>
      <w:r>
        <w:rPr>
          <w:rFonts w:ascii="Times New Roman" w:hAnsi="Times New Roman"/>
          <w:b/>
          <w:noProof/>
          <w:sz w:val="24"/>
        </w:rPr>
        <w:t>Използване на процедурата по регулиране с контрол (ПРК)</w:t>
      </w:r>
    </w:p>
    <w:p>
      <w:pPr>
        <w:spacing w:line="240" w:lineRule="auto"/>
        <w:jc w:val="both"/>
        <w:rPr>
          <w:rFonts w:ascii="Times New Roman" w:hAnsi="Times New Roman"/>
          <w:noProof/>
          <w:sz w:val="24"/>
          <w:szCs w:val="24"/>
        </w:rPr>
      </w:pPr>
      <w:r>
        <w:rPr>
          <w:rFonts w:ascii="Times New Roman" w:hAnsi="Times New Roman"/>
          <w:noProof/>
          <w:sz w:val="24"/>
        </w:rPr>
        <w:t xml:space="preserve">Както бе посочено в раздел 1, процедурата по регулиране с контрол не беше засегната от реформата в областта на комитологията от 2011 г. Тази процедура не може повече да се използва в ново законодателство, но все още се среща в множество съществуващи основни актове и ще продължи да се прилага по силата на тези актове до привеждането им в съответствие. През 2014 г. съгласно ПРК бяха приети 165 мерки (вж. </w:t>
      </w:r>
      <w:r>
        <w:rPr>
          <w:rFonts w:ascii="Times New Roman" w:hAnsi="Times New Roman"/>
          <w:noProof/>
          <w:sz w:val="24"/>
          <w:u w:val="single"/>
        </w:rPr>
        <w:t>Таблица V</w:t>
      </w:r>
      <w:r>
        <w:rPr>
          <w:rFonts w:ascii="Times New Roman" w:hAnsi="Times New Roman"/>
          <w:noProof/>
          <w:sz w:val="24"/>
        </w:rPr>
        <w:t>). Правото на вето е било упражнено в един случай (ГД „Здравеопазване и безопасност на храните“). За сравнение, през 2013 г. това право е било упражнено веднъж.</w:t>
      </w:r>
    </w:p>
    <w:p>
      <w:pPr>
        <w:spacing w:after="120" w:line="240" w:lineRule="auto"/>
        <w:jc w:val="center"/>
        <w:rPr>
          <w:rFonts w:ascii="Times New Roman" w:hAnsi="Times New Roman"/>
          <w:b/>
          <w:smallCaps/>
          <w:noProof/>
          <w:sz w:val="24"/>
          <w:szCs w:val="24"/>
          <w:u w:val="single"/>
        </w:rPr>
      </w:pPr>
      <w:r>
        <w:rPr>
          <w:rFonts w:ascii="Times New Roman" w:hAnsi="Times New Roman"/>
          <w:b/>
          <w:noProof/>
          <w:sz w:val="24"/>
          <w:u w:val="single"/>
        </w:rPr>
        <w:t>ТАБЛИЦА V — Брой на мерките, приети съгласно процедурата по регулиране с контрол (ПРК) (2014 г.)</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Противопоставяне от страна на ЕП на приемането на проекти на мерки по реда на ПРК</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Противопоставяне от страна на Съвета на приемането на проекти на мерки по реда на ПРК</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r>
    </w:tbl>
    <w:p>
      <w:pPr>
        <w:spacing w:line="240" w:lineRule="auto"/>
        <w:jc w:val="both"/>
        <w:rPr>
          <w:rFonts w:ascii="Times New Roman" w:hAnsi="Times New Roman"/>
          <w:b/>
          <w:noProof/>
          <w:sz w:val="12"/>
          <w:szCs w:val="12"/>
        </w:rPr>
      </w:pPr>
      <w:r>
        <w:rPr>
          <w:rFonts w:ascii="Times New Roman" w:hAnsi="Times New Roman"/>
          <w:b/>
          <w:noProof/>
          <w:sz w:val="12"/>
          <w:szCs w:val="12"/>
        </w:rPr>
        <w:br/>
      </w:r>
    </w:p>
    <w:p>
      <w:pPr>
        <w:spacing w:after="100"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Подробна информация за дейностите на комитетите</w:t>
      </w:r>
    </w:p>
    <w:p>
      <w:pPr>
        <w:spacing w:line="240" w:lineRule="auto"/>
        <w:jc w:val="both"/>
        <w:rPr>
          <w:rFonts w:ascii="Times New Roman" w:hAnsi="Times New Roman"/>
          <w:noProof/>
          <w:sz w:val="24"/>
          <w:szCs w:val="24"/>
        </w:rPr>
      </w:pPr>
      <w:r>
        <w:rPr>
          <w:rFonts w:ascii="Times New Roman" w:hAnsi="Times New Roman"/>
          <w:noProof/>
          <w:sz w:val="24"/>
        </w:rPr>
        <w:t>В работния документ, придружаващ настоящия доклад, е представена подробна информация за работата на отделните комитети през 2014 г., с разбивка въз основа на съответните заинтересовани дирекции на Комисията.</w:t>
      </w:r>
      <w:bookmarkStart w:id="8" w:name="_CopyToNewDocument_"/>
      <w:bookmarkEnd w:id="8"/>
    </w:p>
    <w:p>
      <w:pPr>
        <w:spacing w:line="240" w:lineRule="auto"/>
        <w:jc w:val="both"/>
        <w:rPr>
          <w:rFonts w:ascii="Times New Roman" w:hAnsi="Times New Roman"/>
          <w:noProof/>
          <w:sz w:val="10"/>
          <w:szCs w:val="1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ОВ L 55, 28.2.2011 г., стр. 13.</w:t>
      </w:r>
    </w:p>
  </w:footnote>
  <w:footnote w:id="2">
    <w:p>
      <w:pPr>
        <w:pStyle w:val="FootnoteText"/>
      </w:pPr>
      <w:r>
        <w:rPr>
          <w:rStyle w:val="FootnoteReference"/>
        </w:rPr>
        <w:footnoteRef/>
      </w:r>
      <w:r>
        <w:tab/>
        <w:t>Доклад на Комисията за работата на комитетите през 2013 г., COM(2014)572 final.</w:t>
      </w:r>
    </w:p>
  </w:footnote>
  <w:footnote w:id="3">
    <w:p>
      <w:pPr>
        <w:pStyle w:val="FootnoteText"/>
      </w:pPr>
      <w:r>
        <w:rPr>
          <w:rStyle w:val="FootnoteReference"/>
        </w:rPr>
        <w:footnoteRef/>
      </w:r>
      <w:r>
        <w:tab/>
        <w:t>Решение 1999/468/ЕО на Съвета от 28 юни 1999 г. (ОВ L 184, 17.7.1999 г., стр. 23), изменено с Решение 2006/512/ЕО на Съвета (ОВ C 255, 21.10.2006 г., стр. 4).</w:t>
      </w:r>
    </w:p>
  </w:footnote>
  <w:footnote w:id="4">
    <w:p>
      <w:pPr>
        <w:pStyle w:val="FootnoteText"/>
      </w:pPr>
      <w:r>
        <w:rPr>
          <w:rStyle w:val="FootnoteReference"/>
        </w:rPr>
        <w:footnoteRef/>
      </w:r>
      <w:r>
        <w:tab/>
        <w:t>Това изявление беше публикувано в Официален вестник заедно с Регламент (ЕС) № 182/2011 (ОВ L 55, 28.2.2011 г., стр. 19).</w:t>
      </w:r>
    </w:p>
  </w:footnote>
  <w:footnote w:id="5">
    <w:p>
      <w:pPr>
        <w:pStyle w:val="FootnoteText"/>
      </w:pPr>
      <w:r>
        <w:rPr>
          <w:rStyle w:val="FootnoteReference"/>
        </w:rPr>
        <w:footnoteRef/>
      </w:r>
      <w:r>
        <w:tab/>
        <w:t>COM(2013) 451, 452 и 751.</w:t>
      </w:r>
    </w:p>
  </w:footnote>
  <w:footnote w:id="6">
    <w:p>
      <w:pPr>
        <w:pStyle w:val="FootnoteText"/>
      </w:pPr>
      <w:r>
        <w:rPr>
          <w:rStyle w:val="FootnoteReference"/>
        </w:rPr>
        <w:footnoteRef/>
      </w:r>
      <w:r>
        <w:t xml:space="preserve"> </w:t>
      </w:r>
      <w:r>
        <w:tab/>
        <w:t>ОВ C 8</w:t>
      </w:r>
      <w:r>
        <w:rPr>
          <w:lang w:val="pt-PT"/>
        </w:rPr>
        <w:t>0</w:t>
      </w:r>
      <w:r>
        <w:t>, 7.3.2015 г., стр. 17.</w:t>
      </w:r>
    </w:p>
  </w:footnote>
  <w:footnote w:id="7">
    <w:p>
      <w:pPr>
        <w:pStyle w:val="FootnoteText"/>
      </w:pPr>
      <w:r>
        <w:rPr>
          <w:rStyle w:val="FootnoteReference"/>
        </w:rPr>
        <w:footnoteRef/>
      </w:r>
      <w:r>
        <w:tab/>
        <w:t xml:space="preserve">За повече подробности: </w:t>
      </w:r>
      <w:hyperlink r:id="rId1">
        <w:r>
          <w:rPr>
            <w:rStyle w:val="Hyperlink"/>
          </w:rPr>
          <w:t>http://ec.europa.eu/transparency/regexpert/index.cfm?Lang=BG</w:t>
        </w:r>
      </w:hyperlink>
      <w:r>
        <w:t xml:space="preserve"> </w:t>
      </w:r>
    </w:p>
  </w:footnote>
  <w:footnote w:id="8">
    <w:p>
      <w:pPr>
        <w:pStyle w:val="FootnoteText"/>
      </w:pPr>
      <w:r>
        <w:rPr>
          <w:rStyle w:val="FootnoteReference"/>
        </w:rPr>
        <w:footnoteRef/>
      </w:r>
      <w:r>
        <w:tab/>
        <w:t>Гласуването в рамките на комитета може да стане на негово редовно заседание или, в надлежно обосновани случаи, по реда на писмена процедура, в съответствие с член 3, параграф 5 от Регламента относно комитологията.</w:t>
      </w:r>
    </w:p>
  </w:footnote>
  <w:footnote w:id="9">
    <w:p>
      <w:pPr>
        <w:pStyle w:val="FootnoteText"/>
      </w:pPr>
      <w:r>
        <w:rPr>
          <w:rStyle w:val="FootnoteReference"/>
        </w:rPr>
        <w:footnoteRef/>
      </w:r>
      <w:r>
        <w:tab/>
        <w:t>Следва да се отбележи, че е възможно да има несъответствия между броя на становищата и този на актовете/мерките за изпълнение през дадена година. Причините за това са обяснени във въведението на придружаващия доклада работен документ на службите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C984A48BB624CCEACA9A54D8D71D6F7"/>
    <w:docVar w:name="LW_CROSSREFERENCE" w:val="{SWD(2015) 165 final}"/>
    <w:docVar w:name="LW_DocType" w:val="NORMAL"/>
    <w:docVar w:name="LW_EMISSION" w:val="3.9.2015"/>
    <w:docVar w:name="LW_EMISSION_ISODATE" w:val="2015-09-03"/>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18"/>
    <w:docVar w:name="LW_REF.INTERNE" w:val="&lt;UNUSED&gt;"/>
    <w:docVar w:name="LW_SOUS.TITRE.OBJ.CP" w:val="&lt;UNUSED&gt;"/>
    <w:docVar w:name="LW_SUPERTITRE" w:val="&lt;UNUSED&gt;"/>
    <w:docVar w:name="LW_TITRE.OBJ.CP" w:val="\u1079?\u1072? \u1088?\u1072?\u1073?\u1086?\u1090?\u1072?\u1090?\u1072? \u1085?\u1072? \u1082?\u1086?\u1084?\u1080?\u1090?\u1077?\u1090?\u1080?\u1090?\u1077? \u1087?\u1088?\u1077?\u1079? 2014 \u1075?\u1086?\u1076?\u1080?\u1085?\u1072?"/>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semiHidden/>
    <w:rPr>
      <w:rFonts w:ascii="Times New Roman" w:eastAsia="Times New Roman" w:hAnsi="Times New Roman"/>
      <w:b/>
      <w:bCs/>
      <w:iCs/>
      <w:sz w:val="24"/>
      <w:szCs w:val="28"/>
      <w:lang w:eastAsia="bg-BG"/>
    </w:rPr>
  </w:style>
  <w:style w:type="character" w:customStyle="1" w:styleId="Heading3Char">
    <w:name w:val="Heading 3 Char"/>
    <w:link w:val="Heading3"/>
    <w:semiHidden/>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bg-BG"/>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expert/index.cfm?Lan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18AC-B8A0-4BDB-8C32-A4B05C9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2009</Words>
  <Characters>9065</Characters>
  <Application>Microsoft Office Word</Application>
  <DocSecurity>0</DocSecurity>
  <Lines>906</Lines>
  <Paragraphs>851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10223</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31</cp:revision>
  <cp:lastPrinted>2015-06-24T07:49:00Z</cp:lastPrinted>
  <dcterms:created xsi:type="dcterms:W3CDTF">2015-07-27T13:40:00Z</dcterms:created>
  <dcterms:modified xsi:type="dcterms:W3CDTF">2015-08-25T14:00:00Z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