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FE00B1DE9C46A39CED3B54CEB57B83" style="width:450.7pt;height:3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b/>
          <w:noProof/>
        </w:rPr>
      </w:pPr>
      <w:r>
        <w:rPr>
          <w:b/>
          <w:noProof/>
        </w:rPr>
        <w:t>•</w:t>
      </w:r>
      <w:r>
        <w:rPr>
          <w:noProof/>
        </w:rPr>
        <w:tab/>
      </w:r>
      <w:r>
        <w:rPr>
          <w:b/>
          <w:noProof/>
        </w:rPr>
        <w:t>Motivation et objectifs de la proposition</w:t>
      </w:r>
    </w:p>
    <w:p>
      <w:pPr>
        <w:rPr>
          <w:noProof/>
        </w:rPr>
      </w:pPr>
      <w:r>
        <w:rPr>
          <w:noProof/>
        </w:rPr>
        <w:t>À la suite des arrêts de la Cour de justice dans les affaires dites de «ciel ouvert», le Conseil a, le 5 juin 2003, autorisé la Commission à ouvrir des négociations avec les pays tiers en vue de remplacer certaines dispositions des accords existants par un accord au niveau de l’Union (l'«habilitation horizontale»). Ces accords ont pour objet de permettre à tous les transporteurs aériens de l'Union européenne d'accéder sans discrimination aux liaisons aériennes entre l'Union européenne et les pays tiers et de mettre les accords bilatéraux relatifs aux services aériens conclus entre les États membres et les pays tiers en conformité avec le droit de l'Union.</w:t>
      </w:r>
    </w:p>
    <w:p>
      <w:pPr>
        <w:rPr>
          <w:b/>
          <w:noProof/>
        </w:rPr>
      </w:pPr>
      <w:r>
        <w:rPr>
          <w:b/>
          <w:noProof/>
        </w:rPr>
        <w:t>•</w:t>
      </w:r>
      <w:r>
        <w:rPr>
          <w:noProof/>
        </w:rPr>
        <w:tab/>
      </w:r>
      <w:r>
        <w:rPr>
          <w:b/>
          <w:noProof/>
        </w:rPr>
        <w:t>Contexte général</w:t>
      </w:r>
    </w:p>
    <w:p>
      <w:pPr>
        <w:rPr>
          <w:noProof/>
        </w:rPr>
      </w:pPr>
      <w:r>
        <w:rPr>
          <w:noProof/>
        </w:rPr>
        <w:t>Les relations internationales dans le domaine du transport aérien entre les États membres et les pays tiers étaient régies jusqu'à présent par des accords bilatéraux relatifs aux services aériens et par leurs annexes ou par d'autres arrangements bilatéraux et multilatéraux connexes.</w:t>
      </w:r>
    </w:p>
    <w:p>
      <w:pPr>
        <w:rPr>
          <w:noProof/>
        </w:rPr>
      </w:pPr>
      <w:r>
        <w:rPr>
          <w:noProof/>
        </w:rPr>
        <w:t>Les clauses de désignation traditionnelles figurant dans les accords bilatéraux des États membres relatifs aux services aériens sont contraires au droit de l'Union. Elles permettent à un pays tiers de rejeter, de retirer ou de suspendre les permis ou autorisations d'un transporteur aérien qui a été désigné par un État membre, mais dont la propriété et le contrôle effectif n'appartiennent pas pour l'essentiel à cet État membre ou à ses ressortissants. Il a été constaté que cela constituait une discrimination envers les transporteurs aériens de l'Union européenne qui sont établis sur le territoire d’un État membre, mais qui sont détenus et contrôlés par des ressortissants d’autres États membres. Il s'agit d'une violation de l'article 49 du traité sur le fonctionnement de l'Union européenne, qui garantit aux ressortissants des États membres ayant exercé leur liberté d'établissement le même traitement dans l'État membre d'accueil que celui accordé aux ressortissants de cet État membre.</w:t>
      </w:r>
    </w:p>
    <w:p>
      <w:pPr>
        <w:rPr>
          <w:b/>
          <w:noProof/>
        </w:rPr>
      </w:pPr>
      <w:r>
        <w:rPr>
          <w:b/>
          <w:noProof/>
        </w:rPr>
        <w:t>•</w:t>
      </w:r>
      <w:r>
        <w:rPr>
          <w:noProof/>
        </w:rPr>
        <w:tab/>
      </w:r>
      <w:r>
        <w:rPr>
          <w:b/>
          <w:noProof/>
        </w:rPr>
        <w:t>Dispositions en vigueur dans le domaine de la proposition</w:t>
      </w:r>
    </w:p>
    <w:p>
      <w:pPr>
        <w:rPr>
          <w:noProof/>
        </w:rPr>
      </w:pPr>
      <w:r>
        <w:rPr>
          <w:noProof/>
        </w:rPr>
        <w:t>Les dispositions de l’accord prévalent sur les dispositions actuelles des accords bilatéraux relatifs aux services aériens existant entre huit États membres et la République populaire du Bangladesh, ou les complètent.</w:t>
      </w:r>
    </w:p>
    <w:p>
      <w:pPr>
        <w:rPr>
          <w:b/>
          <w:noProof/>
        </w:rPr>
      </w:pPr>
      <w:r>
        <w:rPr>
          <w:b/>
          <w:noProof/>
        </w:rPr>
        <w:t>•</w:t>
      </w:r>
      <w:r>
        <w:rPr>
          <w:noProof/>
        </w:rPr>
        <w:tab/>
      </w:r>
      <w:r>
        <w:rPr>
          <w:b/>
          <w:noProof/>
        </w:rPr>
        <w:t>Cohérence avec les autres politiques et objectifs de l'Union</w:t>
      </w:r>
    </w:p>
    <w:p>
      <w:pPr>
        <w:rPr>
          <w:noProof/>
        </w:rPr>
      </w:pPr>
      <w:r>
        <w:rPr>
          <w:noProof/>
        </w:rPr>
        <w:t>L'accord répondra à un objectif essentiel de la politique extérieure de l'Union dans le domaine de l'aviation en mettant les accords bilatéraux existants relatifs aux services aériens en conformité avec le droit de l'Union.</w:t>
      </w:r>
    </w:p>
    <w:p>
      <w:pPr>
        <w:pStyle w:val="ManualHeading1"/>
        <w:rPr>
          <w:noProof/>
        </w:rPr>
      </w:pPr>
      <w:r>
        <w:rPr>
          <w:noProof/>
        </w:rPr>
        <w:t>2.</w:t>
      </w:r>
      <w:r>
        <w:rPr>
          <w:noProof/>
        </w:rPr>
        <w:tab/>
        <w:t>CONSULTATION DES PARTIES INTÉRESSÉES</w:t>
      </w:r>
    </w:p>
    <w:p>
      <w:pPr>
        <w:spacing w:before="0"/>
        <w:rPr>
          <w:i/>
          <w:noProof/>
          <w:u w:val="single"/>
        </w:rPr>
      </w:pPr>
      <w:r>
        <w:rPr>
          <w:i/>
          <w:noProof/>
          <w:u w:val="single"/>
        </w:rPr>
        <w:t>Méthodes de consultation utilisées, principaux secteurs visés et profil général des participants</w:t>
      </w:r>
    </w:p>
    <w:p>
      <w:pPr>
        <w:spacing w:before="0"/>
        <w:rPr>
          <w:noProof/>
        </w:rPr>
      </w:pPr>
      <w:r>
        <w:rPr>
          <w:noProof/>
        </w:rPr>
        <w:t xml:space="preserve">Conformément à l’article 218, paragraphe 4, du TFUE, la Commission a mené les négociations en consultation avec un comité spécial. Les acteurs du secteur ont également été consultés lors des négociations. </w:t>
      </w:r>
    </w:p>
    <w:p>
      <w:pPr>
        <w:spacing w:before="0"/>
        <w:rPr>
          <w:i/>
          <w:noProof/>
          <w:u w:val="single"/>
        </w:rPr>
      </w:pPr>
      <w:r>
        <w:rPr>
          <w:i/>
          <w:noProof/>
          <w:u w:val="single"/>
        </w:rPr>
        <w:t>Synthèse des réponses reçues et de la façon dont elles ont été prises en compte</w:t>
      </w:r>
    </w:p>
    <w:p>
      <w:pPr>
        <w:rPr>
          <w:noProof/>
        </w:rPr>
      </w:pPr>
      <w:r>
        <w:rPr>
          <w:noProof/>
        </w:rPr>
        <w:t xml:space="preserve">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        </w:t>
      </w:r>
    </w:p>
    <w:p>
      <w:pPr>
        <w:pStyle w:val="ManualHeading1"/>
        <w:rPr>
          <w:noProof/>
        </w:rPr>
      </w:pPr>
      <w:r>
        <w:rPr>
          <w:noProof/>
        </w:rPr>
        <w:t>3.</w:t>
      </w:r>
      <w:r>
        <w:rPr>
          <w:noProof/>
        </w:rPr>
        <w:tab/>
        <w:t>ÉLÉMENTS JURIDIQUES DE LA PROPOSITION</w:t>
      </w:r>
    </w:p>
    <w:p>
      <w:pPr>
        <w:rPr>
          <w:b/>
          <w:noProof/>
        </w:rPr>
      </w:pPr>
      <w:r>
        <w:rPr>
          <w:b/>
          <w:noProof/>
        </w:rPr>
        <w:t>•</w:t>
      </w:r>
      <w:r>
        <w:rPr>
          <w:noProof/>
        </w:rPr>
        <w:tab/>
      </w:r>
      <w:r>
        <w:rPr>
          <w:b/>
          <w:noProof/>
        </w:rPr>
        <w:t>Résumé des mesures proposées</w:t>
      </w:r>
    </w:p>
    <w:p>
      <w:pPr>
        <w:rPr>
          <w:noProof/>
        </w:rPr>
      </w:pPr>
      <w:r>
        <w:rPr>
          <w:noProof/>
        </w:rPr>
        <w:t>Conformément aux mécanismes et lignes directrices prévus dans l'annexe de l'«habilitation horizontale», la Commission a négocié avec la République populaire du Bangladesh un accord qui remplace certaines dispositions des accords bilatéraux existants relatifs aux services aériens conclus entre les États membres et la République populaire du Bangladesh. L'article 2 de l'accord remplace les clauses de désignation traditionnelles par une clause de désignation de l'Union qui permet à tous les transporteurs de l'Union européenne de bénéficier du droit d'établissement. L'article 5 résout les conflits potentiels avec les règles de l'Union en matière de concurrence.</w:t>
      </w:r>
    </w:p>
    <w:p>
      <w:pPr>
        <w:rPr>
          <w:noProof/>
        </w:rPr>
      </w:pPr>
      <w:r>
        <w:rPr>
          <w:noProof/>
        </w:rPr>
        <w:t>Une fois l’accord signé, il convient de le conclure. La présente proposition contient une décision à cet effet.</w:t>
      </w:r>
    </w:p>
    <w:p>
      <w:pPr>
        <w:rPr>
          <w:b/>
          <w:noProof/>
        </w:rPr>
      </w:pPr>
      <w:r>
        <w:rPr>
          <w:b/>
          <w:noProof/>
        </w:rPr>
        <w:t>•</w:t>
      </w:r>
      <w:r>
        <w:rPr>
          <w:noProof/>
        </w:rPr>
        <w:tab/>
      </w:r>
      <w:r>
        <w:rPr>
          <w:b/>
          <w:noProof/>
        </w:rPr>
        <w:t>Base juridique</w:t>
      </w:r>
    </w:p>
    <w:p>
      <w:pPr>
        <w:rPr>
          <w:noProof/>
        </w:rPr>
      </w:pPr>
      <w:r>
        <w:rPr>
          <w:noProof/>
        </w:rPr>
        <w:t>Article 100, paragraphe 2, et article 218, paragraphe 6, point a), du traité sur le fonctionnement de l'Union européenne.</w:t>
      </w:r>
    </w:p>
    <w:p>
      <w:pPr>
        <w:rPr>
          <w:b/>
          <w:noProof/>
        </w:rPr>
      </w:pPr>
      <w:r>
        <w:rPr>
          <w:b/>
          <w:noProof/>
        </w:rPr>
        <w:t>•</w:t>
      </w:r>
      <w:r>
        <w:rPr>
          <w:noProof/>
        </w:rPr>
        <w:tab/>
      </w:r>
      <w:r>
        <w:rPr>
          <w:b/>
          <w:noProof/>
        </w:rPr>
        <w:t>Choix des instruments</w:t>
      </w:r>
    </w:p>
    <w:p>
      <w:pPr>
        <w:rPr>
          <w:noProof/>
        </w:rPr>
      </w:pPr>
      <w:r>
        <w:rPr>
          <w:noProof/>
        </w:rPr>
        <w:t>Un accord entre l'Union et la République populaire du Bangladesh est l’instrument le plus efficace pour mettre tous les accords bilatéraux relatifs aux services aériens existant entre les États membres et la République populaire du Bangladesh en conformité avec le droit de l'Union.</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le gouvernement de la République populaire du Bangladesh sur certains aspects des services aériens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du Conseil …/…/UE</w:t>
      </w:r>
      <w:r>
        <w:rPr>
          <w:rStyle w:val="FootnoteReference"/>
          <w:noProof/>
        </w:rPr>
        <w:footnoteReference w:id="1"/>
      </w:r>
      <w:r>
        <w:rPr>
          <w:noProof/>
        </w:rPr>
        <w:t>, l'accord entre l'Union européenne et le gouvernement de la République populaire du Bangladesh sur certains aspects des services aériens (ci-après l'«accord») a été signé, sous réserve de sa conclusion à une date ultérieure.</w:t>
      </w:r>
    </w:p>
    <w:p>
      <w:pPr>
        <w:pStyle w:val="ManualConsidrant"/>
        <w:rPr>
          <w:noProof/>
        </w:rPr>
      </w:pPr>
      <w:r>
        <w:t>(2)</w:t>
      </w:r>
      <w:r>
        <w:tab/>
      </w:r>
      <w:r>
        <w:rPr>
          <w:noProof/>
        </w:rPr>
        <w:t>Cet accord a pour objet de mettre les accords bilatéraux relatifs aux services aériens existant entre 8 États membres et la République populaire du Bangladesh en conformité avec le droit de l'Union.</w:t>
      </w:r>
    </w:p>
    <w:p>
      <w:pPr>
        <w:pStyle w:val="ManualConsidrant"/>
        <w:rPr>
          <w:noProof/>
        </w:rPr>
      </w:pPr>
      <w:r>
        <w:t>(3)</w:t>
      </w:r>
      <w:r>
        <w:tab/>
      </w:r>
      <w:r>
        <w:rPr>
          <w:noProof/>
        </w:rPr>
        <w:t>Il convient d’approuver l’accord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le gouvernement de la République populaire du Bangladesh sur certains aspects des services aériens (ci-après l'«accord») est approuvé au nom de l'Union.</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président du Conseil désigne la personne habilitée à procéder, au nom de l'Union, à la notification prévue à l'article 8, paragraphe 1, de l'accord, à l'effet d'exprimer le consentement de l'Union européenne à être liée par l'accord.</w:t>
      </w:r>
    </w:p>
    <w:p>
      <w:pPr>
        <w:pStyle w:val="Titrearticle"/>
        <w:rPr>
          <w:noProof/>
        </w:rPr>
      </w:pPr>
      <w:r>
        <w:rPr>
          <w:noProof/>
        </w:rPr>
        <w:t>Article 3</w:t>
      </w:r>
    </w:p>
    <w:p>
      <w:pPr>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5:0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4FE00B1DE9C46A39CED3B54CEB57B83"/>
    <w:docVar w:name="LW_CROSSREFERENCE" w:val="&lt;UNUSED&gt;"/>
    <w:docVar w:name="LW_DocType" w:val="COM"/>
    <w:docVar w:name="LW_EMISSION" w:val="7.9.2015"/>
    <w:docVar w:name="LW_EMISSION_ISODATE" w:val="2015-09-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8"/>
    <w:docVar w:name="LW_REF.II.NEW.CP_YEAR" w:val="2015"/>
    <w:docVar w:name="LW_REF.INST.NEW" w:val="COM"/>
    <w:docVar w:name="LW_REF.INST.NEW_ADOPTED" w:val="final"/>
    <w:docVar w:name="LW_REF.INST.NEW_TEXT" w:val="(2015) 423"/>
    <w:docVar w:name="LW_REF.INTERNE" w:val="&lt;UNUSED&gt;"/>
    <w:docVar w:name="LW_SOUS.TITRE.OBJ.CP" w:val="&lt;UNUSED&gt;"/>
    <w:docVar w:name="LW_STATUT.CP" w:val="Proposition de"/>
    <w:docVar w:name="LW_SUPERTITRE" w:val="&lt;UNUSED&gt;"/>
    <w:docVar w:name="LW_TITRE.OBJ.CP" w:val="relative à la conclusion de l'accord entre l'Union européenne et le gouvernement de la République populaire du Bangladesh sur certains aspects des services aérie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975</Words>
  <Characters>5505</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2015-06-18T09:09:00Z</cp:lastPrinted>
  <dcterms:created xsi:type="dcterms:W3CDTF">2015-07-14T08:08:00Z</dcterms:created>
  <dcterms:modified xsi:type="dcterms:W3CDTF">2015-08-28T13:04:00Z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