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2902192D16D43F9B59D91632405A4F8" style="width:450.8pt;height:365.6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noProof/>
        </w:rPr>
      </w:pPr>
      <w:r>
        <w:rPr>
          <w:noProof/>
        </w:rPr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Конвенцията за общ транзитен режим („Конвенцията“) беше сключена на 20 май 1987 г. между Европейската общност и страните от ЕАСТ.</w:t>
      </w:r>
    </w:p>
    <w:p>
      <w:pPr>
        <w:rPr>
          <w:noProof/>
        </w:rPr>
      </w:pPr>
      <w:r>
        <w:rPr>
          <w:noProof/>
        </w:rPr>
        <w:t>Присъединяването на Република Сърбия към Конвенцията включва въвеждането на нови езикови препратки, засягащи тази страна, в текста на Конвенцията. Освен това съответно трябва да се променят документите за гаранция, в които се упоменават договарящите се страни по Конвенцията.</w:t>
      </w:r>
    </w:p>
    <w:p>
      <w:pPr>
        <w:rPr>
          <w:noProof/>
        </w:rPr>
      </w:pPr>
      <w:r>
        <w:rPr>
          <w:noProof/>
        </w:rPr>
        <w:t xml:space="preserve">Целта е да се приеме общата позиция на ЕС относно проекта на Решение № .../2015 на Съвместния комитет ЕС—ЕАСТ по общия транзитен режим за изменение на Конвенцията. </w:t>
      </w:r>
    </w:p>
    <w:p>
      <w:pPr>
        <w:pStyle w:val="ManualHeading2"/>
        <w:rPr>
          <w:noProof/>
        </w:rPr>
      </w:pPr>
      <w:r>
        <w:rPr>
          <w:noProof/>
        </w:rPr>
        <w:t>Съгласуваност със съществуващите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Не съществуват разпоредби в областта на настоящото предложение.</w:t>
      </w:r>
    </w:p>
    <w:p>
      <w:pPr>
        <w:pStyle w:val="ManualHeading2"/>
        <w:rPr>
          <w:noProof/>
        </w:rPr>
      </w:pPr>
      <w:r>
        <w:rPr>
          <w:noProof/>
        </w:rPr>
        <w:t>Съгласуваност с другите политики на Съюза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noProof/>
        </w:rPr>
      </w:pPr>
      <w:r>
        <w:rPr>
          <w:noProof/>
        </w:rPr>
        <w:t>Правно основание</w:t>
      </w:r>
    </w:p>
    <w:p>
      <w:pPr>
        <w:rPr>
          <w:noProof/>
        </w:rPr>
      </w:pPr>
      <w:r>
        <w:rPr>
          <w:noProof/>
        </w:rPr>
        <w:t>Член 15 от Конвенцията от 20 май 1987 г. за общ транзитен режим.</w:t>
      </w:r>
    </w:p>
    <w:p>
      <w:pPr>
        <w:rPr>
          <w:noProof/>
        </w:rPr>
      </w:pPr>
      <w:r>
        <w:rPr>
          <w:noProof/>
        </w:rPr>
        <w:t>С Конвенцията се установяват мерки за улесняване на движението на стоки между Европейския съюз, Република Исландия, бившата югославска република Македония, Кралство Норвегия, Конфедерация Швейцария и Република Турция.</w:t>
      </w:r>
    </w:p>
    <w:p>
      <w:pPr>
        <w:rPr>
          <w:noProof/>
        </w:rPr>
      </w:pPr>
      <w:r>
        <w:rPr>
          <w:noProof/>
        </w:rPr>
        <w:t>Република Сърбия желае да се присъедини към Конвенцията и е изпълнила правните и структурните изисквания, както и изискванията по отношение на информационните технологии, които са предварителни условия за присъединяването.</w:t>
      </w:r>
    </w:p>
    <w:p>
      <w:pPr>
        <w:rPr>
          <w:noProof/>
        </w:rPr>
      </w:pPr>
      <w:r>
        <w:rPr>
          <w:noProof/>
        </w:rPr>
        <w:t>След като Република Сърбия е изпълнила тези предварителни условия, поканена е да се присъедини и е депозирала своя инструмент за присъединяване, е необходимо Конвенцията да бъде изменена чрез въвеждане на нови езикови препратки на сръбски език и съответно адаптиране на документите за гаранция. Тези изменения трябва да бъдат въведени и прилагани от първия ден, в който Република Сърбия започне да използва общата транзитна система.</w:t>
      </w:r>
    </w:p>
    <w:p>
      <w:pPr>
        <w:rPr>
          <w:noProof/>
        </w:rPr>
      </w:pPr>
      <w:r>
        <w:rPr>
          <w:noProof/>
        </w:rPr>
        <w:t>Настоящият проект на решение е получил предварително одобрение от Комитета по Митническия кодекс — секция „Митнически статус и транзит“, и от работната група на ЕС—ЕАСТ по общия транзитен режим.</w:t>
      </w:r>
    </w:p>
    <w:p>
      <w:pPr>
        <w:rPr>
          <w:noProof/>
        </w:rPr>
      </w:pPr>
      <w:r>
        <w:rPr>
          <w:noProof/>
        </w:rPr>
        <w:t>Комисията се приканва да одобри настоящия проект на решение чрез писмена процедура, с цел той да бъде представен на Съвета за определяне на обща позиция за окончателното му приемане от Съвместния комитет на ЕС—ЕАСТ по общия транзитен режим.</w:t>
      </w:r>
    </w:p>
    <w:p>
      <w:pPr>
        <w:pStyle w:val="ManualHeading2"/>
        <w:rPr>
          <w:noProof/>
        </w:rPr>
      </w:pPr>
      <w:r>
        <w:rPr>
          <w:noProof/>
        </w:rPr>
        <w:t>Пропорционалност</w:t>
      </w:r>
    </w:p>
    <w:p>
      <w:pPr>
        <w:rPr>
          <w:noProof/>
        </w:rPr>
      </w:pPr>
      <w:r>
        <w:rPr>
          <w:noProof/>
        </w:rPr>
        <w:t>Предложението е в съответствие с принципа на пропорционалност поради следните причини:</w:t>
      </w:r>
    </w:p>
    <w:p>
      <w:pPr>
        <w:rPr>
          <w:noProof/>
        </w:rPr>
      </w:pPr>
      <w:r>
        <w:rPr>
          <w:noProof/>
        </w:rPr>
        <w:tab/>
        <w:t>формата на предлаганото действие е единствената възможна.</w:t>
      </w:r>
    </w:p>
    <w:p>
      <w:pPr>
        <w:rPr>
          <w:noProof/>
        </w:rPr>
      </w:pPr>
      <w:r>
        <w:rPr>
          <w:noProof/>
        </w:rPr>
        <w:tab/>
        <w:t>Формата на предлаганото действие не е обвързана с финансови разходи.</w:t>
      </w:r>
    </w:p>
    <w:p>
      <w:pPr>
        <w:pStyle w:val="ManualHeading2"/>
        <w:rPr>
          <w:noProof/>
        </w:rPr>
      </w:pPr>
      <w:r>
        <w:rPr>
          <w:noProof/>
        </w:rPr>
        <w:t>Избор на инструмент</w:t>
      </w:r>
    </w:p>
    <w:p>
      <w:pPr>
        <w:rPr>
          <w:noProof/>
        </w:rPr>
      </w:pPr>
      <w:r>
        <w:rPr>
          <w:noProof/>
        </w:rPr>
        <w:t>Предлагани инструменти: решение.</w:t>
      </w:r>
    </w:p>
    <w:p>
      <w:pPr>
        <w:rPr>
          <w:noProof/>
        </w:rPr>
      </w:pPr>
      <w:r>
        <w:rPr>
          <w:noProof/>
        </w:rPr>
        <w:t>Няма друг подходящ инструмент.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ManualHeading2"/>
        <w:rPr>
          <w:noProof/>
        </w:rPr>
      </w:pPr>
      <w:r>
        <w:rPr>
          <w:noProof/>
        </w:rPr>
        <w:t>Провеждане на консултации със заинтересованите страни</w:t>
      </w:r>
    </w:p>
    <w:p>
      <w:pPr>
        <w:rPr>
          <w:noProof/>
        </w:rPr>
      </w:pPr>
      <w:r>
        <w:rPr>
          <w:noProof/>
        </w:rPr>
        <w:t>Консултация с одобрение относно проекта на Решение № .../2015 на Съвместния комитет ЕС—ЕАСТ по общия транзитен режим за изменение на Конвенцията беше проведена с държавите членки в рамките на Комитета по Митническия кодекс — секция „Митнически статус и транзит“, и с договарящите се страни по Конвенцията в рамките на работната група на ЕС—ЕАСТ по общия транзитен режим.</w:t>
      </w:r>
    </w:p>
    <w:p>
      <w:pPr>
        <w:rPr>
          <w:noProof/>
        </w:rPr>
      </w:pPr>
      <w:r>
        <w:rPr>
          <w:noProof/>
        </w:rPr>
        <w:t>Обобщение на отговорите и на начина, по който са взети предвид:</w:t>
      </w:r>
    </w:p>
    <w:p>
      <w:pPr>
        <w:rPr>
          <w:noProof/>
        </w:rPr>
      </w:pPr>
      <w:r>
        <w:rPr>
          <w:noProof/>
        </w:rPr>
        <w:t>положително становище.</w:t>
      </w:r>
    </w:p>
    <w:p>
      <w:pPr>
        <w:pStyle w:val="ManualHeading2"/>
        <w:rPr>
          <w:noProof/>
        </w:rPr>
      </w:pPr>
      <w:r>
        <w:rPr>
          <w:noProof/>
        </w:rPr>
        <w:t>Събиране и използване на експертни становища</w:t>
      </w:r>
    </w:p>
    <w:p>
      <w:pPr>
        <w:rPr>
          <w:noProof/>
        </w:rPr>
      </w:pPr>
      <w:r>
        <w:rPr>
          <w:noProof/>
        </w:rPr>
        <w:t>Не бяха необходими външни експертни становища.</w:t>
      </w:r>
    </w:p>
    <w:p>
      <w:pPr>
        <w:pStyle w:val="ManualHeading2"/>
        <w:rPr>
          <w:noProof/>
        </w:rPr>
      </w:pPr>
      <w:r>
        <w:rPr>
          <w:noProof/>
        </w:rPr>
        <w:t>Оценка на въздействието</w:t>
      </w:r>
    </w:p>
    <w:p>
      <w:pPr>
        <w:rPr>
          <w:noProof/>
        </w:rPr>
      </w:pPr>
      <w:r>
        <w:rPr>
          <w:noProof/>
        </w:rPr>
        <w:t>Присъединяването към конвенциите може да бъде разглеждано като елемент от предприсъединителната стратегия на Република Сърбия спрямо Европейския съюз. То ще доведе до привеждане на практиките в съответствие с „достиженията на правото на Общността“ в областта на транзитните превози. Въвеждането на общия транзитен режим в Република Сърбия като алтернатива на режима ТИР ще донесе допълнителни улеснения за транзитните превози, намаляване на разходите и евентуално увеличение на търговията.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</w:pPr>
      <w:r>
        <w:rPr>
          <w:noProof/>
        </w:rPr>
        <w:t>Предложението няма отражение върху бюджета на ЕС.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2015/0187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относно позицията, която да бъде заета от името на Европейския съюз в Съвместния комитет ЕС—ЕАСТ по общия транзитен режим по отношение на приемането на решение за изменение на Конвенцията за общ транзитен режим 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Член 15а от Конвенцията между Европейската икономическа общност, Република Австрия, Република Финландия, Република Исландия, Кралство Норвегия, Кралство Швеция и Конфедерация Швейцария за общ транзитен режим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(„Конвенцията“) дава възможност трета държава да стане договаряща се страна по Конвенцията след решение на Съвместния комитет, създаден по силата на Конвенцията, да покани държавата.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Член 15 от конвенцията оправомощава Съвместния комитет ЕС—ЕАСТ да препоръчва и приема, посредством решения, изменения в Конвенцията и допълненията към нея.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Република Сърбия официално изрази желанието си да се присъедини към общата транзитна система.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Тъй като Република Сърбия удовлетворява основните правни и структурни изисквания, както и изискванията по отношение на информационните технологии, които са предварителни условия за присъединяването, и като се следва формалната процедура за присъединяване, тя може да се присъедини към Конвенцията.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Разширяването на общата транзитна система ще наложи изменения на Конвенцията за нови езикови препратки на сръбски език и съответно адаптиране на документите за гаранция.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Предложените изменения бяха представени и обсъдени в работната група на ЕС—ЕАСТ по „общ транзитен режим“ и „опростяване на формалностите при търговия със стоки“, като текстът получи предварително одобрение.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Поради това позицията на Съюза по отношение на предложените изменения следва да се основава на приложения проект на решение,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заеме Съюзът в Съвместния комитет ЕС—ЕАСТ по общия транзитен режим, се основава на проекта на решение, приложен към настоящото решение.</w:t>
      </w:r>
    </w:p>
    <w:p>
      <w:pPr>
        <w:rPr>
          <w:noProof/>
        </w:rPr>
      </w:pPr>
      <w:r>
        <w:rPr>
          <w:noProof/>
        </w:rPr>
        <w:t>Представителите на Съюза в Съвместния комитет ЕС—ЕАСТ могат да одобрят незначителни изменения в проекта на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След като Съвместният комитет ЕС—ЕАСТ по общия транзитен режим приеме решението, то се публикува в Официален вестник на Европейския съюз.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 226, 13.8.1987 г., стр. 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E7033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BA81F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3BAEA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6EC2F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6E50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92FD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1490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6EAC9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9-03 13:00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2902192D16D43F9B59D91632405A4F8"/>
    <w:docVar w:name="LW_CROSSREFERENCE" w:val="&lt;UNUSED&gt;"/>
    <w:docVar w:name="LW_DocType" w:val="COM"/>
    <w:docVar w:name="LW_EMISSION" w:val="3.9.2015"/>
    <w:docVar w:name="LW_EMISSION_ISODATE" w:val="2015-09-03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87"/>
    <w:docVar w:name="LW_REF.II.NEW.CP_YEAR" w:val="2015"/>
    <w:docVar w:name="LW_REF.INST.NEW" w:val="COM"/>
    <w:docVar w:name="LW_REF.INST.NEW_ADOPTED" w:val="final"/>
    <w:docVar w:name="LW_REF.INST.NEW_TEXT" w:val="(2015) 420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57?\u1098?\u1074?\u1084?\u1077?\u1089?\u1090?\u1085?\u1080?\u1103? \u1082?\u1086?\u1084?\u1080?\u1090?\u1077?\u1090? \u1045?\u1057?\u8212?\u1045?\u1040?\u1057?\u1058? \u1087?\u1086? \u1086?\u1073?\u1097?\u1080?\u1103? \u1090?\u1088?\u1072?\u1085?\u1079?\u1080?\u1090?\u1077?\u1085? \u1088?\u1077?\u1078?\u1080?\u1084? \u1087?\u1086? \u1086?\u1090?\u1085?\u1086?\u1096?\u1077?\u1085?\u1080?\u1077? \u1085?\u1072? \u1087?\u1088?\u1080?\u1077?\u1084?\u1072?\u1085?\u1077?\u1090?\u1086? \u1085?\u1072? \u1088?\u1077?\u1096?\u1077?\u1085?\u1080?\u1077? \u1079?\u1072? \u1080?\u1079?\u1084?\u1077?\u1085?\u1077?\u1085?\u1080?\u1077? \u1085?\u1072? \u1050?\u1086?\u1085?\u1074?\u1077?\u1085?\u1094?\u1080?\u1103?\u1090?\u1072? \u1079?\u1072? \u1086?\u1073?\u1097? \u1090?\u1088?\u1072?\u1085?\u1079?\u1080?\u1090?\u1077?\u1085? \u1088?\u1077?\u1078?\u1080?\u1084? 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C498-12E1-4F4E-89EC-E6B5A8F5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927</Words>
  <Characters>5548</Characters>
  <Application>Microsoft Office Word</Application>
  <DocSecurity>0</DocSecurity>
  <Lines>123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2015-07-29T15:02:00Z</cp:lastPrinted>
  <dcterms:created xsi:type="dcterms:W3CDTF">2015-08-26T13:52:00Z</dcterms:created>
  <dcterms:modified xsi:type="dcterms:W3CDTF">2015-09-03T11:00:00Z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