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6F" w:rsidRDefault="00F26B59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ADF878292404A4AA73A2AF596859E7A" style="width:450pt;height:307.5pt">
            <v:imagedata r:id="rId9" o:title=""/>
          </v:shape>
        </w:pict>
      </w:r>
    </w:p>
    <w:bookmarkEnd w:id="0"/>
    <w:p w:rsidR="0056316F" w:rsidRDefault="0056316F">
      <w:pPr>
        <w:rPr>
          <w:noProof/>
        </w:rPr>
        <w:sectPr w:rsidR="005631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56316F" w:rsidRDefault="00F26B59">
      <w:pPr>
        <w:pStyle w:val="Heading1"/>
        <w:rPr>
          <w:noProof/>
        </w:rPr>
      </w:pPr>
      <w:r>
        <w:rPr>
          <w:noProof/>
        </w:rPr>
        <w:lastRenderedPageBreak/>
        <w:t>Introduction</w:t>
      </w:r>
    </w:p>
    <w:p w:rsidR="0056316F" w:rsidRDefault="00F26B59">
      <w:pPr>
        <w:spacing w:after="120"/>
        <w:rPr>
          <w:noProof/>
        </w:rPr>
      </w:pPr>
      <w:r>
        <w:rPr>
          <w:noProof/>
        </w:rPr>
        <w:t>Le règlement (UE) n° 1194/2012 de la Commission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fixe les exigences minimales en matière d’efficacité énergétique pour les lampes dirigées, les lampes à diodes électroluminescentes et les équipements correspondants. Les exigences d’écoconception sont introduites par étapes, lors de chacune desquelles so</w:t>
      </w:r>
      <w:r>
        <w:rPr>
          <w:noProof/>
        </w:rPr>
        <w:t>nt ajoutées de nouvelles exigences, plus strictes que celles de l'étape précédente. La dernière, l’étape 3, doit s’appliquer à compter du 1</w:t>
      </w:r>
      <w:r>
        <w:rPr>
          <w:noProof/>
          <w:vertAlign w:val="superscript"/>
        </w:rPr>
        <w:t>er</w:t>
      </w:r>
      <w:r>
        <w:rPr>
          <w:noProof/>
        </w:rPr>
        <w:t xml:space="preserve"> septembre 2016; une efficacité énergétique d'au minimum 0,95 pour les lampes à filament, 0,36 pour les lampes à dé</w:t>
      </w:r>
      <w:r>
        <w:rPr>
          <w:noProof/>
        </w:rPr>
        <w:t>charge à haute intensité et 0,2 pour toutes les autres lampes sera requise et exprimée sous la forme de l'indice d’efficacité énergétique (IEE). Les lampes à halogènes dirigées à tension de secteur actuellement sur le marché ne satisfont pas à l’exigence f</w:t>
      </w:r>
      <w:r>
        <w:rPr>
          <w:noProof/>
        </w:rPr>
        <w:t>ixée pour les lampes à filament; l'étape 3 exclura par conséquent leur mise sur le marché.</w:t>
      </w:r>
    </w:p>
    <w:p w:rsidR="0056316F" w:rsidRDefault="00F26B59">
      <w:pPr>
        <w:spacing w:after="120"/>
        <w:rPr>
          <w:i/>
          <w:noProof/>
        </w:rPr>
      </w:pPr>
      <w:r>
        <w:rPr>
          <w:noProof/>
        </w:rPr>
        <w:t>Pour faire en sorte que ces lampes à halogènes ne disparaissent pas du marché sans que l'on ne dispose d'une solution de remplacement adéquate, le règlement (UE) n° </w:t>
      </w:r>
      <w:r>
        <w:rPr>
          <w:noProof/>
        </w:rPr>
        <w:t>1194/2012 précise que l’étape 3 ne s’appliquera aux lampes à filament à tension de secteur que si, «</w:t>
      </w:r>
      <w:r>
        <w:rPr>
          <w:i/>
          <w:noProof/>
        </w:rPr>
        <w:t>au plus tard le 30 septembre 2015, la Commission rassemble, par une analyse de marché détaillée, des éléments, qu’elle communique au forum consultatif, prou</w:t>
      </w:r>
      <w:r>
        <w:rPr>
          <w:i/>
          <w:noProof/>
        </w:rPr>
        <w:t>vant qu’il existe sur le marché des lampes à tension de secteur répondant aux caractéristiques suivantes:</w:t>
      </w:r>
    </w:p>
    <w:p w:rsidR="0056316F" w:rsidRDefault="00F26B59">
      <w:pPr>
        <w:spacing w:after="120"/>
        <w:ind w:left="720"/>
        <w:rPr>
          <w:i/>
          <w:noProof/>
        </w:rPr>
      </w:pPr>
      <w:r>
        <w:rPr>
          <w:i/>
          <w:noProof/>
        </w:rPr>
        <w:t>— conformité à l’IEE maximum requis à l’étape 3,</w:t>
      </w:r>
    </w:p>
    <w:p w:rsidR="0056316F" w:rsidRDefault="00F26B59">
      <w:pPr>
        <w:spacing w:after="120"/>
        <w:ind w:left="720"/>
        <w:rPr>
          <w:i/>
          <w:noProof/>
        </w:rPr>
      </w:pPr>
      <w:r>
        <w:rPr>
          <w:i/>
          <w:noProof/>
        </w:rPr>
        <w:t>— prix abordable, c’est-à-dire ne représentant pas un coût excessif pour la majorité des utilisateurs</w:t>
      </w:r>
      <w:r>
        <w:rPr>
          <w:i/>
          <w:noProof/>
        </w:rPr>
        <w:t xml:space="preserve"> finaux,</w:t>
      </w:r>
    </w:p>
    <w:p w:rsidR="0056316F" w:rsidRDefault="00F26B59">
      <w:pPr>
        <w:spacing w:after="120"/>
        <w:ind w:left="720"/>
        <w:rPr>
          <w:noProof/>
        </w:rPr>
      </w:pPr>
      <w:r>
        <w:rPr>
          <w:i/>
          <w:noProof/>
        </w:rPr>
        <w:t>— équivalence dans les grandes lignes, en ce qui concerne les paramètres des fonctionnalités pertinentes pour l’utilisateur, avec les lampes à filament à tension de secteur disponibles à la date d’entrée en vigueur du présent règlement</w:t>
      </w:r>
      <w:r>
        <w:rPr>
          <w:noProof/>
        </w:rPr>
        <w:t xml:space="preserve"> [à savoir l</w:t>
      </w:r>
      <w:r>
        <w:rPr>
          <w:noProof/>
        </w:rPr>
        <w:t>e 3 janvier 2013]</w:t>
      </w:r>
      <w:r>
        <w:rPr>
          <w:i/>
          <w:noProof/>
        </w:rPr>
        <w:t>, y compris en ce qui concerne la disponibilité de flux lumineux couvrant toute la gamme des flux lumineux de référence indiqués dans le tableau 6</w:t>
      </w:r>
      <w:r>
        <w:rPr>
          <w:noProof/>
        </w:rPr>
        <w:t xml:space="preserve"> [du règlement (UE) n° 1194/2012, compris entre 90 lm et 1000 lm]</w:t>
      </w:r>
      <w:r>
        <w:rPr>
          <w:i/>
          <w:noProof/>
        </w:rPr>
        <w:t>,</w:t>
      </w:r>
    </w:p>
    <w:p w:rsidR="0056316F" w:rsidRDefault="00F26B59">
      <w:pPr>
        <w:spacing w:after="120"/>
        <w:ind w:left="720"/>
        <w:rPr>
          <w:i/>
          <w:noProof/>
        </w:rPr>
      </w:pPr>
      <w:r>
        <w:rPr>
          <w:i/>
          <w:noProof/>
        </w:rPr>
        <w:t>— compatibilité avec les é</w:t>
      </w:r>
      <w:r>
        <w:rPr>
          <w:i/>
          <w:noProof/>
        </w:rPr>
        <w:t>quipements conçus pour être installés entre le secteur et les lampes à filament disponibles à la date d’entrée en vigueur du présent règlement conformément aux exigences de compatibilité les plus récentes.</w:t>
      </w:r>
      <w:r>
        <w:rPr>
          <w:noProof/>
        </w:rPr>
        <w:t>»</w:t>
      </w:r>
      <w:r>
        <w:rPr>
          <w:rStyle w:val="FootnoteReference"/>
          <w:noProof/>
        </w:rPr>
        <w:footnoteReference w:id="3"/>
      </w:r>
    </w:p>
    <w:p w:rsidR="0056316F" w:rsidRDefault="00F26B59">
      <w:pPr>
        <w:spacing w:after="120"/>
        <w:rPr>
          <w:noProof/>
        </w:rPr>
      </w:pPr>
      <w:r>
        <w:rPr>
          <w:noProof/>
        </w:rPr>
        <w:t xml:space="preserve">La présente communication répond à l’obligation </w:t>
      </w:r>
      <w:r>
        <w:rPr>
          <w:noProof/>
        </w:rPr>
        <w:t>juridique d'évaluer les solutions de remplacement disponibles sur le marché pour les lampes à tension de secteur. Elle se fonde sur une synthèse technique du marché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préparée pour la Commission par des consultants spécialisés externes et présentée au forum</w:t>
      </w:r>
      <w:r>
        <w:rPr>
          <w:noProof/>
        </w:rPr>
        <w:t xml:space="preserve"> consultatif sur l’écoconception. </w:t>
      </w:r>
    </w:p>
    <w:p w:rsidR="0056316F" w:rsidRDefault="00F26B59">
      <w:pPr>
        <w:pStyle w:val="Heading1"/>
        <w:rPr>
          <w:noProof/>
        </w:rPr>
      </w:pPr>
      <w:r>
        <w:rPr>
          <w:noProof/>
        </w:rPr>
        <w:lastRenderedPageBreak/>
        <w:t>Conformité avec l’indice d’efficacité énergétique maximal</w:t>
      </w:r>
    </w:p>
    <w:p w:rsidR="0056316F" w:rsidRDefault="00F26B59">
      <w:pPr>
        <w:spacing w:after="120"/>
        <w:rPr>
          <w:noProof/>
        </w:rPr>
      </w:pPr>
      <w:r>
        <w:rPr>
          <w:noProof/>
        </w:rPr>
        <w:t>La solution de remplacement la plus vraisemblable pour les lampes à halogènes réside dans les lampes à diodes électroluminescentes (LED), qui sont en train de tran</w:t>
      </w:r>
      <w:r>
        <w:rPr>
          <w:noProof/>
        </w:rPr>
        <w:t>sformer le marché de l’éclairage. Environ 70 % de tous les modèles de lampes à LED qui se trouvent sur le marché satisfont à l'exigence maximale fixée pour l'IEE dans l'étape 3, ce qui laisse un vaste choix aux consommateurs parmi les solutions de remplace</w:t>
      </w:r>
      <w:r>
        <w:rPr>
          <w:noProof/>
        </w:rPr>
        <w:t>ment. La proportion de lampes à LED conformes disponibles sur le marché devrait continuer à augmenter du fait de l’amélioration continue de la technologie LED.</w:t>
      </w:r>
    </w:p>
    <w:p w:rsidR="0056316F" w:rsidRDefault="00F26B59">
      <w:pPr>
        <w:pStyle w:val="Heading1"/>
        <w:rPr>
          <w:noProof/>
        </w:rPr>
      </w:pPr>
      <w:r>
        <w:rPr>
          <w:noProof/>
        </w:rPr>
        <w:t>Des solutions de remplacement abordables</w:t>
      </w:r>
    </w:p>
    <w:p w:rsidR="0056316F" w:rsidRDefault="00F26B59">
      <w:pPr>
        <w:rPr>
          <w:noProof/>
        </w:rPr>
      </w:pPr>
      <w:r>
        <w:rPr>
          <w:noProof/>
        </w:rPr>
        <w:t xml:space="preserve">Les lampes à LED dirigées présentes sur le marché de </w:t>
      </w:r>
      <w:r>
        <w:rPr>
          <w:noProof/>
        </w:rPr>
        <w:t>l’UE sont abordables, tant du point de vue du prix de détail que des coûts sur le cycle de vie.</w:t>
      </w:r>
    </w:p>
    <w:p w:rsidR="0056316F" w:rsidRDefault="00F26B59">
      <w:pPr>
        <w:rPr>
          <w:noProof/>
        </w:rPr>
      </w:pPr>
      <w:r>
        <w:rPr>
          <w:noProof/>
        </w:rPr>
        <w:t xml:space="preserve">En ce qui concerne le prix de détail, bien que le coût d'investissement initial soit plus élevé que celui des lampes à halogènes dirigées à tension de secteur, </w:t>
      </w:r>
      <w:r>
        <w:rPr>
          <w:noProof/>
        </w:rPr>
        <w:t>les prix observés s'étalent d'environ 1,80 EUR à 18 EUR en fonction de la marque, du point de vente et du type de lampe à LED. La plupart des lampes à LED coûtent moins de 10 euros. Ces prix devraient continuer à diminuer en raison de l'évolution de la tec</w:t>
      </w:r>
      <w:r>
        <w:rPr>
          <w:noProof/>
        </w:rPr>
        <w:t xml:space="preserve">hnologie LED; des baisses de 25 % des prix de détail ont été observées sur le marché de l'UE au cours des quatre premiers mois de 2015. </w:t>
      </w:r>
    </w:p>
    <w:p w:rsidR="0056316F" w:rsidRDefault="00F26B59">
      <w:pPr>
        <w:rPr>
          <w:noProof/>
        </w:rPr>
      </w:pPr>
      <w:r>
        <w:rPr>
          <w:noProof/>
        </w:rPr>
        <w:t>La réduction de la consommation d’énergie permise par les lampes à LED, souvent située autour d'un facteur 5, permet au</w:t>
      </w:r>
      <w:r>
        <w:rPr>
          <w:noProof/>
        </w:rPr>
        <w:t>x consommateurs de réaliser d’importantes économies en termes de coûts sur le cycle de vie, y compris si l'on prend en compte le fait que les prix de détail sont plus élevés. Des périodes d’amortissement d’environ un an ou moins sont aujourd’hui possibles,</w:t>
      </w:r>
      <w:r>
        <w:rPr>
          <w:noProof/>
        </w:rPr>
        <w:t xml:space="preserve"> et dans pratiquement tous les cas, les économies réalisées en remplaçant les lampes à halogènes dirigées à tension de secteur par des lampes LED couvriront le coût initial.</w:t>
      </w:r>
    </w:p>
    <w:p w:rsidR="0056316F" w:rsidRDefault="00F26B59">
      <w:pPr>
        <w:pStyle w:val="Heading1"/>
        <w:rPr>
          <w:noProof/>
        </w:rPr>
      </w:pPr>
      <w:r>
        <w:rPr>
          <w:noProof/>
        </w:rPr>
        <w:t>Large degré d’équivalence en termes de fonctionnalité</w:t>
      </w:r>
    </w:p>
    <w:p w:rsidR="0056316F" w:rsidRDefault="00F26B59">
      <w:pPr>
        <w:rPr>
          <w:b/>
          <w:noProof/>
        </w:rPr>
      </w:pPr>
      <w:r>
        <w:rPr>
          <w:noProof/>
        </w:rPr>
        <w:t>Les lampes à LED constituent</w:t>
      </w:r>
      <w:r>
        <w:rPr>
          <w:noProof/>
        </w:rPr>
        <w:t xml:space="preserve"> une solution de remplacement pleinement équivalente sur le plan fonctionnel pour environ 90 % des modèles de lampes à halogènes dirigées à tension de secteur présentes sur le marché. Elles remplissent les exigences d'écoconception fonctionnelles fixées pa</w:t>
      </w:r>
      <w:r>
        <w:rPr>
          <w:noProof/>
        </w:rPr>
        <w:t>r le règlement (UE) n° 1194/2012, y compris un indice de rendu des couleurs supérieur ou égal à  80, certaines lampes présentant un indice supérieur à 90. En général, la variété des lampes à LED en termes de flux lumineux, d’angle de faisceau, de températu</w:t>
      </w:r>
      <w:r>
        <w:rPr>
          <w:noProof/>
        </w:rPr>
        <w:t>re de couleur et de modèles dépasse le choix de lampes à halogènes dirigées à tension de secteur offert sur le marché.</w:t>
      </w:r>
    </w:p>
    <w:p w:rsidR="0056316F" w:rsidRDefault="00F26B59">
      <w:pPr>
        <w:rPr>
          <w:noProof/>
        </w:rPr>
      </w:pPr>
      <w:r>
        <w:rPr>
          <w:noProof/>
        </w:rPr>
        <w:t>Pour les 10 % restants de ces modèles de lampes à halogènes présentes sur le marché, les lampes à LED constituent une solution de remplac</w:t>
      </w:r>
      <w:r>
        <w:rPr>
          <w:noProof/>
        </w:rPr>
        <w:t>ement largement équivalente sur le plan fonctionnel. Les consommateurs peuvent être amenés à faire des concessions sur des caractéristiques mineures telles que l’angle de faisceau, mais la plupart d'entre eux ne verront pas la différence. Une autre possibi</w:t>
      </w:r>
      <w:r>
        <w:rPr>
          <w:noProof/>
        </w:rPr>
        <w:t>lité est d’utiliser des adaptateurs en fonction du type de douille pour obtenir une pleine équivalence avec une lampe à LED équipée d'un culot différent.</w:t>
      </w:r>
    </w:p>
    <w:p w:rsidR="0056316F" w:rsidRDefault="00F26B59">
      <w:pPr>
        <w:pStyle w:val="Heading1"/>
        <w:rPr>
          <w:noProof/>
        </w:rPr>
      </w:pPr>
      <w:r>
        <w:rPr>
          <w:noProof/>
        </w:rPr>
        <w:lastRenderedPageBreak/>
        <w:t>Compatibilité avec les équipements</w:t>
      </w:r>
    </w:p>
    <w:p w:rsidR="0056316F" w:rsidRDefault="00F26B59">
      <w:pPr>
        <w:rPr>
          <w:noProof/>
        </w:rPr>
      </w:pPr>
      <w:r>
        <w:rPr>
          <w:noProof/>
        </w:rPr>
        <w:t>Les lampes de remplacement à LED sont généralement compatibles avec</w:t>
      </w:r>
      <w:r>
        <w:rPr>
          <w:noProof/>
        </w:rPr>
        <w:t xml:space="preserve"> les équipements utilisés pour les lampes halogènes dirigées à tension de secteur. Leur compatibilité avec les variateurs constitue l'exception; si toutes les lampes à halogènes sont compatibles avec les variateurs, seules certaines lampes à LED présentes </w:t>
      </w:r>
      <w:r>
        <w:rPr>
          <w:noProof/>
        </w:rPr>
        <w:t>sur le marché de l'UE fonctionnent avec les variateurs début de phase (</w:t>
      </w:r>
      <w:r>
        <w:rPr>
          <w:i/>
          <w:noProof/>
        </w:rPr>
        <w:t>leading edge</w:t>
      </w:r>
      <w:r>
        <w:rPr>
          <w:noProof/>
        </w:rPr>
        <w:t>) et fin de phase (</w:t>
      </w:r>
      <w:r>
        <w:rPr>
          <w:i/>
          <w:noProof/>
        </w:rPr>
        <w:t>trailing edge</w:t>
      </w:r>
      <w:r>
        <w:rPr>
          <w:noProof/>
        </w:rPr>
        <w:t>) qui étaient disponibles sur le marché le 3 janvier 2013, lorsque le règlement (UE) n° 1194/2012 est entré en vigueur. Ces lampes à LED à in</w:t>
      </w:r>
      <w:r>
        <w:rPr>
          <w:noProof/>
        </w:rPr>
        <w:t>tensité variable satisfont également à toutes les exigences.</w:t>
      </w:r>
    </w:p>
    <w:p w:rsidR="0056316F" w:rsidRDefault="00F26B59">
      <w:pPr>
        <w:rPr>
          <w:noProof/>
        </w:rPr>
      </w:pPr>
      <w:r>
        <w:rPr>
          <w:noProof/>
        </w:rPr>
        <w:t>Les exigences obligatoires en matière d’informations fixées par le règlement (UE) n° 1194/2012 prévoient déjà l'information des consommateurs au sujet de chacun des variateurs compatibles, le cas</w:t>
      </w:r>
      <w:r>
        <w:rPr>
          <w:noProof/>
        </w:rPr>
        <w:t xml:space="preserve"> échéant, avec chaque modèle de lampe à LED. Ainsi, les consommateurs sont en mesure d'acheter la solution de remplacement qui leur convient.</w:t>
      </w:r>
    </w:p>
    <w:p w:rsidR="0056316F" w:rsidRDefault="00F26B59">
      <w:pPr>
        <w:pStyle w:val="Heading1"/>
        <w:rPr>
          <w:noProof/>
        </w:rPr>
      </w:pPr>
      <w:r>
        <w:rPr>
          <w:noProof/>
        </w:rPr>
        <w:t>Conclusions</w:t>
      </w:r>
    </w:p>
    <w:p w:rsidR="0056316F" w:rsidRDefault="00F26B59">
      <w:pPr>
        <w:rPr>
          <w:noProof/>
        </w:rPr>
      </w:pPr>
      <w:r>
        <w:rPr>
          <w:noProof/>
        </w:rPr>
        <w:t>Cette évaluation du marché montre que les lampes à LED dirigées à tension de secteur qui satisfont aux</w:t>
      </w:r>
      <w:r>
        <w:rPr>
          <w:noProof/>
        </w:rPr>
        <w:t xml:space="preserve"> exigences minimales d’efficacité énergétique fixées par le règlement n° 1194/2012 sont disponibles, abordables, équivalentes en termes de fonctionnalités et compatibles avec les équipements utilisés entre le secteur et les lampes.</w:t>
      </w:r>
    </w:p>
    <w:p w:rsidR="0056316F" w:rsidRDefault="00F26B59">
      <w:pPr>
        <w:rPr>
          <w:noProof/>
        </w:rPr>
      </w:pPr>
      <w:r>
        <w:rPr>
          <w:noProof/>
        </w:rPr>
        <w:t>Les exigences de l'étape</w:t>
      </w:r>
      <w:r>
        <w:rPr>
          <w:noProof/>
        </w:rPr>
        <w:t xml:space="preserve"> 3 du règlement (UE) n° 1194/2012 applicables aux lampes à filament à tension de secteur sont donc satisfaites.</w:t>
      </w:r>
    </w:p>
    <w:sectPr w:rsidR="0056316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6F" w:rsidRDefault="00F26B59">
      <w:r>
        <w:separator/>
      </w:r>
    </w:p>
  </w:endnote>
  <w:endnote w:type="continuationSeparator" w:id="0">
    <w:p w:rsidR="0056316F" w:rsidRDefault="00F26B59">
      <w:r>
        <w:continuationSeparator/>
      </w:r>
    </w:p>
  </w:endnote>
  <w:endnote w:type="continuationNotice" w:id="1">
    <w:p w:rsidR="0056316F" w:rsidRDefault="005631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59" w:rsidRDefault="00F26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6F" w:rsidRDefault="00F26B59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 w:rsidR="00353D4B"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59" w:rsidRDefault="00F26B5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6F" w:rsidRDefault="005631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6F" w:rsidRDefault="00F26B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6316F" w:rsidRDefault="0056316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6F" w:rsidRDefault="00563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6F" w:rsidRDefault="00F26B59">
      <w:r>
        <w:separator/>
      </w:r>
    </w:p>
  </w:footnote>
  <w:footnote w:type="continuationSeparator" w:id="0">
    <w:p w:rsidR="0056316F" w:rsidRDefault="00F26B59">
      <w:r>
        <w:continuationSeparator/>
      </w:r>
    </w:p>
  </w:footnote>
  <w:footnote w:type="continuationNotice" w:id="1">
    <w:p w:rsidR="0056316F" w:rsidRDefault="0056316F">
      <w:pPr>
        <w:spacing w:after="0"/>
      </w:pPr>
    </w:p>
  </w:footnote>
  <w:footnote w:id="2">
    <w:p w:rsidR="0056316F" w:rsidRDefault="00F26B5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Règlement (UE) n° 1194/2012 de la Commission du 12 décembre 2012 portant application de la directive 2</w:t>
      </w:r>
      <w:r>
        <w:t>009/125/CE du Parlement européen et du Conseil en ce qui concerne les exigences relatives à l’écoconception des lampes dirigées, des lampes à diodes électroluminescentes et des équipements correspondants (JO L 342 du 14.12.2012, p. 1).</w:t>
      </w:r>
    </w:p>
  </w:footnote>
  <w:footnote w:id="3">
    <w:p w:rsidR="0056316F" w:rsidRDefault="00F26B5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Règlement (UE) n° </w:t>
      </w:r>
      <w:r>
        <w:t>1194/2012, annexe III, point 1.1, p. 11 (les mentions entre crochets ont été ajoutées pour une meilleure compréhension).</w:t>
      </w:r>
    </w:p>
  </w:footnote>
  <w:footnote w:id="4">
    <w:p w:rsidR="0056316F" w:rsidRDefault="00F26B5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La synthèse de marché est accessible au public sur le site web de la Commission: </w:t>
      </w:r>
      <w:hyperlink r:id="rId1">
        <w:r>
          <w:rPr>
            <w:rStyle w:val="Hyperlink"/>
          </w:rPr>
          <w:t>https://ec.europa.eu/energy/sites/ener/files/documents/Draft%20Final%20Market%20Assessment%20data.pdf</w:t>
        </w:r>
      </w:hyperlink>
      <w:r>
        <w:t xml:space="preserve">. Elle a été présentée lors de la réunion du forum consultatif sur l'écoconception du </w:t>
      </w:r>
      <w:r>
        <w:t>25 juin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59" w:rsidRDefault="00F26B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59" w:rsidRDefault="00F26B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59" w:rsidRDefault="00F26B5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6F" w:rsidRDefault="0056316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6F" w:rsidRDefault="0056316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6F" w:rsidRDefault="00563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670"/>
    <w:multiLevelType w:val="hybridMultilevel"/>
    <w:tmpl w:val="154A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8F1"/>
    <w:multiLevelType w:val="hybridMultilevel"/>
    <w:tmpl w:val="E2A0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0DD"/>
    <w:multiLevelType w:val="hybridMultilevel"/>
    <w:tmpl w:val="8C8A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2809"/>
    <w:multiLevelType w:val="hybridMultilevel"/>
    <w:tmpl w:val="1888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D79CD"/>
    <w:multiLevelType w:val="hybridMultilevel"/>
    <w:tmpl w:val="E74E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7581"/>
    <w:multiLevelType w:val="hybridMultilevel"/>
    <w:tmpl w:val="7144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057"/>
    <w:multiLevelType w:val="hybridMultilevel"/>
    <w:tmpl w:val="B0FA0E0E"/>
    <w:lvl w:ilvl="0" w:tplc="708C393A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2372C5"/>
    <w:multiLevelType w:val="hybridMultilevel"/>
    <w:tmpl w:val="2E54D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617698"/>
    <w:multiLevelType w:val="hybridMultilevel"/>
    <w:tmpl w:val="B1E05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6C9C"/>
    <w:multiLevelType w:val="hybridMultilevel"/>
    <w:tmpl w:val="B2F4B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01328"/>
    <w:multiLevelType w:val="hybridMultilevel"/>
    <w:tmpl w:val="0DCC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90ACF"/>
    <w:multiLevelType w:val="hybridMultilevel"/>
    <w:tmpl w:val="87D43488"/>
    <w:lvl w:ilvl="0" w:tplc="C1F2198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A146E3"/>
    <w:multiLevelType w:val="hybridMultilevel"/>
    <w:tmpl w:val="64EAE2E0"/>
    <w:lvl w:ilvl="0" w:tplc="708C393A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30076"/>
    <w:multiLevelType w:val="hybridMultilevel"/>
    <w:tmpl w:val="CF22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36F1"/>
    <w:multiLevelType w:val="hybridMultilevel"/>
    <w:tmpl w:val="C4207286"/>
    <w:lvl w:ilvl="0" w:tplc="975AEE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265BF"/>
    <w:multiLevelType w:val="hybridMultilevel"/>
    <w:tmpl w:val="251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618E2"/>
    <w:multiLevelType w:val="hybridMultilevel"/>
    <w:tmpl w:val="83525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2933E2"/>
    <w:multiLevelType w:val="hybridMultilevel"/>
    <w:tmpl w:val="2A10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C304A"/>
    <w:multiLevelType w:val="hybridMultilevel"/>
    <w:tmpl w:val="E16A6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30002"/>
    <w:multiLevelType w:val="hybridMultilevel"/>
    <w:tmpl w:val="D5B8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547DA"/>
    <w:multiLevelType w:val="hybridMultilevel"/>
    <w:tmpl w:val="7DC4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601A0"/>
    <w:multiLevelType w:val="hybridMultilevel"/>
    <w:tmpl w:val="97D2D7D6"/>
    <w:lvl w:ilvl="0" w:tplc="2A020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00C93"/>
    <w:multiLevelType w:val="hybridMultilevel"/>
    <w:tmpl w:val="4382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A568A"/>
    <w:multiLevelType w:val="hybridMultilevel"/>
    <w:tmpl w:val="643A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45C2C"/>
    <w:multiLevelType w:val="hybridMultilevel"/>
    <w:tmpl w:val="8588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508A"/>
    <w:multiLevelType w:val="hybridMultilevel"/>
    <w:tmpl w:val="B4C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3"/>
  </w:num>
  <w:num w:numId="5">
    <w:abstractNumId w:val="21"/>
  </w:num>
  <w:num w:numId="6">
    <w:abstractNumId w:val="15"/>
  </w:num>
  <w:num w:numId="7">
    <w:abstractNumId w:val="1"/>
  </w:num>
  <w:num w:numId="8">
    <w:abstractNumId w:val="19"/>
  </w:num>
  <w:num w:numId="9">
    <w:abstractNumId w:val="2"/>
  </w:num>
  <w:num w:numId="10">
    <w:abstractNumId w:val="25"/>
  </w:num>
  <w:num w:numId="11">
    <w:abstractNumId w:val="20"/>
  </w:num>
  <w:num w:numId="12">
    <w:abstractNumId w:val="17"/>
  </w:num>
  <w:num w:numId="13">
    <w:abstractNumId w:val="24"/>
  </w:num>
  <w:num w:numId="14">
    <w:abstractNumId w:val="10"/>
  </w:num>
  <w:num w:numId="15">
    <w:abstractNumId w:val="22"/>
  </w:num>
  <w:num w:numId="16">
    <w:abstractNumId w:val="18"/>
  </w:num>
  <w:num w:numId="17">
    <w:abstractNumId w:val="8"/>
  </w:num>
  <w:num w:numId="18">
    <w:abstractNumId w:val="11"/>
  </w:num>
  <w:num w:numId="19">
    <w:abstractNumId w:val="3"/>
  </w:num>
  <w:num w:numId="20">
    <w:abstractNumId w:val="7"/>
  </w:num>
  <w:num w:numId="21">
    <w:abstractNumId w:val="16"/>
  </w:num>
  <w:num w:numId="22">
    <w:abstractNumId w:val="9"/>
  </w:num>
  <w:num w:numId="23">
    <w:abstractNumId w:val="0"/>
  </w:num>
  <w:num w:numId="24">
    <w:abstractNumId w:val="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2ADF878292404A4AA73A2AF596859E7A"/>
    <w:docVar w:name="LW_CROSSREFERENCE" w:val="&lt;UNUSED&gt;"/>
    <w:docVar w:name="LW_DocType" w:val="NORMAL"/>
    <w:docVar w:name="LW_EMISSION" w:val="11.9.2015"/>
    <w:docVar w:name="LW_EMISSION_ISODATE" w:val="2015-09-11"/>
    <w:docVar w:name="LW_EMISSION_LOCATION" w:val="BRX"/>
    <w:docVar w:name="LW_EMISSION_PREFIX" w:val="Bruxelles, le "/>
    <w:docVar w:name="LW_EMISSION_SUFFIX" w:val=" "/>
    <w:docVar w:name="LW_ID_DOCTYPE_NONLW" w:val="CP-009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443"/>
    <w:docVar w:name="LW_REF.INTERNE" w:val="&lt;UNUSED&gt;"/>
    <w:docVar w:name="LW_SOUS.TITRE.OBJ.CP" w:val="&lt;UNUSED&gt;"/>
    <w:docVar w:name="LW_SUPERTITRE" w:val="&lt;UNUSED&gt;"/>
    <w:docVar w:name="LW_TITRE.OBJ.CP" w:val="Analyse de marché relative aux lampes à tension de secteur requise par le règlement (UE) n° 1194/2012 de la  Commission"/>
    <w:docVar w:name="LW_TYPE.DOC.CP" w:val="COMMUNICATION DE LA COMMISSION"/>
    <w:docVar w:name="LW_TYPE.DOC.CP.USERTEXT" w:val="&lt;EMPTY&gt;"/>
    <w:docVar w:name="Stamp" w:val="\\dossiers.dgt.cec.eu.int\dossiers\ENER\ENER-2015-00564\ENER-2015-00564-00-00-EN-REV-00.DOC"/>
  </w:docVars>
  <w:rsids>
    <w:rsidRoot w:val="0056316F"/>
    <w:rsid w:val="00353D4B"/>
    <w:rsid w:val="0056316F"/>
    <w:rsid w:val="00F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8"/>
      </w:numPr>
      <w:spacing w:before="360" w:after="12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Pr>
      <w:sz w:val="22"/>
      <w:szCs w:val="22"/>
      <w:lang w:eastAsia="fr-FR"/>
    </w:rPr>
  </w:style>
  <w:style w:type="paragraph" w:customStyle="1" w:styleId="Text1">
    <w:name w:val="Text 1"/>
    <w:basedOn w:val="Normal"/>
    <w:pPr>
      <w:spacing w:before="120" w:after="120"/>
      <w:ind w:left="850"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mallCaps/>
      <w:sz w:val="24"/>
      <w:szCs w:val="28"/>
      <w:lang w:eastAsia="fr-FR"/>
    </w:rPr>
  </w:style>
  <w:style w:type="character" w:customStyle="1" w:styleId="Heading2Char">
    <w:name w:val="Heading 2 Char"/>
    <w:link w:val="Heading2"/>
    <w:uiPriority w:val="9"/>
    <w:rPr>
      <w:rFonts w:ascii="Times New Roman" w:hAnsi="Times New Roman"/>
      <w:b/>
      <w:sz w:val="24"/>
      <w:szCs w:val="24"/>
      <w:lang w:eastAsia="fr-FR"/>
    </w:rPr>
  </w:style>
  <w:style w:type="paragraph" w:styleId="FootnoteText">
    <w:name w:val="footnote text"/>
    <w:basedOn w:val="Normal"/>
    <w:uiPriority w:val="99"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Times New Roman" w:hAnsi="Times New Roman"/>
      <w:lang w:eastAsia="fr-FR"/>
    </w:rPr>
  </w:style>
  <w:style w:type="character" w:styleId="FootnoteReference">
    <w:name w:val="footnote reference"/>
    <w:aliases w:val="Footnote symbol,number,SUPERS,Footnote Reference Superscript,stylish,BVI fnr,-E Fußnotenzeichen,Source Reference,Footnote reference number,note TESI,Times 10 Point,Exposant 3 Point,Ref,de nota al pie,EN Footnote Reference,BVI fn,f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fr-FR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fr-F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rPr>
      <w:rFonts w:ascii="Times New Roman" w:hAnsi="Times New Roman" w:cs="Times New Roman" w:hint="default"/>
      <w:b/>
      <w:bCs/>
    </w:rPr>
  </w:style>
  <w:style w:type="paragraph" w:customStyle="1" w:styleId="FootnoteText1">
    <w:name w:val="Footnote Text1"/>
    <w:basedOn w:val="Normal"/>
    <w:uiPriority w:val="99"/>
    <w:pPr>
      <w:suppressAutoHyphens/>
      <w:spacing w:after="0" w:line="100" w:lineRule="atLeast"/>
    </w:pPr>
    <w:rPr>
      <w:rFonts w:cs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noProof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noProof/>
      <w:sz w:val="24"/>
      <w:szCs w:val="24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8"/>
      </w:numPr>
      <w:spacing w:before="360" w:after="12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Pr>
      <w:sz w:val="22"/>
      <w:szCs w:val="22"/>
      <w:lang w:eastAsia="fr-FR"/>
    </w:rPr>
  </w:style>
  <w:style w:type="paragraph" w:customStyle="1" w:styleId="Text1">
    <w:name w:val="Text 1"/>
    <w:basedOn w:val="Normal"/>
    <w:pPr>
      <w:spacing w:before="120" w:after="120"/>
      <w:ind w:left="850"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mallCaps/>
      <w:sz w:val="24"/>
      <w:szCs w:val="28"/>
      <w:lang w:eastAsia="fr-FR"/>
    </w:rPr>
  </w:style>
  <w:style w:type="character" w:customStyle="1" w:styleId="Heading2Char">
    <w:name w:val="Heading 2 Char"/>
    <w:link w:val="Heading2"/>
    <w:uiPriority w:val="9"/>
    <w:rPr>
      <w:rFonts w:ascii="Times New Roman" w:hAnsi="Times New Roman"/>
      <w:b/>
      <w:sz w:val="24"/>
      <w:szCs w:val="24"/>
      <w:lang w:eastAsia="fr-FR"/>
    </w:rPr>
  </w:style>
  <w:style w:type="paragraph" w:styleId="FootnoteText">
    <w:name w:val="footnote text"/>
    <w:basedOn w:val="Normal"/>
    <w:uiPriority w:val="99"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Times New Roman" w:hAnsi="Times New Roman"/>
      <w:lang w:eastAsia="fr-FR"/>
    </w:rPr>
  </w:style>
  <w:style w:type="character" w:styleId="FootnoteReference">
    <w:name w:val="footnote reference"/>
    <w:aliases w:val="Footnote symbol,number,SUPERS,Footnote Reference Superscript,stylish,BVI fnr,-E Fußnotenzeichen,Source Reference,Footnote reference number,note TESI,Times 10 Point,Exposant 3 Point,Ref,de nota al pie,EN Footnote Reference,BVI fn,f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fr-FR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fr-F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rPr>
      <w:rFonts w:ascii="Times New Roman" w:hAnsi="Times New Roman" w:cs="Times New Roman" w:hint="default"/>
      <w:b/>
      <w:bCs/>
    </w:rPr>
  </w:style>
  <w:style w:type="paragraph" w:customStyle="1" w:styleId="FootnoteText1">
    <w:name w:val="Footnote Text1"/>
    <w:basedOn w:val="Normal"/>
    <w:uiPriority w:val="99"/>
    <w:pPr>
      <w:suppressAutoHyphens/>
      <w:spacing w:after="0" w:line="100" w:lineRule="atLeast"/>
    </w:pPr>
    <w:rPr>
      <w:rFonts w:cs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noProof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noProof/>
      <w:sz w:val="24"/>
      <w:szCs w:val="24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nergy/sites/ener/files/documents/Draft%20Final%20Market%20Assessment%20d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9FB3-B8B1-4C98-ADD7-B9ABA888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1163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7328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https://ec.europa.eu/energy/sites/ener/files/documents/Draft Final Market Assessment data.pdf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18</cp:revision>
  <cp:lastPrinted>2015-09-10T07:13:00Z</cp:lastPrinted>
  <dcterms:created xsi:type="dcterms:W3CDTF">2015-08-31T09:53:00Z</dcterms:created>
  <dcterms:modified xsi:type="dcterms:W3CDTF">2015-09-10T08:05:00Z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