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2A90731DFF84E1DB761CCC8121AF67A" style="width:450.45pt;height:3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Heading1"/>
        <w:rPr>
          <w:noProof/>
        </w:rPr>
      </w:pPr>
      <w:bookmarkStart w:id="1" w:name="_GoBack"/>
      <w:bookmarkEnd w:id="1"/>
      <w:r>
        <w:rPr>
          <w:noProof/>
        </w:rPr>
        <w:lastRenderedPageBreak/>
        <w:t>Въведение</w:t>
      </w:r>
    </w:p>
    <w:p>
      <w:pPr>
        <w:spacing w:after="120"/>
        <w:rPr>
          <w:noProof/>
        </w:rPr>
      </w:pPr>
      <w:r>
        <w:rPr>
          <w:noProof/>
        </w:rPr>
        <w:t>Регламент (ЕС) № 1194/2012 на Комисията</w:t>
      </w:r>
      <w:r>
        <w:rPr>
          <w:rStyle w:val="FootnoteReference"/>
          <w:noProof/>
        </w:rPr>
        <w:footnoteReference w:id="2"/>
      </w:r>
      <w:r>
        <w:rPr>
          <w:noProof/>
        </w:rPr>
        <w:t xml:space="preserve"> съдържа минималните изисквания за енергийна ефективност на насочените лампи, светодиодните лампи и съответното оборудване. Тези изисквания за екопроектиране се въвеждат поетапно, като при всеки етап се добавят нови или по-строги изисквания в сравнение с предходния етап. Последният етап 3 трябва да започне да се прилага от 1 септември 2016 г. и ще изисква минимална енергийна ефективност от 0,95 за лампи с нажежаема жичка, 0,36 за газоразрядни лампи с висок интензитет и 0,2 за всички други лампи, изразена чрез индекс за енергийна ефективност (EEI). Насочените халогенни лампи за мрежово напрежение, предлагани понастоящем на пазара, не отговарят на изискването за лампите с нажежаема жичка, така че с въвеждането на етап 3 пускането им на пазара ще бъде забранено.</w:t>
      </w:r>
    </w:p>
    <w:p>
      <w:pPr>
        <w:spacing w:after="120"/>
        <w:rPr>
          <w:i/>
          <w:noProof/>
        </w:rPr>
      </w:pPr>
      <w:r>
        <w:rPr>
          <w:noProof/>
        </w:rPr>
        <w:t>За да се гарантира, че посочените халогенни лампи няма да бъдат премахнати без адекватен вариант за замяна, в Регламент № 1194/2012 се предвижда, че етап 3 се прилага за лампи с нажежаема жичка за мрежово напрежение само ако „</w:t>
      </w:r>
      <w:r>
        <w:rPr>
          <w:i/>
          <w:noProof/>
        </w:rPr>
        <w:t>не по-късно от 30 септември 2015 г. Комисията осигури доказателства посредством подробна оценка на пазара и съобщи на Консултативния форум, че на пазара има лампи за мрежово напрежение, които са:</w:t>
      </w:r>
    </w:p>
    <w:p>
      <w:pPr>
        <w:spacing w:after="120"/>
        <w:ind w:left="720"/>
        <w:rPr>
          <w:i/>
          <w:noProof/>
        </w:rPr>
      </w:pPr>
      <w:r>
        <w:rPr>
          <w:i/>
          <w:noProof/>
        </w:rPr>
        <w:t>— в съответствие с изискването за максималния EEI от етап 3;</w:t>
      </w:r>
    </w:p>
    <w:p>
      <w:pPr>
        <w:spacing w:after="120"/>
        <w:ind w:left="720"/>
        <w:rPr>
          <w:i/>
          <w:noProof/>
        </w:rPr>
      </w:pPr>
      <w:r>
        <w:rPr>
          <w:i/>
          <w:noProof/>
        </w:rPr>
        <w:t>— ценово достъпни, в смисъл че не водят до прекомерни разходи за мнозинството крайни потребители;</w:t>
      </w:r>
    </w:p>
    <w:p>
      <w:pPr>
        <w:spacing w:after="120"/>
        <w:ind w:left="720"/>
        <w:rPr>
          <w:noProof/>
        </w:rPr>
      </w:pPr>
      <w:r>
        <w:rPr>
          <w:noProof/>
        </w:rPr>
        <w:t xml:space="preserve">— </w:t>
      </w:r>
      <w:r>
        <w:rPr>
          <w:i/>
          <w:noProof/>
        </w:rPr>
        <w:t>до голяма степен еквивалентни (от потребителска гледна точка) по функционални параметри на лампите с нажежаема жичка за мрежово напрежение, които са налични на пазара към датата на влизане в сила на настоящия регламент</w:t>
      </w:r>
      <w:r>
        <w:rPr>
          <w:noProof/>
        </w:rPr>
        <w:t xml:space="preserve"> [3 януари 2013 г.]</w:t>
      </w:r>
      <w:r>
        <w:rPr>
          <w:i/>
          <w:noProof/>
        </w:rPr>
        <w:t>, включително по отношение на светлинните потоци в целия обхват от базови светлинни потоци, посочени в таблица 6</w:t>
      </w:r>
      <w:r>
        <w:rPr>
          <w:noProof/>
        </w:rPr>
        <w:t xml:space="preserve"> [от Регламент № 1194/2012 в диапазона от 90 lm до 1000 lm];</w:t>
      </w:r>
    </w:p>
    <w:p>
      <w:pPr>
        <w:spacing w:after="120"/>
        <w:ind w:left="720"/>
        <w:rPr>
          <w:i/>
          <w:noProof/>
        </w:rPr>
      </w:pPr>
      <w:r>
        <w:rPr>
          <w:noProof/>
        </w:rPr>
        <w:t xml:space="preserve">— </w:t>
      </w:r>
      <w:r>
        <w:rPr>
          <w:i/>
          <w:noProof/>
        </w:rPr>
        <w:t>съвместими с оборудване, проектирано за монтиране между електрическата мрежа и лампите с нажежаема жичка, налично към датата на влизане в сила на настоящия регламент, в съответствие със съвременните технически изисквания за съвместимост</w:t>
      </w:r>
      <w:r>
        <w:rPr>
          <w:noProof/>
        </w:rPr>
        <w:t>“</w:t>
      </w:r>
      <w:r>
        <w:rPr>
          <w:rStyle w:val="FootnoteReference"/>
          <w:noProof/>
        </w:rPr>
        <w:footnoteReference w:id="3"/>
      </w:r>
      <w:r>
        <w:rPr>
          <w:noProof/>
        </w:rPr>
        <w:t>.</w:t>
      </w:r>
    </w:p>
    <w:p>
      <w:pPr>
        <w:spacing w:after="120"/>
        <w:rPr>
          <w:noProof/>
        </w:rPr>
      </w:pPr>
      <w:r>
        <w:rPr>
          <w:noProof/>
        </w:rPr>
        <w:t>Настоящото съобщение изпълнява законовото изискване за извършване на оценка на пазара на наличните варианти за замяна на пазара на лампите за мрежово напрежение. То се основава на технически преглед на пазара</w:t>
      </w:r>
      <w:r>
        <w:rPr>
          <w:rStyle w:val="FootnoteReference"/>
          <w:noProof/>
        </w:rPr>
        <w:footnoteReference w:id="4"/>
      </w:r>
      <w:r>
        <w:rPr>
          <w:noProof/>
        </w:rPr>
        <w:t xml:space="preserve">, изготвен за Комисията от външни технически консултанти и представен пред Консултативния форум по екопроектиране. </w:t>
      </w:r>
    </w:p>
    <w:p>
      <w:pPr>
        <w:pStyle w:val="Heading1"/>
        <w:rPr>
          <w:noProof/>
        </w:rPr>
      </w:pPr>
      <w:r>
        <w:rPr>
          <w:noProof/>
        </w:rPr>
        <w:t>Съответствие с максималния индекс за енергийна ефективност</w:t>
      </w:r>
    </w:p>
    <w:p>
      <w:pPr>
        <w:spacing w:after="120"/>
        <w:rPr>
          <w:noProof/>
        </w:rPr>
      </w:pPr>
      <w:r>
        <w:rPr>
          <w:noProof/>
        </w:rPr>
        <w:t>Най-вероятният вариант за замяна на халогенните лампи са светодиодните лампи, които понастоящем са в основата на трансформирането на пазара на осветителни уреди. Около 70 % от всички модели светодиодни лампи, които съществуват на пазара, отговарят на изискването за максималния EEI от етап 3, което дава на потребителите голям избор от варианти за замяна. Делът на тези налични на пазара и отговарящи на изискванията лампи се очаква да нарасне още повече поради непрекъснатите подобрения в светодиодната технология.</w:t>
      </w:r>
    </w:p>
    <w:p>
      <w:pPr>
        <w:pStyle w:val="Heading1"/>
        <w:rPr>
          <w:noProof/>
        </w:rPr>
      </w:pPr>
      <w:r>
        <w:rPr>
          <w:noProof/>
        </w:rPr>
        <w:t>Достъпност на заместващите решения</w:t>
      </w:r>
    </w:p>
    <w:p>
      <w:pPr>
        <w:rPr>
          <w:noProof/>
        </w:rPr>
      </w:pPr>
      <w:r>
        <w:rPr>
          <w:noProof/>
        </w:rPr>
        <w:t>Насочените светодиодни лампи, предлагани на пазара на ЕС, са достъпни както по отношение на цените на дребно, така и по отношение на разходите за целия жизнен цикъл.</w:t>
      </w:r>
    </w:p>
    <w:p>
      <w:pPr>
        <w:rPr>
          <w:noProof/>
        </w:rPr>
      </w:pPr>
      <w:r>
        <w:rPr>
          <w:noProof/>
        </w:rPr>
        <w:t xml:space="preserve">Що се отнася до цените на дребно, въпреки че първоначалният разход за придобиване на светодиодните лампи е по-висок от този за насочените халогенни лампи за мрежово напрежение, наблюдаваните цени варират от около 1,80 евро до 18 евро в зависимост от марката, място на продажба и типа на светодиодната лампа. Повечето светодиодни лампи струват под 10 евро. Очаква се тези цени да продължат да намаляват поради развитието на светодиодната технология; на пазара на ЕС през първите четири месеца на 2015 г. бе наблюдаван спад на цената на дребно с до 25 %. </w:t>
      </w:r>
    </w:p>
    <w:p>
      <w:pPr>
        <w:rPr>
          <w:noProof/>
        </w:rPr>
      </w:pPr>
      <w:r>
        <w:rPr>
          <w:noProof/>
        </w:rPr>
        <w:t>По-ниското потребление на енергия от светодиодните лампи, често с коефициент около 5, води до значителни икономии за потребителите по отношение на разходите за целия жизнен цикъл дори ако се вземат под внимание по-високите цени на дребно. Понастоящем е възможно лампата да се изплати за около една година или по-малко, и в почти всички случаи икономиите от замяната на насочените халогенни лампи за мрежово напрежение със светодиодни лампи ще покрият първоначалните разходи.</w:t>
      </w:r>
    </w:p>
    <w:p>
      <w:pPr>
        <w:pStyle w:val="Heading1"/>
        <w:rPr>
          <w:noProof/>
        </w:rPr>
      </w:pPr>
      <w:r>
        <w:rPr>
          <w:noProof/>
        </w:rPr>
        <w:t>Общо съответствие по отношение на функционалните възможности</w:t>
      </w:r>
    </w:p>
    <w:p>
      <w:pPr>
        <w:rPr>
          <w:b/>
          <w:noProof/>
        </w:rPr>
      </w:pPr>
      <w:r>
        <w:rPr>
          <w:noProof/>
        </w:rPr>
        <w:t>Светодиодните лампи предлагат напълно функционален и еквивалентен вариант за замяна на около 90 % от предлаганите на пазара модели насочени халогенни лампи за мрежово напрежение. Тези светодиодни лампи отговарят на функционалните изисквания за екопроектиране от Регламент 1194/2012, включително за достатъчно висок индекс на цветопредаване (CRI) от CRI ≥ 80, като някои светодиодни лампи достигат висок индекс на цветопредаване над 90. Като цяло разнообразието от светодиодни лампи по отношение на нивата на светлинния поток, ъглите на светлинния сноп, цветната температура и моделите превишава разнообразието на пазара от насочени халогенни лампи за мрежово напрежение.</w:t>
      </w:r>
    </w:p>
    <w:p>
      <w:pPr>
        <w:rPr>
          <w:noProof/>
        </w:rPr>
      </w:pPr>
      <w:r>
        <w:rPr>
          <w:noProof/>
        </w:rPr>
        <w:t>По отношение на останалите 10 % от наличните на пазара модели насочени халогенни лампи за мрежово напрежение светодиодните лампи предлагат до голяма степен еквивалентен във функционално отношение вариант за замяна. Може да се наложи потребителите да направят компромис по отношение на незначителни характеристики като ъгъла на светлинния сноп, но повечето не биха забелязали някаква разлика. Друг вариант е да се използват адаптери за типовата фасунга, за да се постигне пълно съответствие на светодиодната лампа с различните цокли.</w:t>
      </w:r>
    </w:p>
    <w:p>
      <w:pPr>
        <w:pStyle w:val="Heading1"/>
        <w:rPr>
          <w:noProof/>
        </w:rPr>
      </w:pPr>
      <w:r>
        <w:rPr>
          <w:noProof/>
        </w:rPr>
        <w:t>Съвместимост с оборудването</w:t>
      </w:r>
    </w:p>
    <w:p>
      <w:pPr>
        <w:rPr>
          <w:noProof/>
        </w:rPr>
      </w:pPr>
      <w:r>
        <w:rPr>
          <w:noProof/>
        </w:rPr>
        <w:t>Заместващите светодиодни лампи като цяло са съвместими с оборудването, използвано за насочените халогенни лампи за мрежово напрежение. Изключение е тяхната съвместимост с регулаторите на светлинния поток; докато светлинният поток може да се регулира при всички халогенни лампи, само някои светодиодни лампи на пазара на ЕС функционират с регулатори на светлинния поток с фазорегулиране спрямо предния и задния преход през нулата, които са били налични на пазара към 3 януари 2013 г., когато Регламент № 1194/2012 е влязъл в сила. Тези светодиодни лампи с възможност за регулиране на светлинния поток също така отговарят на всички изисквания.</w:t>
      </w:r>
    </w:p>
    <w:p>
      <w:pPr>
        <w:rPr>
          <w:noProof/>
        </w:rPr>
      </w:pPr>
      <w:r>
        <w:rPr>
          <w:noProof/>
        </w:rPr>
        <w:t>Според задължителните изисквания за предоставяне на информация от Регламент № 1194/2012 вече се изисква потребителите да бъдат информирани с кои регулатори на светлинния поток, ако има такива, е съвместим всеки модел светодиодна лампа. Това позволява на потребителите да купуват варианта за замяна, който е най-подходящ за тях.</w:t>
      </w:r>
    </w:p>
    <w:p>
      <w:pPr>
        <w:pStyle w:val="Heading1"/>
        <w:rPr>
          <w:noProof/>
        </w:rPr>
      </w:pPr>
      <w:r>
        <w:rPr>
          <w:noProof/>
        </w:rPr>
        <w:t>Заключение</w:t>
      </w:r>
    </w:p>
    <w:p>
      <w:pPr>
        <w:rPr>
          <w:noProof/>
        </w:rPr>
      </w:pPr>
      <w:r>
        <w:rPr>
          <w:noProof/>
        </w:rPr>
        <w:t>Оценката на пазара показва, че насочените светодиодни лампи за мрежово напрежение, които отговарят на минималните изисквания за енергийна ефективност съгласно Регламент № 1194/2012, са налични, продават се на достъпни цени, еквивалентни са по отношение на функционалните възможности и са съвместими с оборудването, използвано между електрическата мрежа и лампите.</w:t>
      </w:r>
    </w:p>
    <w:p>
      <w:pPr>
        <w:rPr>
          <w:noProof/>
        </w:rPr>
      </w:pPr>
      <w:r>
        <w:rPr>
          <w:noProof/>
        </w:rPr>
        <w:t>Поради това са изпълнени изискванията за етап 3 от Регламент № 1194/2012 за прилагане по отношение на лампите с нажежаема жичка за мрежово напрежение.</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pPr>
    </w:p>
  </w:footnote>
  <w:footnote w:id="2">
    <w:p>
      <w:pPr>
        <w:pStyle w:val="FootnoteText"/>
        <w:rPr>
          <w:lang w:val="en-GB"/>
        </w:rPr>
      </w:pPr>
      <w:r>
        <w:rPr>
          <w:rStyle w:val="FootnoteReference"/>
        </w:rPr>
        <w:footnoteRef/>
      </w:r>
      <w:r>
        <w:t xml:space="preserve"> Регламент (ЕС) № 1194/2012 на Комисията от 12 декември 2012 г. за прилагане на Директива 2009/125/ЕО на Европейския парламент и на Съвета по отношение на изискванията за екопроектиране на насочени лампи, светодиодни лампи и съответното оборудване, ОВ L 342, 14.12.2012 г., стр. 1.</w:t>
      </w:r>
    </w:p>
  </w:footnote>
  <w:footnote w:id="3">
    <w:p>
      <w:pPr>
        <w:pStyle w:val="FootnoteText"/>
        <w:rPr>
          <w:lang w:val="en-GB"/>
        </w:rPr>
      </w:pPr>
      <w:r>
        <w:rPr>
          <w:rStyle w:val="FootnoteReference"/>
        </w:rPr>
        <w:footnoteRef/>
      </w:r>
      <w:r>
        <w:t xml:space="preserve"> Цитатът е от Регламент № 1194/2012, приложение III, точка 1.1, стр. 11 — текстът в квадратните скоби е добавен за по-голяма яснота.</w:t>
      </w:r>
    </w:p>
  </w:footnote>
  <w:footnote w:id="4">
    <w:p>
      <w:pPr>
        <w:pStyle w:val="FootnoteText"/>
      </w:pPr>
      <w:r>
        <w:rPr>
          <w:rStyle w:val="FootnoteReference"/>
        </w:rPr>
        <w:footnoteRef/>
      </w:r>
      <w:r>
        <w:t xml:space="preserve"> Техническият преглед на пазара е публично достъпен на уебсайта на Комисията: </w:t>
      </w:r>
      <w:hyperlink r:id="rId1">
        <w:r>
          <w:rPr>
            <w:rStyle w:val="Hyperlink"/>
          </w:rPr>
          <w:t>https://ec.europa.eu/energy/sites/ener/files/documents/Draft%20Final%20Market%20Assessment%20data.pdf</w:t>
        </w:r>
      </w:hyperlink>
      <w:r>
        <w:t>. Той беше представен на заседанието на Консултативния форум по екопроектиране, проведено на 25 юни 2015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670"/>
    <w:multiLevelType w:val="hybridMultilevel"/>
    <w:tmpl w:val="154A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8C28F1"/>
    <w:multiLevelType w:val="hybridMultilevel"/>
    <w:tmpl w:val="E2A0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8E60DD"/>
    <w:multiLevelType w:val="hybridMultilevel"/>
    <w:tmpl w:val="8C8A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92809"/>
    <w:multiLevelType w:val="hybridMultilevel"/>
    <w:tmpl w:val="1888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FD79CD"/>
    <w:multiLevelType w:val="hybridMultilevel"/>
    <w:tmpl w:val="E74E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D67581"/>
    <w:multiLevelType w:val="hybridMultilevel"/>
    <w:tmpl w:val="7144A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763057"/>
    <w:multiLevelType w:val="hybridMultilevel"/>
    <w:tmpl w:val="B0FA0E0E"/>
    <w:lvl w:ilvl="0" w:tplc="708C393A">
      <w:numFmt w:val="bullet"/>
      <w:lvlText w:val="•"/>
      <w:lvlJc w:val="left"/>
      <w:pPr>
        <w:ind w:left="1440" w:hanging="72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B2372C5"/>
    <w:multiLevelType w:val="hybridMultilevel"/>
    <w:tmpl w:val="2E54D00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1617698"/>
    <w:multiLevelType w:val="hybridMultilevel"/>
    <w:tmpl w:val="B1E05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9766C9C"/>
    <w:multiLevelType w:val="hybridMultilevel"/>
    <w:tmpl w:val="B2F4B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901328"/>
    <w:multiLevelType w:val="hybridMultilevel"/>
    <w:tmpl w:val="0DCC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B90ACF"/>
    <w:multiLevelType w:val="hybridMultilevel"/>
    <w:tmpl w:val="87D43488"/>
    <w:lvl w:ilvl="0" w:tplc="C1F21986">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5A146E3"/>
    <w:multiLevelType w:val="hybridMultilevel"/>
    <w:tmpl w:val="64EAE2E0"/>
    <w:lvl w:ilvl="0" w:tplc="708C393A">
      <w:numFmt w:val="bullet"/>
      <w:lvlText w:val="•"/>
      <w:lvlJc w:val="left"/>
      <w:pPr>
        <w:ind w:left="144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B30076"/>
    <w:multiLevelType w:val="hybridMultilevel"/>
    <w:tmpl w:val="CF220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DE36F1"/>
    <w:multiLevelType w:val="hybridMultilevel"/>
    <w:tmpl w:val="C4207286"/>
    <w:lvl w:ilvl="0" w:tplc="975AEE5C">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A265BF"/>
    <w:multiLevelType w:val="hybridMultilevel"/>
    <w:tmpl w:val="2512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9618E2"/>
    <w:multiLevelType w:val="hybridMultilevel"/>
    <w:tmpl w:val="83525A6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12933E2"/>
    <w:multiLevelType w:val="hybridMultilevel"/>
    <w:tmpl w:val="2A10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BC304A"/>
    <w:multiLevelType w:val="hybridMultilevel"/>
    <w:tmpl w:val="E16A6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3230002"/>
    <w:multiLevelType w:val="hybridMultilevel"/>
    <w:tmpl w:val="D5B8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C547DA"/>
    <w:multiLevelType w:val="hybridMultilevel"/>
    <w:tmpl w:val="7DC4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7601A0"/>
    <w:multiLevelType w:val="hybridMultilevel"/>
    <w:tmpl w:val="97D2D7D6"/>
    <w:lvl w:ilvl="0" w:tplc="2A020DE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7700C93"/>
    <w:multiLevelType w:val="hybridMultilevel"/>
    <w:tmpl w:val="43824C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8A568A"/>
    <w:multiLevelType w:val="hybridMultilevel"/>
    <w:tmpl w:val="643A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045C2C"/>
    <w:multiLevelType w:val="hybridMultilevel"/>
    <w:tmpl w:val="85884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DA7508A"/>
    <w:multiLevelType w:val="hybridMultilevel"/>
    <w:tmpl w:val="B4C4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4"/>
  </w:num>
  <w:num w:numId="4">
    <w:abstractNumId w:val="23"/>
  </w:num>
  <w:num w:numId="5">
    <w:abstractNumId w:val="21"/>
  </w:num>
  <w:num w:numId="6">
    <w:abstractNumId w:val="15"/>
  </w:num>
  <w:num w:numId="7">
    <w:abstractNumId w:val="1"/>
  </w:num>
  <w:num w:numId="8">
    <w:abstractNumId w:val="19"/>
  </w:num>
  <w:num w:numId="9">
    <w:abstractNumId w:val="2"/>
  </w:num>
  <w:num w:numId="10">
    <w:abstractNumId w:val="25"/>
  </w:num>
  <w:num w:numId="11">
    <w:abstractNumId w:val="20"/>
  </w:num>
  <w:num w:numId="12">
    <w:abstractNumId w:val="17"/>
  </w:num>
  <w:num w:numId="13">
    <w:abstractNumId w:val="24"/>
  </w:num>
  <w:num w:numId="14">
    <w:abstractNumId w:val="10"/>
  </w:num>
  <w:num w:numId="15">
    <w:abstractNumId w:val="22"/>
  </w:num>
  <w:num w:numId="16">
    <w:abstractNumId w:val="18"/>
  </w:num>
  <w:num w:numId="17">
    <w:abstractNumId w:val="8"/>
  </w:num>
  <w:num w:numId="18">
    <w:abstractNumId w:val="11"/>
  </w:num>
  <w:num w:numId="19">
    <w:abstractNumId w:val="3"/>
  </w:num>
  <w:num w:numId="20">
    <w:abstractNumId w:val="7"/>
  </w:num>
  <w:num w:numId="21">
    <w:abstractNumId w:val="16"/>
  </w:num>
  <w:num w:numId="22">
    <w:abstractNumId w:val="9"/>
  </w:num>
  <w:num w:numId="23">
    <w:abstractNumId w:val="0"/>
  </w:num>
  <w:num w:numId="24">
    <w:abstractNumId w:val="5"/>
  </w:num>
  <w:num w:numId="25">
    <w:abstractNumId w:val="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hideSpellingErrors/>
  <w:hideGrammaticalErrors/>
  <w:revisionView w:markup="0"/>
  <w:doNotTrackMoves/>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12A90731DFF84E1DB761CCC8121AF67A"/>
    <w:docVar w:name="LW_CROSSREFERENCE" w:val="&lt;UNUSED&gt;"/>
    <w:docVar w:name="LW_DocType" w:val="NORMAL"/>
    <w:docVar w:name="LW_EMISSION" w:val="11.9.2015"/>
    <w:docVar w:name="LW_EMISSION_ISODATE" w:val="2015-09-11"/>
    <w:docVar w:name="LW_EMISSION_LOCATION" w:val="BRX"/>
    <w:docVar w:name="LW_EMISSION_PREFIX" w:val="Брюксел, "/>
    <w:docVar w:name="LW_EMISSION_SUFFIX" w:val=" \u1075?."/>
    <w:docVar w:name="LW_ID_DOCTYPE_NONLW" w:val="CP-009"/>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443"/>
    <w:docVar w:name="LW_REF.INTERNE" w:val="&lt;UNUSED&gt;"/>
    <w:docVar w:name="LW_SOUS.TITRE.OBJ.CP" w:val="&lt;UNUSED&gt;"/>
    <w:docVar w:name="LW_SUPERTITRE" w:val="&lt;UNUSED&gt;"/>
    <w:docVar w:name="LW_TITRE.OBJ.CP" w:val="\u1054?\u1094?\u1077?\u1085?\u1082?\u1072? \u1085?\u1072? \u1087?\u1072?\u1079?\u1072?\u1088?\u1072? \u1087?\u1086? \u1086?\u1090?\u1085?\u1086?\u1096?\u1077?\u1085?\u1080?\u1077? \u1085?\u1072? \u1083?\u1072?\u1084?\u1087?\u1080?\u1090?\u1077? \u1079?\u1072? \u1084?\u1088?\u1077?\u1078?\u1086?\u1074?\u1086? \u1085?\u1072?\u1087?\u1088?\u1077?\u1078?\u1077?\u1085?\u1080?\u1077? \u1074? \u1089?\u1098?\u1086?\u1090?\u1074?\u1077?\u1090?\u1089?\u1090?\u1074?\u1080?\u1077? \u1089? \u1080?\u1079?\u1080?\u1089?\u1082?\u1074?\u1072?\u1085?\u1080?\u1103?\u1090?\u1072? \u1085?\u1072? \u1056?\u1077?\u1075?\u1083?\u1072?\u1084?\u1077?\u1085?\u1090? (\u1045?\u1057?) \u8470? 1194/2012 \u1085?\u1072? \u1050?\u1086?\u1084?\u1080?\u1089?\u1080?\u1103?\u1090?\u1072?"/>
    <w:docVar w:name="LW_TYPE.DOC.CP" w:val="\u1057?\u1066?\u1054?\u1041?\u1065?\u1045?\u1053?\u1048?\u1045? \u1053?\u1040? \u1050?\u1054?\u1052?\u1048?\u1057?\u1048?\u1071?\u1058?\u1040?"/>
    <w:docVar w:name="LW_TYPE.DOC.CP.USERTEXT" w:val="&lt;EMPTY&gt;"/>
    <w:docVar w:name="Stamp" w:val="\\dossiers.dgt.cec.eu.int\dossiers\ENER\ENER-2015-00564\ENER-2015-00564-00-00-EN-REV-00.DOC"/>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jc w:val="both"/>
    </w:pPr>
    <w:rPr>
      <w:rFonts w:ascii="Times New Roman" w:hAnsi="Times New Roman"/>
      <w:sz w:val="24"/>
      <w:szCs w:val="24"/>
    </w:rPr>
  </w:style>
  <w:style w:type="paragraph" w:styleId="Heading1">
    <w:name w:val="heading 1"/>
    <w:basedOn w:val="Normal"/>
    <w:next w:val="Normal"/>
    <w:link w:val="Heading1Char"/>
    <w:uiPriority w:val="9"/>
    <w:qFormat/>
    <w:pPr>
      <w:keepNext/>
      <w:numPr>
        <w:numId w:val="18"/>
      </w:numPr>
      <w:spacing w:before="360" w:after="120"/>
      <w:outlineLvl w:val="0"/>
    </w:pPr>
    <w:rPr>
      <w:rFonts w:eastAsia="Times New Roman"/>
      <w:b/>
      <w:bCs/>
      <w:smallCaps/>
      <w:szCs w:val="28"/>
    </w:rPr>
  </w:style>
  <w:style w:type="paragraph" w:styleId="Heading2">
    <w:name w:val="heading 2"/>
    <w:basedOn w:val="Normal"/>
    <w:next w:val="Normal"/>
    <w:link w:val="Heading2Char"/>
    <w:uiPriority w:val="9"/>
    <w:qFormat/>
    <w:pPr>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pPr>
    <w:rPr>
      <w:rFonts w:ascii="Calibri" w:hAnsi="Calibri"/>
      <w:sz w:val="22"/>
      <w:szCs w:val="22"/>
    </w:rPr>
  </w:style>
  <w:style w:type="character" w:customStyle="1" w:styleId="FooterChar">
    <w:name w:val="Footer Char"/>
    <w:link w:val="Footer"/>
    <w:uiPriority w:val="99"/>
    <w:rPr>
      <w:sz w:val="22"/>
      <w:szCs w:val="22"/>
      <w:lang w:eastAsia="bg-BG"/>
    </w:rPr>
  </w:style>
  <w:style w:type="paragraph" w:customStyle="1" w:styleId="Text1">
    <w:name w:val="Text 1"/>
    <w:basedOn w:val="Normal"/>
    <w:pPr>
      <w:spacing w:before="120" w:after="120"/>
      <w:ind w:left="850"/>
    </w:pPr>
  </w:style>
  <w:style w:type="character" w:customStyle="1" w:styleId="Heading1Char">
    <w:name w:val="Heading 1 Char"/>
    <w:link w:val="Heading1"/>
    <w:uiPriority w:val="9"/>
    <w:rPr>
      <w:rFonts w:ascii="Times New Roman" w:eastAsia="Times New Roman" w:hAnsi="Times New Roman"/>
      <w:b/>
      <w:bCs/>
      <w:smallCaps/>
      <w:sz w:val="24"/>
      <w:szCs w:val="28"/>
      <w:lang w:eastAsia="bg-BG"/>
    </w:rPr>
  </w:style>
  <w:style w:type="character" w:customStyle="1" w:styleId="Heading2Char">
    <w:name w:val="Heading 2 Char"/>
    <w:link w:val="Heading2"/>
    <w:uiPriority w:val="9"/>
    <w:rPr>
      <w:rFonts w:ascii="Times New Roman" w:hAnsi="Times New Roman"/>
      <w:b/>
      <w:sz w:val="24"/>
      <w:szCs w:val="24"/>
      <w:lang w:eastAsia="bg-BG"/>
    </w:rPr>
  </w:style>
  <w:style w:type="paragraph" w:styleId="FootnoteText">
    <w:name w:val="footnote text"/>
    <w:basedOn w:val="Normal"/>
    <w:uiPriority w:val="99"/>
    <w:unhideWhenUsed/>
    <w:rPr>
      <w:sz w:val="20"/>
      <w:szCs w:val="20"/>
    </w:rPr>
  </w:style>
  <w:style w:type="character" w:customStyle="1" w:styleId="FootnoteTextChar">
    <w:name w:val="Footnote Text Char"/>
    <w:uiPriority w:val="99"/>
    <w:rPr>
      <w:rFonts w:ascii="Times New Roman" w:hAnsi="Times New Roman"/>
      <w:lang w:eastAsia="bg-BG"/>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
    <w:uiPriority w:val="99"/>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bg-BG"/>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Times New Roman" w:hAnsi="Times New Roman"/>
      <w:sz w:val="24"/>
      <w:szCs w:val="24"/>
      <w:lang w:eastAsia="bg-BG"/>
    </w:rPr>
  </w:style>
  <w:style w:type="character" w:styleId="Strong">
    <w:name w:val="Strong"/>
    <w:uiPriority w:val="22"/>
    <w:qFormat/>
    <w:rPr>
      <w:rFonts w:ascii="Times New Roman" w:hAnsi="Times New Roman" w:cs="Times New Roman" w:hint="default"/>
      <w:b/>
      <w:bCs/>
    </w:rPr>
  </w:style>
  <w:style w:type="paragraph" w:customStyle="1" w:styleId="FootnoteText1">
    <w:name w:val="Footnote Text1"/>
    <w:basedOn w:val="Normal"/>
    <w:uiPriority w:val="99"/>
    <w:pPr>
      <w:suppressAutoHyphens/>
      <w:spacing w:after="0" w:line="100" w:lineRule="atLeast"/>
    </w:pPr>
    <w:rPr>
      <w:rFonts w:cs="Calibri"/>
      <w:sz w:val="20"/>
      <w:szCs w:val="20"/>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bg-BG"/>
    </w:r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link w:val="FooterCoverPage"/>
    <w:rPr>
      <w:rFonts w:ascii="Times New Roman" w:hAnsi="Times New Roman"/>
      <w:noProof/>
      <w:sz w:val="24"/>
      <w:szCs w:val="24"/>
    </w:rPr>
  </w:style>
  <w:style w:type="paragraph" w:customStyle="1" w:styleId="HeaderCoverPage">
    <w:name w:val="Header Cover Page"/>
    <w:basedOn w:val="Normal"/>
    <w:link w:val="HeaderCoverPageChar"/>
    <w:pPr>
      <w:tabs>
        <w:tab w:val="center" w:pos="4535"/>
        <w:tab w:val="right" w:pos="9071"/>
      </w:tabs>
      <w:spacing w:after="120"/>
    </w:pPr>
    <w:rPr>
      <w:noProof/>
    </w:rPr>
  </w:style>
  <w:style w:type="character" w:customStyle="1" w:styleId="HeaderCoverPageChar">
    <w:name w:val="Header Cover Page Char"/>
    <w:link w:val="HeaderCoverPage"/>
    <w:rPr>
      <w:rFonts w:ascii="Times New Roman" w:hAnsi="Times New Roman"/>
      <w:noProof/>
      <w:sz w:val="24"/>
      <w:szCs w:val="24"/>
    </w:rPr>
  </w:style>
  <w:style w:type="paragraph" w:styleId="Revision">
    <w:name w:val="Revision"/>
    <w:hidden/>
    <w:uiPriority w:val="99"/>
    <w:semiHidden/>
    <w:rPr>
      <w:rFonts w:ascii="Times New Roman" w:hAnsi="Times New Roman"/>
      <w:sz w:val="24"/>
      <w:szCs w:val="24"/>
    </w:rPr>
  </w:style>
  <w:style w:type="character" w:styleId="FollowedHyperlink">
    <w:name w:val="FollowedHyperlink"/>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0761">
      <w:bodyDiv w:val="1"/>
      <w:marLeft w:val="0"/>
      <w:marRight w:val="0"/>
      <w:marTop w:val="0"/>
      <w:marBottom w:val="0"/>
      <w:divBdr>
        <w:top w:val="none" w:sz="0" w:space="0" w:color="auto"/>
        <w:left w:val="none" w:sz="0" w:space="0" w:color="auto"/>
        <w:bottom w:val="none" w:sz="0" w:space="0" w:color="auto"/>
        <w:right w:val="none" w:sz="0" w:space="0" w:color="auto"/>
      </w:divBdr>
    </w:div>
    <w:div w:id="483011000">
      <w:bodyDiv w:val="1"/>
      <w:marLeft w:val="0"/>
      <w:marRight w:val="0"/>
      <w:marTop w:val="0"/>
      <w:marBottom w:val="0"/>
      <w:divBdr>
        <w:top w:val="none" w:sz="0" w:space="0" w:color="auto"/>
        <w:left w:val="none" w:sz="0" w:space="0" w:color="auto"/>
        <w:bottom w:val="none" w:sz="0" w:space="0" w:color="auto"/>
        <w:right w:val="none" w:sz="0" w:space="0" w:color="auto"/>
      </w:divBdr>
    </w:div>
    <w:div w:id="682820404">
      <w:bodyDiv w:val="1"/>
      <w:marLeft w:val="0"/>
      <w:marRight w:val="0"/>
      <w:marTop w:val="0"/>
      <w:marBottom w:val="0"/>
      <w:divBdr>
        <w:top w:val="none" w:sz="0" w:space="0" w:color="auto"/>
        <w:left w:val="none" w:sz="0" w:space="0" w:color="auto"/>
        <w:bottom w:val="none" w:sz="0" w:space="0" w:color="auto"/>
        <w:right w:val="none" w:sz="0" w:space="0" w:color="auto"/>
      </w:divBdr>
    </w:div>
    <w:div w:id="765540044">
      <w:bodyDiv w:val="1"/>
      <w:marLeft w:val="0"/>
      <w:marRight w:val="0"/>
      <w:marTop w:val="0"/>
      <w:marBottom w:val="0"/>
      <w:divBdr>
        <w:top w:val="none" w:sz="0" w:space="0" w:color="auto"/>
        <w:left w:val="none" w:sz="0" w:space="0" w:color="auto"/>
        <w:bottom w:val="none" w:sz="0" w:space="0" w:color="auto"/>
        <w:right w:val="none" w:sz="0" w:space="0" w:color="auto"/>
      </w:divBdr>
    </w:div>
    <w:div w:id="792289697">
      <w:bodyDiv w:val="1"/>
      <w:marLeft w:val="0"/>
      <w:marRight w:val="0"/>
      <w:marTop w:val="0"/>
      <w:marBottom w:val="0"/>
      <w:divBdr>
        <w:top w:val="none" w:sz="0" w:space="0" w:color="auto"/>
        <w:left w:val="none" w:sz="0" w:space="0" w:color="auto"/>
        <w:bottom w:val="none" w:sz="0" w:space="0" w:color="auto"/>
        <w:right w:val="none" w:sz="0" w:space="0" w:color="auto"/>
      </w:divBdr>
    </w:div>
    <w:div w:id="1453400816">
      <w:bodyDiv w:val="1"/>
      <w:marLeft w:val="0"/>
      <w:marRight w:val="0"/>
      <w:marTop w:val="0"/>
      <w:marBottom w:val="0"/>
      <w:divBdr>
        <w:top w:val="none" w:sz="0" w:space="0" w:color="auto"/>
        <w:left w:val="none" w:sz="0" w:space="0" w:color="auto"/>
        <w:bottom w:val="none" w:sz="0" w:space="0" w:color="auto"/>
        <w:right w:val="none" w:sz="0" w:space="0" w:color="auto"/>
      </w:divBdr>
    </w:div>
    <w:div w:id="1501314492">
      <w:bodyDiv w:val="1"/>
      <w:marLeft w:val="0"/>
      <w:marRight w:val="0"/>
      <w:marTop w:val="0"/>
      <w:marBottom w:val="0"/>
      <w:divBdr>
        <w:top w:val="none" w:sz="0" w:space="0" w:color="auto"/>
        <w:left w:val="none" w:sz="0" w:space="0" w:color="auto"/>
        <w:bottom w:val="none" w:sz="0" w:space="0" w:color="auto"/>
        <w:right w:val="none" w:sz="0" w:space="0" w:color="auto"/>
      </w:divBdr>
    </w:div>
    <w:div w:id="1601252362">
      <w:bodyDiv w:val="1"/>
      <w:marLeft w:val="0"/>
      <w:marRight w:val="0"/>
      <w:marTop w:val="0"/>
      <w:marBottom w:val="0"/>
      <w:divBdr>
        <w:top w:val="none" w:sz="0" w:space="0" w:color="auto"/>
        <w:left w:val="none" w:sz="0" w:space="0" w:color="auto"/>
        <w:bottom w:val="none" w:sz="0" w:space="0" w:color="auto"/>
        <w:right w:val="none" w:sz="0" w:space="0" w:color="auto"/>
      </w:divBdr>
    </w:div>
    <w:div w:id="21305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nergy/sites/ener/files/documents/Draft%20Final%20Market%20Assessment%20da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D0E20-A046-4E38-8995-6C641CC6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1035</Words>
  <Characters>5942</Characters>
  <Application>Microsoft Office Word</Application>
  <DocSecurity>0</DocSecurity>
  <Lines>102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6951</CharactersWithSpaces>
  <SharedDoc>false</SharedDoc>
  <HLinks>
    <vt:vector size="6" baseType="variant">
      <vt:variant>
        <vt:i4>5636179</vt:i4>
      </vt:variant>
      <vt:variant>
        <vt:i4>0</vt:i4>
      </vt:variant>
      <vt:variant>
        <vt:i4>0</vt:i4>
      </vt:variant>
      <vt:variant>
        <vt:i4>5</vt:i4>
      </vt:variant>
      <vt:variant>
        <vt:lpwstr>https://ec.europa.eu/energy/sites/ener/files/documents/Draft Final Market Assessment data.pdf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dcterms:created xsi:type="dcterms:W3CDTF">2015-08-11T10:27:00Z</dcterms:created>
  <dcterms:modified xsi:type="dcterms:W3CDTF">2015-09-03T07:02:00Z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