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0916" w:rsidRDefault="00F00A4E" w:rsidP="00F00A4E">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alt="311A7A350D5D407D8A6B41AD3EB2625B" style="width:450pt;height:447.75pt">
            <v:imagedata r:id="rId9" o:title=""/>
          </v:shape>
        </w:pict>
      </w:r>
    </w:p>
    <w:bookmarkEnd w:id="0"/>
    <w:p w:rsidR="001F0916" w:rsidRDefault="001F0916">
      <w:pPr>
        <w:rPr>
          <w:noProof/>
        </w:rPr>
        <w:sectPr w:rsidR="001F0916" w:rsidSect="00F00A4E">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0"/>
          <w:cols w:space="720"/>
          <w:docGrid w:linePitch="360"/>
        </w:sectPr>
      </w:pPr>
    </w:p>
    <w:p w:rsidR="001F0916" w:rsidRDefault="00F00A4E">
      <w:pPr>
        <w:jc w:val="center"/>
        <w:rPr>
          <w:b/>
          <w:noProof/>
        </w:rPr>
      </w:pPr>
      <w:bookmarkStart w:id="1" w:name="_GoBack"/>
      <w:bookmarkEnd w:id="1"/>
      <w:r>
        <w:rPr>
          <w:b/>
          <w:noProof/>
        </w:rPr>
        <w:lastRenderedPageBreak/>
        <w:t>ANNEX III – Formula for a distribution key</w:t>
      </w:r>
    </w:p>
    <w:p w:rsidR="001F0916" w:rsidRDefault="001F0916">
      <w:pPr>
        <w:jc w:val="center"/>
        <w:rPr>
          <w:b/>
          <w:noProof/>
        </w:rPr>
      </w:pPr>
    </w:p>
    <w:p w:rsidR="001F0916" w:rsidRDefault="00F00A4E">
      <w:pPr>
        <w:rPr>
          <w:b/>
          <w:noProof/>
        </w:rPr>
      </w:pPr>
      <w:r>
        <w:rPr>
          <w:b/>
          <w:noProof/>
          <w:lang w:val="fr-FR" w:eastAsia="fr-FR"/>
        </w:rPr>
        <w:drawing>
          <wp:inline distT="0" distB="0" distL="0" distR="0" wp14:anchorId="5BA9EBC9" wp14:editId="20C7772E">
            <wp:extent cx="6442916" cy="28194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455900" cy="2825082"/>
                    </a:xfrm>
                    <a:prstGeom prst="rect">
                      <a:avLst/>
                    </a:prstGeom>
                    <a:noFill/>
                  </pic:spPr>
                </pic:pic>
              </a:graphicData>
            </a:graphic>
          </wp:inline>
        </w:drawing>
      </w:r>
    </w:p>
    <w:p w:rsidR="001F0916" w:rsidRDefault="001F0916">
      <w:pPr>
        <w:rPr>
          <w:noProof/>
        </w:rPr>
        <w:sectPr w:rsidR="001F0916">
          <w:headerReference w:type="even" r:id="rId17"/>
          <w:headerReference w:type="default" r:id="rId18"/>
          <w:footerReference w:type="even" r:id="rId19"/>
          <w:footerReference w:type="default" r:id="rId20"/>
          <w:headerReference w:type="first" r:id="rId21"/>
          <w:footerReference w:type="first" r:id="rId22"/>
          <w:pgSz w:w="11906" w:h="16838"/>
          <w:pgMar w:top="1134" w:right="1417" w:bottom="1134" w:left="1417" w:header="709" w:footer="709" w:gutter="0"/>
          <w:pgNumType w:start="2"/>
          <w:cols w:space="720"/>
          <w:docGrid w:linePitch="360"/>
        </w:sectPr>
      </w:pPr>
    </w:p>
    <w:p w:rsidR="001F0916" w:rsidRDefault="00F00A4E">
      <w:pPr>
        <w:jc w:val="center"/>
        <w:rPr>
          <w:b/>
          <w:noProof/>
        </w:rPr>
      </w:pPr>
      <w:r>
        <w:rPr>
          <w:b/>
          <w:noProof/>
        </w:rPr>
        <w:lastRenderedPageBreak/>
        <w:t xml:space="preserve">ANNEX IV </w:t>
      </w:r>
    </w:p>
    <w:p w:rsidR="001F0916" w:rsidRDefault="00F00A4E">
      <w:pPr>
        <w:jc w:val="center"/>
        <w:rPr>
          <w:b/>
          <w:noProof/>
        </w:rPr>
      </w:pPr>
      <w:r>
        <w:rPr>
          <w:b/>
          <w:noProof/>
        </w:rPr>
        <w:t>Detailed procedural rules to apply the crisis relocation mechanism</w:t>
      </w:r>
    </w:p>
    <w:p w:rsidR="001F0916" w:rsidRDefault="00F00A4E">
      <w:pPr>
        <w:pStyle w:val="PointManual"/>
        <w:jc w:val="both"/>
        <w:rPr>
          <w:noProof/>
          <w:lang w:eastAsia="en-GB"/>
        </w:rPr>
      </w:pPr>
      <w:r>
        <w:rPr>
          <w:noProof/>
          <w:lang w:eastAsia="en-GB"/>
        </w:rPr>
        <w:t xml:space="preserve">1. </w:t>
      </w:r>
      <w:r>
        <w:rPr>
          <w:noProof/>
          <w:lang w:eastAsia="en-GB"/>
        </w:rPr>
        <w:tab/>
        <w:t>Each Member State shall appoint a national contact point, whose address it shall communicate to the other Member States and to EASO. Member States shall, in liaison with EASO</w:t>
      </w:r>
      <w:r>
        <w:rPr>
          <w:noProof/>
          <w:lang w:eastAsia="en-GB"/>
        </w:rPr>
        <w:t xml:space="preserve"> </w:t>
      </w:r>
      <w:r>
        <w:rPr>
          <w:bCs/>
          <w:noProof/>
          <w:lang w:eastAsia="en-GB"/>
        </w:rPr>
        <w:t>and other relevant agencies</w:t>
      </w:r>
      <w:r>
        <w:rPr>
          <w:noProof/>
          <w:lang w:eastAsia="en-GB"/>
        </w:rPr>
        <w:t>, take all the appropriate measures to establish direct cooperation and an exchange of information between the competent authorities</w:t>
      </w:r>
      <w:r>
        <w:rPr>
          <w:bCs/>
          <w:noProof/>
          <w:lang w:eastAsia="en-GB"/>
        </w:rPr>
        <w:t>, including about the grounds referred to in paragraph 8</w:t>
      </w:r>
      <w:r>
        <w:rPr>
          <w:noProof/>
          <w:lang w:eastAsia="en-GB"/>
        </w:rPr>
        <w:t>.</w:t>
      </w:r>
    </w:p>
    <w:p w:rsidR="001F0916" w:rsidRDefault="00F00A4E">
      <w:pPr>
        <w:pStyle w:val="Point1232"/>
        <w:numPr>
          <w:ilvl w:val="0"/>
          <w:numId w:val="0"/>
        </w:numPr>
        <w:ind w:left="567" w:hanging="567"/>
        <w:jc w:val="both"/>
        <w:rPr>
          <w:rFonts w:eastAsia="Calibri"/>
          <w:noProof/>
        </w:rPr>
      </w:pPr>
      <w:r>
        <w:rPr>
          <w:noProof/>
          <w:lang w:eastAsia="en-GB"/>
        </w:rPr>
        <w:t>2.</w:t>
      </w:r>
      <w:r>
        <w:rPr>
          <w:noProof/>
          <w:lang w:eastAsia="en-GB"/>
        </w:rPr>
        <w:tab/>
        <w:t>Member States shall, at regular int</w:t>
      </w:r>
      <w:r>
        <w:rPr>
          <w:noProof/>
          <w:lang w:eastAsia="en-GB"/>
        </w:rPr>
        <w:t>ervals, and at least every three months, indicate the number of applicants who can be relocated swiftly to their territory and any other relevant information.</w:t>
      </w:r>
    </w:p>
    <w:p w:rsidR="001F0916" w:rsidRDefault="00F00A4E">
      <w:pPr>
        <w:pStyle w:val="PointManual"/>
        <w:jc w:val="both"/>
        <w:rPr>
          <w:b/>
          <w:noProof/>
          <w:u w:val="single"/>
          <w:lang w:eastAsia="en-GB"/>
        </w:rPr>
      </w:pPr>
      <w:r>
        <w:rPr>
          <w:noProof/>
          <w:lang w:eastAsia="en-GB"/>
        </w:rPr>
        <w:t>3.</w:t>
      </w:r>
      <w:r>
        <w:rPr>
          <w:noProof/>
          <w:lang w:eastAsia="en-GB"/>
        </w:rPr>
        <w:tab/>
      </w:r>
      <w:r>
        <w:rPr>
          <w:bCs/>
          <w:noProof/>
          <w:lang w:eastAsia="en-GB"/>
        </w:rPr>
        <w:t>Based on information referred to in paragraph 2,</w:t>
      </w:r>
      <w:r>
        <w:rPr>
          <w:noProof/>
          <w:lang w:eastAsia="en-GB"/>
        </w:rPr>
        <w:t xml:space="preserve"> the Member State benefiting from relocation shall with the assistance of EASO and, where applicable, Member States' liaison officers referred to in paragraph 9, identify the individual applicants </w:t>
      </w:r>
      <w:r>
        <w:rPr>
          <w:bCs/>
          <w:noProof/>
          <w:lang w:eastAsia="en-GB"/>
        </w:rPr>
        <w:t>who could</w:t>
      </w:r>
      <w:r>
        <w:rPr>
          <w:noProof/>
          <w:lang w:eastAsia="en-GB"/>
        </w:rPr>
        <w:t xml:space="preserve"> be relocated to the other Member States and, as s</w:t>
      </w:r>
      <w:r>
        <w:rPr>
          <w:noProof/>
          <w:lang w:eastAsia="en-GB"/>
        </w:rPr>
        <w:t xml:space="preserve">oon as possible, submit all relevant information to the contact points of those Member States. Priority shall be given for that purpose to vulnerable applicants within the meaning of Articles 21 and 22 of Directive 2013/33/EU. </w:t>
      </w:r>
    </w:p>
    <w:p w:rsidR="001F0916" w:rsidRDefault="00F00A4E">
      <w:pPr>
        <w:pStyle w:val="PointManual"/>
        <w:jc w:val="both"/>
        <w:rPr>
          <w:noProof/>
          <w:lang w:eastAsia="en-GB"/>
        </w:rPr>
      </w:pPr>
      <w:r>
        <w:rPr>
          <w:noProof/>
          <w:lang w:eastAsia="en-GB"/>
        </w:rPr>
        <w:t>4.</w:t>
      </w:r>
      <w:r>
        <w:rPr>
          <w:noProof/>
          <w:lang w:eastAsia="en-GB"/>
        </w:rPr>
        <w:tab/>
        <w:t>Following</w:t>
      </w:r>
      <w:r>
        <w:rPr>
          <w:bCs/>
          <w:noProof/>
          <w:lang w:eastAsia="en-GB"/>
        </w:rPr>
        <w:t xml:space="preserve"> approval of the</w:t>
      </w:r>
      <w:r>
        <w:rPr>
          <w:bCs/>
          <w:noProof/>
          <w:lang w:eastAsia="en-GB"/>
        </w:rPr>
        <w:t xml:space="preserve"> Member State of relocation</w:t>
      </w:r>
      <w:r>
        <w:rPr>
          <w:noProof/>
          <w:lang w:eastAsia="en-GB"/>
        </w:rPr>
        <w:t>, the Member State benefiting from relocation shall, as soon as possible, take a decision to relocate each of the identified applicants to a specific Member State of relocation, in consultation with EASO, and shall notify in writ</w:t>
      </w:r>
      <w:r>
        <w:rPr>
          <w:noProof/>
          <w:lang w:eastAsia="en-GB"/>
        </w:rPr>
        <w:t>ing the applicant of the decision to relocate him or her to a specific Member State of relocation.</w:t>
      </w:r>
    </w:p>
    <w:p w:rsidR="001F0916" w:rsidRDefault="00F00A4E">
      <w:pPr>
        <w:pStyle w:val="PointManual"/>
        <w:jc w:val="both"/>
        <w:rPr>
          <w:b/>
          <w:noProof/>
          <w:u w:val="single"/>
          <w:lang w:eastAsia="en-GB"/>
        </w:rPr>
      </w:pPr>
      <w:r>
        <w:rPr>
          <w:noProof/>
          <w:lang w:eastAsia="en-GB"/>
        </w:rPr>
        <w:t>5.</w:t>
      </w:r>
      <w:r>
        <w:rPr>
          <w:noProof/>
          <w:lang w:eastAsia="en-GB"/>
        </w:rPr>
        <w:tab/>
        <w:t>Member States shall ensure that family members to whom the relocation applies are relocated to the territory of the same Member State.</w:t>
      </w:r>
    </w:p>
    <w:p w:rsidR="001F0916" w:rsidRDefault="00F00A4E">
      <w:pPr>
        <w:pStyle w:val="PointManual"/>
        <w:jc w:val="both"/>
        <w:rPr>
          <w:noProof/>
          <w:lang w:eastAsia="en-GB"/>
        </w:rPr>
      </w:pPr>
      <w:r>
        <w:rPr>
          <w:noProof/>
          <w:lang w:eastAsia="en-GB"/>
        </w:rPr>
        <w:t>6.</w:t>
      </w:r>
      <w:r>
        <w:rPr>
          <w:noProof/>
          <w:lang w:eastAsia="en-GB"/>
        </w:rPr>
        <w:tab/>
        <w:t>Applicants whose</w:t>
      </w:r>
      <w:r>
        <w:rPr>
          <w:noProof/>
          <w:lang w:eastAsia="en-GB"/>
        </w:rPr>
        <w:t xml:space="preserve"> fingerprints are required to be taken pursuant to the obligations set out in Article 9 of Regulation (EU) No 603/2013 may only be </w:t>
      </w:r>
      <w:r>
        <w:rPr>
          <w:bCs/>
          <w:noProof/>
          <w:lang w:eastAsia="en-GB"/>
        </w:rPr>
        <w:t>proposed for relocation</w:t>
      </w:r>
      <w:r>
        <w:rPr>
          <w:noProof/>
          <w:lang w:eastAsia="en-GB"/>
        </w:rPr>
        <w:t xml:space="preserve"> if their fingerprints have been taken </w:t>
      </w:r>
      <w:r>
        <w:rPr>
          <w:bCs/>
          <w:noProof/>
          <w:lang w:eastAsia="en-GB"/>
        </w:rPr>
        <w:t>and transmitted to the Central System of Eurodac, pursuant to t</w:t>
      </w:r>
      <w:r>
        <w:rPr>
          <w:bCs/>
          <w:noProof/>
          <w:lang w:eastAsia="en-GB"/>
        </w:rPr>
        <w:t>hat Regulation</w:t>
      </w:r>
      <w:r>
        <w:rPr>
          <w:noProof/>
          <w:lang w:eastAsia="en-GB"/>
        </w:rPr>
        <w:t>.</w:t>
      </w:r>
    </w:p>
    <w:p w:rsidR="001F0916" w:rsidRDefault="00F00A4E">
      <w:pPr>
        <w:pStyle w:val="PointManual"/>
        <w:jc w:val="both"/>
        <w:rPr>
          <w:noProof/>
          <w:lang w:eastAsia="en-GB"/>
        </w:rPr>
      </w:pPr>
      <w:r>
        <w:rPr>
          <w:noProof/>
          <w:lang w:eastAsia="en-GB"/>
        </w:rPr>
        <w:t>7.</w:t>
      </w:r>
      <w:r>
        <w:rPr>
          <w:noProof/>
          <w:lang w:eastAsia="en-GB"/>
        </w:rPr>
        <w:tab/>
        <w:t xml:space="preserve">The relocation of the applicant to the territory of the Member State of relocation shall take place as soon as possible following the date of the notification </w:t>
      </w:r>
      <w:r>
        <w:rPr>
          <w:bCs/>
          <w:noProof/>
          <w:lang w:eastAsia="en-GB"/>
        </w:rPr>
        <w:t>to the person concerned</w:t>
      </w:r>
      <w:r>
        <w:rPr>
          <w:noProof/>
          <w:lang w:eastAsia="en-GB"/>
        </w:rPr>
        <w:t xml:space="preserve"> of the relocation decision referred to in Article 33d.</w:t>
      </w:r>
      <w:r>
        <w:rPr>
          <w:noProof/>
          <w:lang w:eastAsia="en-GB"/>
        </w:rPr>
        <w:t xml:space="preserve"> The Member State benefiting from relocation shall transmit to the Member State of relocation the date and time of the relocation as well as any other relevant information.</w:t>
      </w:r>
    </w:p>
    <w:p w:rsidR="001F0916" w:rsidRDefault="00F00A4E">
      <w:pPr>
        <w:pStyle w:val="PointManual"/>
        <w:jc w:val="both"/>
        <w:rPr>
          <w:noProof/>
          <w:lang w:eastAsia="en-GB"/>
        </w:rPr>
      </w:pPr>
      <w:r>
        <w:rPr>
          <w:noProof/>
          <w:lang w:eastAsia="en-GB"/>
        </w:rPr>
        <w:t>8.</w:t>
      </w:r>
      <w:r>
        <w:rPr>
          <w:noProof/>
          <w:lang w:eastAsia="en-GB"/>
        </w:rPr>
        <w:tab/>
        <w:t>Member States shall have the right to refuse to relocate an applicant only where</w:t>
      </w:r>
      <w:r>
        <w:rPr>
          <w:noProof/>
          <w:lang w:eastAsia="en-GB"/>
        </w:rPr>
        <w:t xml:space="preserve"> there are reasonable grounds for regarding him or her as a danger to their national security or public order or where there are serious reasons for applying the exclusion provisions set out in Article 12 and 17 of Directive 2011/95/EU.</w:t>
      </w:r>
      <w:r>
        <w:rPr>
          <w:b/>
          <w:noProof/>
          <w:u w:val="single"/>
          <w:lang w:eastAsia="en-GB"/>
        </w:rPr>
        <w:t xml:space="preserve"> </w:t>
      </w:r>
    </w:p>
    <w:p w:rsidR="001F0916" w:rsidRDefault="00F00A4E">
      <w:pPr>
        <w:pStyle w:val="PointManual"/>
        <w:jc w:val="both"/>
        <w:rPr>
          <w:noProof/>
          <w:lang w:eastAsia="en-GB"/>
        </w:rPr>
      </w:pPr>
      <w:r>
        <w:rPr>
          <w:noProof/>
          <w:lang w:eastAsia="en-GB"/>
        </w:rPr>
        <w:t>9.</w:t>
      </w:r>
      <w:r>
        <w:rPr>
          <w:noProof/>
          <w:lang w:eastAsia="en-GB"/>
        </w:rPr>
        <w:tab/>
        <w:t>For the impleme</w:t>
      </w:r>
      <w:r>
        <w:rPr>
          <w:noProof/>
          <w:lang w:eastAsia="en-GB"/>
        </w:rPr>
        <w:t xml:space="preserve">ntation of all aspects of the relocation procedure described in this Article, Member States may decide to appoint in the Member State benefiting from relocation liaison officers after exchanging all relevant information. </w:t>
      </w:r>
    </w:p>
    <w:p w:rsidR="001F0916" w:rsidRDefault="00F00A4E">
      <w:pPr>
        <w:pStyle w:val="PointManual"/>
        <w:jc w:val="both"/>
        <w:rPr>
          <w:noProof/>
          <w:lang w:eastAsia="en-GB"/>
        </w:rPr>
      </w:pPr>
      <w:r>
        <w:rPr>
          <w:noProof/>
          <w:lang w:eastAsia="en-GB"/>
        </w:rPr>
        <w:t>10.</w:t>
      </w:r>
      <w:r>
        <w:rPr>
          <w:noProof/>
          <w:lang w:eastAsia="en-GB"/>
        </w:rPr>
        <w:tab/>
        <w:t>Identification, registration a</w:t>
      </w:r>
      <w:r>
        <w:rPr>
          <w:noProof/>
          <w:lang w:eastAsia="en-GB"/>
        </w:rPr>
        <w:t xml:space="preserve">nd fingerprinting for the relocation procedure shall be guaranteed by the Member State benefiting from relocation and the necessary facilities shall be in place. </w:t>
      </w:r>
      <w:r>
        <w:rPr>
          <w:noProof/>
        </w:rPr>
        <w:t>Applicants that elude the relocation procedure shall be excluded from relocation.</w:t>
      </w:r>
    </w:p>
    <w:p w:rsidR="001F0916" w:rsidRDefault="00F00A4E">
      <w:pPr>
        <w:pStyle w:val="PointManual"/>
        <w:jc w:val="both"/>
        <w:rPr>
          <w:noProof/>
          <w:lang w:eastAsia="en-GB"/>
        </w:rPr>
      </w:pPr>
      <w:r>
        <w:rPr>
          <w:noProof/>
          <w:lang w:eastAsia="en-GB"/>
        </w:rPr>
        <w:t>11.</w:t>
      </w:r>
      <w:r>
        <w:rPr>
          <w:noProof/>
          <w:lang w:eastAsia="en-GB"/>
        </w:rPr>
        <w:tab/>
        <w:t>The relo</w:t>
      </w:r>
      <w:r>
        <w:rPr>
          <w:noProof/>
          <w:lang w:eastAsia="en-GB"/>
        </w:rPr>
        <w:t xml:space="preserve">cation procedure provided for in this Annex shall </w:t>
      </w:r>
      <w:r>
        <w:rPr>
          <w:bCs/>
          <w:noProof/>
          <w:lang w:eastAsia="en-GB"/>
        </w:rPr>
        <w:t>be completed as swiftly as possible and not later</w:t>
      </w:r>
      <w:r>
        <w:rPr>
          <w:noProof/>
          <w:lang w:eastAsia="en-GB"/>
        </w:rPr>
        <w:t xml:space="preserve"> than </w:t>
      </w:r>
      <w:r>
        <w:rPr>
          <w:bCs/>
          <w:noProof/>
          <w:lang w:eastAsia="en-GB"/>
        </w:rPr>
        <w:t>two</w:t>
      </w:r>
      <w:r>
        <w:rPr>
          <w:noProof/>
          <w:lang w:eastAsia="en-GB"/>
        </w:rPr>
        <w:t xml:space="preserve"> month</w:t>
      </w:r>
      <w:r>
        <w:rPr>
          <w:bCs/>
          <w:noProof/>
          <w:lang w:eastAsia="en-GB"/>
        </w:rPr>
        <w:t>s</w:t>
      </w:r>
      <w:r>
        <w:rPr>
          <w:noProof/>
          <w:lang w:eastAsia="en-GB"/>
        </w:rPr>
        <w:t xml:space="preserve"> from the time of </w:t>
      </w:r>
      <w:r>
        <w:rPr>
          <w:bCs/>
          <w:noProof/>
          <w:lang w:eastAsia="en-GB"/>
        </w:rPr>
        <w:t>the indication given by the Member State of relocation referred to in paragraph 2</w:t>
      </w:r>
      <w:r>
        <w:rPr>
          <w:noProof/>
          <w:lang w:eastAsia="en-GB"/>
        </w:rPr>
        <w:t xml:space="preserve">, unless the approval by the Member State </w:t>
      </w:r>
      <w:r>
        <w:rPr>
          <w:noProof/>
          <w:lang w:eastAsia="en-GB"/>
        </w:rPr>
        <w:t>of relocation referred to in paragraph 4 takes place less than two weeks before the expiry of this two months period. In such case, the time limit for completing the relocation procedure may be extended by no more than two weeks. In addition, this time lim</w:t>
      </w:r>
      <w:r>
        <w:rPr>
          <w:noProof/>
          <w:lang w:eastAsia="en-GB"/>
        </w:rPr>
        <w:t>it may also be extended, with a further four weeks period, as appropriate, where the Member State benefiting from relocation justify objective practical obstacles preventing the transfer from taking place.</w:t>
      </w:r>
    </w:p>
    <w:p w:rsidR="001F0916" w:rsidRDefault="00F00A4E">
      <w:pPr>
        <w:pStyle w:val="PointManual"/>
        <w:ind w:firstLine="0"/>
        <w:jc w:val="both"/>
        <w:rPr>
          <w:b/>
          <w:noProof/>
          <w:u w:val="single"/>
          <w:lang w:eastAsia="en-GB"/>
        </w:rPr>
      </w:pPr>
      <w:r>
        <w:rPr>
          <w:bCs/>
          <w:noProof/>
          <w:lang w:eastAsia="en-GB"/>
        </w:rPr>
        <w:t>Where the relocation procedure is not completed wi</w:t>
      </w:r>
      <w:r>
        <w:rPr>
          <w:bCs/>
          <w:noProof/>
          <w:lang w:eastAsia="en-GB"/>
        </w:rPr>
        <w:t xml:space="preserve">thin this time limit and unless </w:t>
      </w:r>
      <w:r>
        <w:rPr>
          <w:noProof/>
          <w:lang w:eastAsia="en-GB"/>
        </w:rPr>
        <w:t>the Member State benefiting from relocation</w:t>
      </w:r>
      <w:r>
        <w:rPr>
          <w:bCs/>
          <w:noProof/>
          <w:lang w:eastAsia="en-GB"/>
        </w:rPr>
        <w:t xml:space="preserve"> agree with the Member State of relocation to a reasonable extension of the time limit, </w:t>
      </w:r>
      <w:r>
        <w:rPr>
          <w:noProof/>
          <w:lang w:eastAsia="en-GB"/>
        </w:rPr>
        <w:t>the Member State benefiting from relocation</w:t>
      </w:r>
      <w:r>
        <w:rPr>
          <w:bCs/>
          <w:noProof/>
          <w:lang w:eastAsia="en-GB"/>
        </w:rPr>
        <w:t xml:space="preserve"> remain responsible for examining the application </w:t>
      </w:r>
      <w:r>
        <w:rPr>
          <w:bCs/>
          <w:noProof/>
          <w:lang w:eastAsia="en-GB"/>
        </w:rPr>
        <w:t>for international protection.</w:t>
      </w:r>
    </w:p>
    <w:p w:rsidR="001F0916" w:rsidRDefault="00F00A4E">
      <w:pPr>
        <w:pStyle w:val="PointManual"/>
        <w:jc w:val="both"/>
        <w:rPr>
          <w:bCs/>
          <w:noProof/>
          <w:lang w:eastAsia="en-GB"/>
        </w:rPr>
      </w:pPr>
      <w:r>
        <w:rPr>
          <w:noProof/>
          <w:lang w:eastAsia="en-GB"/>
        </w:rPr>
        <w:t>12.</w:t>
      </w:r>
      <w:r>
        <w:rPr>
          <w:noProof/>
          <w:lang w:eastAsia="en-GB"/>
        </w:rPr>
        <w:tab/>
        <w:t>Following the relocation of the applicant, the Member State of relocation shall take and transmit to the Central System of Eurodac the fingerprints of the applicant in accordance with Article 9 of Regulation (EU) No 603/20</w:t>
      </w:r>
      <w:r>
        <w:rPr>
          <w:noProof/>
          <w:lang w:eastAsia="en-GB"/>
        </w:rPr>
        <w:t xml:space="preserve">13 and update the data sets in accordance with Article 10, and where applicable, with Article 18 of that Regulation. </w:t>
      </w:r>
    </w:p>
    <w:sectPr w:rsidR="001F0916">
      <w:headerReference w:type="even" r:id="rId23"/>
      <w:headerReference w:type="default" r:id="rId24"/>
      <w:footerReference w:type="even" r:id="rId25"/>
      <w:footerReference w:type="default" r:id="rId26"/>
      <w:headerReference w:type="first" r:id="rId27"/>
      <w:footerReference w:type="first" r:id="rId28"/>
      <w:pgSz w:w="11906" w:h="16838"/>
      <w:pgMar w:top="1417" w:right="1417" w:bottom="1417" w:left="1417" w:header="708"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0916" w:rsidRDefault="00F00A4E">
      <w:pPr>
        <w:spacing w:before="0" w:after="0"/>
      </w:pPr>
      <w:r>
        <w:separator/>
      </w:r>
    </w:p>
  </w:endnote>
  <w:endnote w:type="continuationSeparator" w:id="0">
    <w:p w:rsidR="001F0916" w:rsidRDefault="00F00A4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0A4E" w:rsidRPr="00F00A4E" w:rsidRDefault="00F00A4E" w:rsidP="00F00A4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0A4E" w:rsidRPr="00F00A4E" w:rsidRDefault="00F00A4E" w:rsidP="00F00A4E">
    <w:pPr>
      <w:pStyle w:val="FooterCoverPage"/>
      <w:rPr>
        <w:rFonts w:ascii="Arial" w:hAnsi="Arial" w:cs="Arial"/>
        <w:b/>
        <w:sz w:val="48"/>
      </w:rPr>
    </w:pPr>
    <w:r w:rsidRPr="00F00A4E">
      <w:rPr>
        <w:rFonts w:ascii="Arial" w:hAnsi="Arial" w:cs="Arial"/>
        <w:b/>
        <w:sz w:val="48"/>
      </w:rPr>
      <w:t>EN</w:t>
    </w:r>
    <w:r w:rsidRPr="00F00A4E">
      <w:rPr>
        <w:rFonts w:ascii="Arial" w:hAnsi="Arial" w:cs="Arial"/>
        <w:b/>
        <w:sz w:val="48"/>
      </w:rPr>
      <w:tab/>
    </w:r>
    <w:r w:rsidRPr="00F00A4E">
      <w:rPr>
        <w:rFonts w:ascii="Arial" w:hAnsi="Arial" w:cs="Arial"/>
        <w:b/>
        <w:sz w:val="48"/>
      </w:rPr>
      <w:tab/>
    </w:r>
    <w:fldSimple w:instr=" DOCVARIABLE &quot;LW_Confidence&quot; \* MERGEFORMAT ">
      <w:r>
        <w:t xml:space="preserve"> </w:t>
      </w:r>
    </w:fldSimple>
    <w:r w:rsidRPr="00F00A4E">
      <w:tab/>
    </w:r>
    <w:proofErr w:type="spellStart"/>
    <w:r w:rsidRPr="00F00A4E">
      <w:rPr>
        <w:rFonts w:ascii="Arial" w:hAnsi="Arial" w:cs="Arial"/>
        <w:b/>
        <w:sz w:val="48"/>
      </w:rPr>
      <w:t>EN</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0A4E" w:rsidRPr="00F00A4E" w:rsidRDefault="00F00A4E" w:rsidP="00F00A4E">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0916" w:rsidRDefault="001F0916">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08734856"/>
      <w:docPartObj>
        <w:docPartGallery w:val="Page Numbers (Bottom of Page)"/>
        <w:docPartUnique/>
      </w:docPartObj>
    </w:sdtPr>
    <w:sdtEndPr>
      <w:rPr>
        <w:noProof/>
      </w:rPr>
    </w:sdtEndPr>
    <w:sdtContent>
      <w:p w:rsidR="001F0916" w:rsidRDefault="00F00A4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1F0916" w:rsidRDefault="001F0916">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0916" w:rsidRDefault="001F0916">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0916" w:rsidRDefault="001F0916">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36028680"/>
      <w:docPartObj>
        <w:docPartGallery w:val="Page Numbers (Bottom of Page)"/>
        <w:docPartUnique/>
      </w:docPartObj>
    </w:sdtPr>
    <w:sdtEndPr>
      <w:rPr>
        <w:noProof/>
      </w:rPr>
    </w:sdtEndPr>
    <w:sdtContent>
      <w:p w:rsidR="001F0916" w:rsidRDefault="00F00A4E">
        <w:pPr>
          <w:pStyle w:val="Footer"/>
          <w:jc w:val="center"/>
        </w:pPr>
        <w:r>
          <w:fldChar w:fldCharType="begin"/>
        </w:r>
        <w:r>
          <w:instrText xml:space="preserve"> PAGE   \* MERGEFORMAT </w:instrText>
        </w:r>
        <w:r>
          <w:fldChar w:fldCharType="separate"/>
        </w:r>
        <w:r>
          <w:rPr>
            <w:noProof/>
          </w:rPr>
          <w:t>4</w:t>
        </w:r>
        <w:r>
          <w:rPr>
            <w:noProof/>
          </w:rPr>
          <w:fldChar w:fldCharType="end"/>
        </w:r>
      </w:p>
    </w:sdtContent>
  </w:sdt>
  <w:p w:rsidR="001F0916" w:rsidRDefault="001F0916">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0916" w:rsidRDefault="001F091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0916" w:rsidRDefault="00F00A4E">
      <w:pPr>
        <w:spacing w:before="0" w:after="0"/>
      </w:pPr>
      <w:r>
        <w:separator/>
      </w:r>
    </w:p>
  </w:footnote>
  <w:footnote w:type="continuationSeparator" w:id="0">
    <w:p w:rsidR="001F0916" w:rsidRDefault="00F00A4E">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0A4E" w:rsidRPr="00F00A4E" w:rsidRDefault="00F00A4E" w:rsidP="00F00A4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0A4E" w:rsidRPr="00F00A4E" w:rsidRDefault="00F00A4E" w:rsidP="00F00A4E">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0A4E" w:rsidRPr="00F00A4E" w:rsidRDefault="00F00A4E" w:rsidP="00F00A4E">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0916" w:rsidRDefault="001F0916">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0916" w:rsidRDefault="001F0916">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0916" w:rsidRDefault="001F0916">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0916" w:rsidRDefault="001F0916">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0916" w:rsidRDefault="001F0916">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0916" w:rsidRDefault="001F091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F424D0"/>
    <w:multiLevelType w:val="multilevel"/>
    <w:tmpl w:val="FC3ADE00"/>
    <w:lvl w:ilvl="0">
      <w:start w:val="1"/>
      <w:numFmt w:val="decimal"/>
      <w:lvlText w:val="(%1)"/>
      <w:lvlJc w:val="left"/>
      <w:pPr>
        <w:tabs>
          <w:tab w:val="num" w:pos="567"/>
        </w:tabs>
        <w:ind w:left="567" w:hanging="567"/>
      </w:pPr>
      <w:rPr>
        <w:rFonts w:hint="default"/>
        <w:b w:val="0"/>
        <w:bCs w:val="0"/>
        <w:strike w:val="0"/>
      </w:rPr>
    </w:lvl>
    <w:lvl w:ilvl="1">
      <w:start w:val="1"/>
      <w:numFmt w:val="lowerLetter"/>
      <w:pStyle w:val="Pointabc"/>
      <w:lvlText w:val="%2)"/>
      <w:lvlJc w:val="left"/>
      <w:pPr>
        <w:tabs>
          <w:tab w:val="num" w:pos="567"/>
        </w:tabs>
        <w:ind w:left="567" w:hanging="567"/>
      </w:pPr>
      <w:rPr>
        <w:rFonts w:hint="default"/>
      </w:rPr>
    </w:lvl>
    <w:lvl w:ilvl="2">
      <w:start w:val="1"/>
      <w:numFmt w:val="decimal"/>
      <w:pStyle w:val="Point1231"/>
      <w:lvlText w:val="%3."/>
      <w:lvlJc w:val="left"/>
      <w:pPr>
        <w:tabs>
          <w:tab w:val="num" w:pos="1134"/>
        </w:tabs>
        <w:ind w:left="1134" w:hanging="567"/>
      </w:pPr>
      <w:rPr>
        <w:rFonts w:hint="default"/>
      </w:rPr>
    </w:lvl>
    <w:lvl w:ilvl="3">
      <w:start w:val="1"/>
      <w:numFmt w:val="lowerLetter"/>
      <w:pStyle w:val="Pointabc1"/>
      <w:lvlText w:val="%4)"/>
      <w:lvlJc w:val="left"/>
      <w:pPr>
        <w:tabs>
          <w:tab w:val="num" w:pos="1134"/>
        </w:tabs>
        <w:ind w:left="1134" w:hanging="567"/>
      </w:pPr>
      <w:rPr>
        <w:rFonts w:hint="default"/>
      </w:rPr>
    </w:lvl>
    <w:lvl w:ilvl="4">
      <w:start w:val="1"/>
      <w:numFmt w:val="decimal"/>
      <w:pStyle w:val="Point1232"/>
      <w:lvlText w:val="%5."/>
      <w:lvlJc w:val="left"/>
      <w:pPr>
        <w:tabs>
          <w:tab w:val="num" w:pos="1701"/>
        </w:tabs>
        <w:ind w:left="1701" w:hanging="567"/>
      </w:pPr>
      <w:rPr>
        <w:rFonts w:hint="default"/>
      </w:rPr>
    </w:lvl>
    <w:lvl w:ilvl="5">
      <w:start w:val="1"/>
      <w:numFmt w:val="lowerLetter"/>
      <w:pStyle w:val="Pointabc2"/>
      <w:lvlText w:val="%6)"/>
      <w:lvlJc w:val="left"/>
      <w:pPr>
        <w:tabs>
          <w:tab w:val="num" w:pos="1701"/>
        </w:tabs>
        <w:ind w:left="1701" w:hanging="567"/>
      </w:pPr>
      <w:rPr>
        <w:rFonts w:hint="default"/>
      </w:rPr>
    </w:lvl>
    <w:lvl w:ilvl="6">
      <w:start w:val="1"/>
      <w:numFmt w:val="decimal"/>
      <w:pStyle w:val="Point1233"/>
      <w:lvlText w:val="%7."/>
      <w:lvlJc w:val="left"/>
      <w:pPr>
        <w:tabs>
          <w:tab w:val="num" w:pos="2268"/>
        </w:tabs>
        <w:ind w:left="2268" w:hanging="567"/>
      </w:pPr>
      <w:rPr>
        <w:rFonts w:hint="default"/>
      </w:rPr>
    </w:lvl>
    <w:lvl w:ilvl="7">
      <w:start w:val="1"/>
      <w:numFmt w:val="lowerLetter"/>
      <w:pStyle w:val="Pointabc3"/>
      <w:lvlText w:val="%8)"/>
      <w:lvlJc w:val="left"/>
      <w:pPr>
        <w:tabs>
          <w:tab w:val="num" w:pos="2268"/>
        </w:tabs>
        <w:ind w:left="2268" w:hanging="567"/>
      </w:pPr>
      <w:rPr>
        <w:rFonts w:hint="default"/>
      </w:rPr>
    </w:lvl>
    <w:lvl w:ilvl="8">
      <w:start w:val="1"/>
      <w:numFmt w:val="lowerLetter"/>
      <w:pStyle w:val="Pointabc4"/>
      <w:lvlText w:val="%9)"/>
      <w:lvlJc w:val="left"/>
      <w:pPr>
        <w:tabs>
          <w:tab w:val="num" w:pos="2835"/>
        </w:tabs>
        <w:ind w:left="2835" w:hanging="567"/>
      </w:pPr>
      <w:rPr>
        <w:rFonts w:hint="default"/>
      </w:rPr>
    </w:lvl>
  </w:abstractNum>
  <w:abstractNum w:abstractNumId="1">
    <w:nsid w:val="4A432656"/>
    <w:multiLevelType w:val="multilevel"/>
    <w:tmpl w:val="A7BE9632"/>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080"/>
        </w:tabs>
        <w:ind w:left="1080" w:hanging="600"/>
      </w:pPr>
    </w:lvl>
    <w:lvl w:ilvl="2">
      <w:start w:val="1"/>
      <w:numFmt w:val="decimal"/>
      <w:pStyle w:val="Heading3"/>
      <w:lvlText w:val="%1.%2.%3."/>
      <w:lvlJc w:val="left"/>
      <w:pPr>
        <w:tabs>
          <w:tab w:val="num" w:pos="1920"/>
        </w:tabs>
        <w:ind w:left="1920" w:hanging="840"/>
      </w:pPr>
    </w:lvl>
    <w:lvl w:ilvl="3">
      <w:start w:val="1"/>
      <w:numFmt w:val="decimal"/>
      <w:lvlText w:val="%1.%2.%3.%4."/>
      <w:lvlJc w:val="left"/>
      <w:pPr>
        <w:tabs>
          <w:tab w:val="num" w:pos="2880"/>
        </w:tabs>
        <w:ind w:left="2880" w:hanging="9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1"/>
  </w:num>
  <w:num w:numId="3">
    <w:abstractNumId w:val="1"/>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20"/>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ocStatus" w:val="Green"/>
    <w:docVar w:name="LW_ACCOMPAGNANT.CP" w:val="to the "/>
    <w:docVar w:name="LW_ANNEX_NBR_FIRST" w:val="1"/>
    <w:docVar w:name="LW_ANNEX_NBR_LAST" w:val="1"/>
    <w:docVar w:name="LW_CONFIDENCE" w:val=" "/>
    <w:docVar w:name="LW_CONST_RESTREINT_UE" w:val="RESTREINT UE/EU RESTRICTED"/>
    <w:docVar w:name="LW_CORRIGENDUM" w:val="&lt;UNUSED&gt;"/>
    <w:docVar w:name="LW_COVERPAGE_GUID" w:val="311A7A350D5D407D8A6B41AD3EB2625B"/>
    <w:docVar w:name="LW_CROSSREFERENCE" w:val="&lt;UNUSED&gt;"/>
    <w:docVar w:name="LW_DocType" w:val="NORMAL"/>
    <w:docVar w:name="LW_EMISSION" w:val="9.9.2015"/>
    <w:docVar w:name="LW_EMISSION_ISODATE" w:val="2015-09-09"/>
    <w:docVar w:name="LW_EMISSION_LOCATION" w:val="BRX"/>
    <w:docVar w:name="LW_EMISSION_PREFIX" w:val="Brussels, "/>
    <w:docVar w:name="LW_EMISSION_SUFFIX" w:val=" "/>
    <w:docVar w:name="LW_ID_DOCTYPE_NONLW" w:val="CP-036"/>
    <w:docVar w:name="LW_LANGUE" w:val="EN"/>
    <w:docVar w:name="LW_MARKING" w:val="&lt;UNUSED&gt;"/>
    <w:docVar w:name="LW_NOM.INST" w:val="EUROPEAN COMMISSION"/>
    <w:docVar w:name="LW_NOM.INST_JOINTDOC" w:val="&lt;EMPTY&gt;"/>
    <w:docVar w:name="LW_OBJETACTEPRINCIPAL.CP" w:val="_x000b_establishing a crisis relocation mechanism and amending Regulation (EU) No 604/2013 of the European Parliament and of the Council of 26 June 2013 establishing the criteria and mechanisms for determining the Member State responsible for examining an application for international protection lodged in one of the Member States by a third country national or a stateless person_x000b_"/>
    <w:docVar w:name="LW_PART_NBR" w:val="1"/>
    <w:docVar w:name="LW_PART_NBR_TOTAL" w:val="1"/>
    <w:docVar w:name="LW_REF.INST.NEW" w:val="COM"/>
    <w:docVar w:name="LW_REF.INST.NEW_ADOPTED" w:val="final"/>
    <w:docVar w:name="LW_REF.INST.NEW_TEXT" w:val="(2015) 450"/>
    <w:docVar w:name="LW_REF.INTERNE" w:val="&lt;UNUSED&gt;"/>
    <w:docVar w:name="LW_SUPERTITRE" w:val="&lt;UNUSED&gt;"/>
    <w:docVar w:name="LW_TITRE.OBJ.CP" w:val="&lt;UNUSED&gt;"/>
    <w:docVar w:name="LW_TYPE.DOC.CP" w:val="ANNEX_x000b_"/>
    <w:docVar w:name="LW_TYPEACTEPRINCIPAL.CP" w:val="REGULATION OF THE EUROPEAN PARLIAMENT AND OF THE COUNCIL"/>
  </w:docVars>
  <w:rsids>
    <w:rsidRoot w:val="001F0916"/>
    <w:rsid w:val="001F0916"/>
    <w:rsid w:val="00F00A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jc w:val="both"/>
    </w:pPr>
    <w:rPr>
      <w:rFonts w:eastAsiaTheme="minorHAnsi"/>
      <w:sz w:val="24"/>
      <w:szCs w:val="22"/>
    </w:rPr>
  </w:style>
  <w:style w:type="paragraph" w:styleId="Heading1">
    <w:name w:val="heading 1"/>
    <w:basedOn w:val="Normal"/>
    <w:next w:val="Normal"/>
    <w:link w:val="Heading1Char"/>
    <w:uiPriority w:val="9"/>
    <w:qFormat/>
    <w:pPr>
      <w:keepNext/>
      <w:numPr>
        <w:numId w:val="4"/>
      </w:numPr>
      <w:spacing w:before="240" w:after="240"/>
      <w:outlineLvl w:val="0"/>
    </w:pPr>
    <w:rPr>
      <w:b/>
      <w:smallCaps/>
      <w:szCs w:val="20"/>
    </w:rPr>
  </w:style>
  <w:style w:type="paragraph" w:styleId="Heading2">
    <w:name w:val="heading 2"/>
    <w:basedOn w:val="Normal"/>
    <w:next w:val="Normal"/>
    <w:link w:val="Heading2Char"/>
    <w:uiPriority w:val="9"/>
    <w:qFormat/>
    <w:pPr>
      <w:keepNext/>
      <w:numPr>
        <w:ilvl w:val="1"/>
        <w:numId w:val="4"/>
      </w:numPr>
      <w:spacing w:after="240"/>
      <w:outlineLvl w:val="1"/>
    </w:pPr>
    <w:rPr>
      <w:b/>
      <w:szCs w:val="20"/>
    </w:rPr>
  </w:style>
  <w:style w:type="paragraph" w:styleId="Heading3">
    <w:name w:val="heading 3"/>
    <w:basedOn w:val="Normal"/>
    <w:next w:val="Normal"/>
    <w:link w:val="Heading3Char"/>
    <w:uiPriority w:val="9"/>
    <w:qFormat/>
    <w:pPr>
      <w:keepNext/>
      <w:numPr>
        <w:ilvl w:val="2"/>
        <w:numId w:val="4"/>
      </w:numPr>
      <w:spacing w:after="240"/>
      <w:outlineLvl w:val="2"/>
    </w:pPr>
    <w:rPr>
      <w:i/>
      <w:szCs w:val="20"/>
    </w:rPr>
  </w:style>
  <w:style w:type="paragraph" w:styleId="Heading4">
    <w:name w:val="heading 4"/>
    <w:basedOn w:val="Normal"/>
    <w:next w:val="Normal"/>
    <w:link w:val="Heading4Char"/>
    <w:uiPriority w:val="9"/>
    <w:qFormat/>
    <w:pPr>
      <w:keepNext/>
      <w:tabs>
        <w:tab w:val="num" w:pos="2880"/>
      </w:tabs>
      <w:spacing w:after="240"/>
      <w:ind w:left="2880" w:hanging="960"/>
      <w:outlineLvl w:val="3"/>
    </w:pPr>
    <w:rPr>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b/>
      <w:smallCaps/>
      <w:sz w:val="24"/>
    </w:rPr>
  </w:style>
  <w:style w:type="character" w:customStyle="1" w:styleId="Heading2Char">
    <w:name w:val="Heading 2 Char"/>
    <w:link w:val="Heading2"/>
    <w:uiPriority w:val="9"/>
    <w:rPr>
      <w:b/>
      <w:sz w:val="24"/>
    </w:rPr>
  </w:style>
  <w:style w:type="character" w:customStyle="1" w:styleId="Heading3Char">
    <w:name w:val="Heading 3 Char"/>
    <w:link w:val="Heading3"/>
    <w:uiPriority w:val="9"/>
    <w:rPr>
      <w:i/>
      <w:sz w:val="24"/>
    </w:rPr>
  </w:style>
  <w:style w:type="character" w:customStyle="1" w:styleId="Heading4Char">
    <w:name w:val="Heading 4 Char"/>
    <w:link w:val="Heading4"/>
    <w:uiPriority w:val="9"/>
    <w:rPr>
      <w:sz w:val="24"/>
    </w:rPr>
  </w:style>
  <w:style w:type="paragraph" w:styleId="Title">
    <w:name w:val="Title"/>
    <w:basedOn w:val="Normal"/>
    <w:next w:val="Normal"/>
    <w:link w:val="TitleChar"/>
    <w:qFormat/>
    <w:pPr>
      <w:spacing w:before="240" w:after="60"/>
      <w:jc w:val="center"/>
      <w:outlineLvl w:val="0"/>
    </w:pPr>
    <w:rPr>
      <w:rFonts w:ascii="Cambria" w:hAnsi="Cambria"/>
      <w:b/>
      <w:bCs/>
      <w:kern w:val="28"/>
      <w:sz w:val="32"/>
      <w:szCs w:val="32"/>
    </w:rPr>
  </w:style>
  <w:style w:type="character" w:customStyle="1" w:styleId="TitleChar">
    <w:name w:val="Title Char"/>
    <w:link w:val="Title"/>
    <w:rPr>
      <w:rFonts w:ascii="Cambria" w:hAnsi="Cambria"/>
      <w:b/>
      <w:bCs/>
      <w:kern w:val="28"/>
      <w:sz w:val="32"/>
      <w:szCs w:val="32"/>
    </w:rPr>
  </w:style>
  <w:style w:type="paragraph" w:styleId="ListParagraph">
    <w:name w:val="List Paragraph"/>
    <w:basedOn w:val="Normal"/>
    <w:uiPriority w:val="34"/>
    <w:qFormat/>
    <w:pPr>
      <w:ind w:left="720"/>
    </w:pPr>
    <w:rPr>
      <w:rFonts w:ascii="Calibri" w:hAnsi="Calibri"/>
      <w:sz w:val="22"/>
    </w:rPr>
  </w:style>
  <w:style w:type="paragraph" w:styleId="TOCHeading">
    <w:name w:val="TOC Heading"/>
    <w:basedOn w:val="Heading1"/>
    <w:next w:val="Normal"/>
    <w:uiPriority w:val="39"/>
    <w:semiHidden/>
    <w:unhideWhenUsed/>
    <w:qFormat/>
    <w:pPr>
      <w:keepLines/>
      <w:numPr>
        <w:numId w:val="0"/>
      </w:numPr>
      <w:spacing w:before="480" w:after="0" w:line="276" w:lineRule="auto"/>
      <w:jc w:val="left"/>
      <w:outlineLvl w:val="9"/>
    </w:pPr>
    <w:rPr>
      <w:rFonts w:ascii="Cambria" w:eastAsia="MS Gothic" w:hAnsi="Cambria"/>
      <w:bCs/>
      <w:smallCaps w:val="0"/>
      <w:color w:val="365F91"/>
      <w:sz w:val="28"/>
      <w:szCs w:val="28"/>
      <w:lang w:val="en-US" w:eastAsia="ja-JP"/>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eastAsiaTheme="minorHAnsi"/>
      <w:sz w:val="24"/>
      <w:szCs w:val="22"/>
    </w:rPr>
  </w:style>
  <w:style w:type="paragraph" w:customStyle="1" w:styleId="Personnequisigne">
    <w:name w:val="Personne qui signe"/>
    <w:basedOn w:val="Normal"/>
    <w:next w:val="Normal"/>
    <w:pPr>
      <w:tabs>
        <w:tab w:val="left" w:pos="4252"/>
      </w:tabs>
      <w:spacing w:before="0" w:after="0"/>
      <w:jc w:val="left"/>
    </w:pPr>
    <w:rPr>
      <w:i/>
    </w:rPr>
  </w:style>
  <w:style w:type="paragraph" w:customStyle="1" w:styleId="Pointabc">
    <w:name w:val="Point abc"/>
    <w:basedOn w:val="Normal"/>
    <w:pPr>
      <w:numPr>
        <w:ilvl w:val="1"/>
        <w:numId w:val="5"/>
      </w:numPr>
      <w:spacing w:line="360" w:lineRule="auto"/>
      <w:jc w:val="left"/>
    </w:pPr>
    <w:rPr>
      <w:rFonts w:eastAsia="Times New Roman"/>
      <w:szCs w:val="24"/>
    </w:rPr>
  </w:style>
  <w:style w:type="paragraph" w:customStyle="1" w:styleId="Pointabc1">
    <w:name w:val="Point abc (1)"/>
    <w:basedOn w:val="Normal"/>
    <w:pPr>
      <w:numPr>
        <w:ilvl w:val="3"/>
        <w:numId w:val="5"/>
      </w:numPr>
      <w:spacing w:line="360" w:lineRule="auto"/>
      <w:jc w:val="left"/>
      <w:outlineLvl w:val="0"/>
    </w:pPr>
    <w:rPr>
      <w:rFonts w:eastAsia="Times New Roman"/>
      <w:szCs w:val="24"/>
    </w:rPr>
  </w:style>
  <w:style w:type="paragraph" w:customStyle="1" w:styleId="Pointabc2">
    <w:name w:val="Point abc (2)"/>
    <w:basedOn w:val="Normal"/>
    <w:pPr>
      <w:numPr>
        <w:ilvl w:val="5"/>
        <w:numId w:val="5"/>
      </w:numPr>
      <w:spacing w:line="360" w:lineRule="auto"/>
      <w:jc w:val="left"/>
      <w:outlineLvl w:val="1"/>
    </w:pPr>
    <w:rPr>
      <w:rFonts w:eastAsia="Times New Roman"/>
      <w:szCs w:val="24"/>
    </w:rPr>
  </w:style>
  <w:style w:type="paragraph" w:customStyle="1" w:styleId="Pointabc3">
    <w:name w:val="Point abc (3)"/>
    <w:basedOn w:val="Normal"/>
    <w:pPr>
      <w:numPr>
        <w:ilvl w:val="7"/>
        <w:numId w:val="5"/>
      </w:numPr>
      <w:spacing w:line="360" w:lineRule="auto"/>
      <w:jc w:val="left"/>
      <w:outlineLvl w:val="2"/>
    </w:pPr>
    <w:rPr>
      <w:rFonts w:eastAsia="Times New Roman"/>
      <w:szCs w:val="24"/>
    </w:rPr>
  </w:style>
  <w:style w:type="paragraph" w:customStyle="1" w:styleId="Pointabc4">
    <w:name w:val="Point abc (4)"/>
    <w:basedOn w:val="Normal"/>
    <w:pPr>
      <w:numPr>
        <w:ilvl w:val="8"/>
        <w:numId w:val="5"/>
      </w:numPr>
      <w:spacing w:line="360" w:lineRule="auto"/>
      <w:jc w:val="left"/>
      <w:outlineLvl w:val="3"/>
    </w:pPr>
    <w:rPr>
      <w:rFonts w:eastAsia="Times New Roman"/>
      <w:szCs w:val="24"/>
    </w:rPr>
  </w:style>
  <w:style w:type="paragraph" w:customStyle="1" w:styleId="Point1231">
    <w:name w:val="Point 123 (1)"/>
    <w:basedOn w:val="Normal"/>
    <w:pPr>
      <w:numPr>
        <w:ilvl w:val="2"/>
        <w:numId w:val="5"/>
      </w:numPr>
      <w:spacing w:line="360" w:lineRule="auto"/>
      <w:jc w:val="left"/>
      <w:outlineLvl w:val="0"/>
    </w:pPr>
    <w:rPr>
      <w:rFonts w:eastAsia="Times New Roman"/>
      <w:szCs w:val="24"/>
    </w:rPr>
  </w:style>
  <w:style w:type="paragraph" w:customStyle="1" w:styleId="Point1232">
    <w:name w:val="Point 123 (2)"/>
    <w:basedOn w:val="Normal"/>
    <w:pPr>
      <w:numPr>
        <w:ilvl w:val="4"/>
        <w:numId w:val="5"/>
      </w:numPr>
      <w:spacing w:line="360" w:lineRule="auto"/>
      <w:jc w:val="left"/>
      <w:outlineLvl w:val="1"/>
    </w:pPr>
    <w:rPr>
      <w:rFonts w:eastAsia="Times New Roman"/>
      <w:szCs w:val="24"/>
    </w:rPr>
  </w:style>
  <w:style w:type="paragraph" w:customStyle="1" w:styleId="Point1233">
    <w:name w:val="Point 123 (3)"/>
    <w:basedOn w:val="Normal"/>
    <w:pPr>
      <w:numPr>
        <w:ilvl w:val="6"/>
        <w:numId w:val="5"/>
      </w:numPr>
      <w:spacing w:line="360" w:lineRule="auto"/>
      <w:jc w:val="left"/>
      <w:outlineLvl w:val="2"/>
    </w:pPr>
    <w:rPr>
      <w:rFonts w:eastAsia="Times New Roman"/>
      <w:szCs w:val="24"/>
    </w:rPr>
  </w:style>
  <w:style w:type="paragraph" w:customStyle="1" w:styleId="PointManual">
    <w:name w:val="Point Manual"/>
    <w:basedOn w:val="Normal"/>
    <w:pPr>
      <w:spacing w:line="360" w:lineRule="auto"/>
      <w:ind w:left="567" w:hanging="567"/>
      <w:jc w:val="left"/>
    </w:pPr>
    <w:rPr>
      <w:rFonts w:eastAsia="Times New Roman"/>
      <w:szCs w:val="24"/>
    </w:rPr>
  </w:style>
  <w:style w:type="character" w:customStyle="1" w:styleId="Marker">
    <w:name w:val="Marker"/>
    <w:basedOn w:val="DefaultParagraphFont"/>
    <w:rPr>
      <w:color w:val="0000FF"/>
      <w:shd w:val="clear" w:color="auto" w:fill="auto"/>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heme="minorHAnsi" w:hAnsi="Tahoma" w:cs="Tahoma"/>
      <w:sz w:val="16"/>
      <w:szCs w:val="16"/>
    </w:rPr>
  </w:style>
  <w:style w:type="paragraph" w:customStyle="1" w:styleId="Pagedecouverture">
    <w:name w:val="Page de couverture"/>
    <w:basedOn w:val="Normal"/>
    <w:next w:val="Normal"/>
    <w:pPr>
      <w:spacing w:before="0" w:after="0"/>
    </w:pPr>
  </w:style>
  <w:style w:type="paragraph" w:styleId="Header">
    <w:name w:val="header"/>
    <w:basedOn w:val="Normal"/>
    <w:link w:val="HeaderChar"/>
    <w:uiPriority w:val="99"/>
    <w:unhideWhenUsed/>
    <w:pPr>
      <w:tabs>
        <w:tab w:val="center" w:pos="4536"/>
        <w:tab w:val="right" w:pos="9072"/>
      </w:tabs>
      <w:spacing w:before="0" w:after="0"/>
    </w:pPr>
  </w:style>
  <w:style w:type="character" w:customStyle="1" w:styleId="HeaderChar">
    <w:name w:val="Header Char"/>
    <w:basedOn w:val="DefaultParagraphFont"/>
    <w:link w:val="Header"/>
    <w:uiPriority w:val="99"/>
    <w:rPr>
      <w:rFonts w:eastAsiaTheme="minorHAnsi"/>
      <w:sz w:val="24"/>
      <w:szCs w:val="22"/>
    </w:rPr>
  </w:style>
  <w:style w:type="paragraph" w:customStyle="1" w:styleId="FooterCoverPage">
    <w:name w:val="Footer Cover Page"/>
    <w:basedOn w:val="Normal"/>
    <w:link w:val="FooterCoverPageChar"/>
    <w:pPr>
      <w:tabs>
        <w:tab w:val="center" w:pos="4535"/>
        <w:tab w:val="right" w:pos="9071"/>
        <w:tab w:val="right" w:pos="9921"/>
      </w:tabs>
      <w:spacing w:before="360" w:after="0"/>
      <w:ind w:left="-850" w:right="-850"/>
      <w:jc w:val="left"/>
    </w:pPr>
  </w:style>
  <w:style w:type="character" w:customStyle="1" w:styleId="FooterCoverPageChar">
    <w:name w:val="Footer Cover Page Char"/>
    <w:basedOn w:val="DefaultParagraphFont"/>
    <w:link w:val="FooterCoverPage"/>
    <w:rPr>
      <w:rFonts w:eastAsiaTheme="minorHAnsi"/>
      <w:sz w:val="24"/>
      <w:szCs w:val="22"/>
    </w:rPr>
  </w:style>
  <w:style w:type="paragraph" w:customStyle="1" w:styleId="HeaderCoverPage">
    <w:name w:val="Header Cover Page"/>
    <w:basedOn w:val="Normal"/>
    <w:link w:val="HeaderCoverPageChar"/>
    <w:pPr>
      <w:tabs>
        <w:tab w:val="center" w:pos="4535"/>
        <w:tab w:val="right" w:pos="9071"/>
      </w:tabs>
      <w:spacing w:before="0"/>
    </w:pPr>
  </w:style>
  <w:style w:type="character" w:customStyle="1" w:styleId="HeaderCoverPageChar">
    <w:name w:val="Header Cover Page Char"/>
    <w:basedOn w:val="DefaultParagraphFont"/>
    <w:link w:val="HeaderCoverPage"/>
    <w:rPr>
      <w:rFonts w:eastAsiaTheme="minorHAnsi"/>
      <w:sz w:val="24"/>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jc w:val="both"/>
    </w:pPr>
    <w:rPr>
      <w:rFonts w:eastAsiaTheme="minorHAnsi"/>
      <w:sz w:val="24"/>
      <w:szCs w:val="22"/>
    </w:rPr>
  </w:style>
  <w:style w:type="paragraph" w:styleId="Heading1">
    <w:name w:val="heading 1"/>
    <w:basedOn w:val="Normal"/>
    <w:next w:val="Normal"/>
    <w:link w:val="Heading1Char"/>
    <w:uiPriority w:val="9"/>
    <w:qFormat/>
    <w:pPr>
      <w:keepNext/>
      <w:numPr>
        <w:numId w:val="4"/>
      </w:numPr>
      <w:spacing w:before="240" w:after="240"/>
      <w:outlineLvl w:val="0"/>
    </w:pPr>
    <w:rPr>
      <w:b/>
      <w:smallCaps/>
      <w:szCs w:val="20"/>
    </w:rPr>
  </w:style>
  <w:style w:type="paragraph" w:styleId="Heading2">
    <w:name w:val="heading 2"/>
    <w:basedOn w:val="Normal"/>
    <w:next w:val="Normal"/>
    <w:link w:val="Heading2Char"/>
    <w:uiPriority w:val="9"/>
    <w:qFormat/>
    <w:pPr>
      <w:keepNext/>
      <w:numPr>
        <w:ilvl w:val="1"/>
        <w:numId w:val="4"/>
      </w:numPr>
      <w:spacing w:after="240"/>
      <w:outlineLvl w:val="1"/>
    </w:pPr>
    <w:rPr>
      <w:b/>
      <w:szCs w:val="20"/>
    </w:rPr>
  </w:style>
  <w:style w:type="paragraph" w:styleId="Heading3">
    <w:name w:val="heading 3"/>
    <w:basedOn w:val="Normal"/>
    <w:next w:val="Normal"/>
    <w:link w:val="Heading3Char"/>
    <w:uiPriority w:val="9"/>
    <w:qFormat/>
    <w:pPr>
      <w:keepNext/>
      <w:numPr>
        <w:ilvl w:val="2"/>
        <w:numId w:val="4"/>
      </w:numPr>
      <w:spacing w:after="240"/>
      <w:outlineLvl w:val="2"/>
    </w:pPr>
    <w:rPr>
      <w:i/>
      <w:szCs w:val="20"/>
    </w:rPr>
  </w:style>
  <w:style w:type="paragraph" w:styleId="Heading4">
    <w:name w:val="heading 4"/>
    <w:basedOn w:val="Normal"/>
    <w:next w:val="Normal"/>
    <w:link w:val="Heading4Char"/>
    <w:uiPriority w:val="9"/>
    <w:qFormat/>
    <w:pPr>
      <w:keepNext/>
      <w:tabs>
        <w:tab w:val="num" w:pos="2880"/>
      </w:tabs>
      <w:spacing w:after="240"/>
      <w:ind w:left="2880" w:hanging="960"/>
      <w:outlineLvl w:val="3"/>
    </w:pPr>
    <w:rPr>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b/>
      <w:smallCaps/>
      <w:sz w:val="24"/>
    </w:rPr>
  </w:style>
  <w:style w:type="character" w:customStyle="1" w:styleId="Heading2Char">
    <w:name w:val="Heading 2 Char"/>
    <w:link w:val="Heading2"/>
    <w:uiPriority w:val="9"/>
    <w:rPr>
      <w:b/>
      <w:sz w:val="24"/>
    </w:rPr>
  </w:style>
  <w:style w:type="character" w:customStyle="1" w:styleId="Heading3Char">
    <w:name w:val="Heading 3 Char"/>
    <w:link w:val="Heading3"/>
    <w:uiPriority w:val="9"/>
    <w:rPr>
      <w:i/>
      <w:sz w:val="24"/>
    </w:rPr>
  </w:style>
  <w:style w:type="character" w:customStyle="1" w:styleId="Heading4Char">
    <w:name w:val="Heading 4 Char"/>
    <w:link w:val="Heading4"/>
    <w:uiPriority w:val="9"/>
    <w:rPr>
      <w:sz w:val="24"/>
    </w:rPr>
  </w:style>
  <w:style w:type="paragraph" w:styleId="Title">
    <w:name w:val="Title"/>
    <w:basedOn w:val="Normal"/>
    <w:next w:val="Normal"/>
    <w:link w:val="TitleChar"/>
    <w:qFormat/>
    <w:pPr>
      <w:spacing w:before="240" w:after="60"/>
      <w:jc w:val="center"/>
      <w:outlineLvl w:val="0"/>
    </w:pPr>
    <w:rPr>
      <w:rFonts w:ascii="Cambria" w:hAnsi="Cambria"/>
      <w:b/>
      <w:bCs/>
      <w:kern w:val="28"/>
      <w:sz w:val="32"/>
      <w:szCs w:val="32"/>
    </w:rPr>
  </w:style>
  <w:style w:type="character" w:customStyle="1" w:styleId="TitleChar">
    <w:name w:val="Title Char"/>
    <w:link w:val="Title"/>
    <w:rPr>
      <w:rFonts w:ascii="Cambria" w:hAnsi="Cambria"/>
      <w:b/>
      <w:bCs/>
      <w:kern w:val="28"/>
      <w:sz w:val="32"/>
      <w:szCs w:val="32"/>
    </w:rPr>
  </w:style>
  <w:style w:type="paragraph" w:styleId="ListParagraph">
    <w:name w:val="List Paragraph"/>
    <w:basedOn w:val="Normal"/>
    <w:uiPriority w:val="34"/>
    <w:qFormat/>
    <w:pPr>
      <w:ind w:left="720"/>
    </w:pPr>
    <w:rPr>
      <w:rFonts w:ascii="Calibri" w:hAnsi="Calibri"/>
      <w:sz w:val="22"/>
    </w:rPr>
  </w:style>
  <w:style w:type="paragraph" w:styleId="TOCHeading">
    <w:name w:val="TOC Heading"/>
    <w:basedOn w:val="Heading1"/>
    <w:next w:val="Normal"/>
    <w:uiPriority w:val="39"/>
    <w:semiHidden/>
    <w:unhideWhenUsed/>
    <w:qFormat/>
    <w:pPr>
      <w:keepLines/>
      <w:numPr>
        <w:numId w:val="0"/>
      </w:numPr>
      <w:spacing w:before="480" w:after="0" w:line="276" w:lineRule="auto"/>
      <w:jc w:val="left"/>
      <w:outlineLvl w:val="9"/>
    </w:pPr>
    <w:rPr>
      <w:rFonts w:ascii="Cambria" w:eastAsia="MS Gothic" w:hAnsi="Cambria"/>
      <w:bCs/>
      <w:smallCaps w:val="0"/>
      <w:color w:val="365F91"/>
      <w:sz w:val="28"/>
      <w:szCs w:val="28"/>
      <w:lang w:val="en-US" w:eastAsia="ja-JP"/>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eastAsiaTheme="minorHAnsi"/>
      <w:sz w:val="24"/>
      <w:szCs w:val="22"/>
    </w:rPr>
  </w:style>
  <w:style w:type="paragraph" w:customStyle="1" w:styleId="Personnequisigne">
    <w:name w:val="Personne qui signe"/>
    <w:basedOn w:val="Normal"/>
    <w:next w:val="Normal"/>
    <w:pPr>
      <w:tabs>
        <w:tab w:val="left" w:pos="4252"/>
      </w:tabs>
      <w:spacing w:before="0" w:after="0"/>
      <w:jc w:val="left"/>
    </w:pPr>
    <w:rPr>
      <w:i/>
    </w:rPr>
  </w:style>
  <w:style w:type="paragraph" w:customStyle="1" w:styleId="Pointabc">
    <w:name w:val="Point abc"/>
    <w:basedOn w:val="Normal"/>
    <w:pPr>
      <w:numPr>
        <w:ilvl w:val="1"/>
        <w:numId w:val="5"/>
      </w:numPr>
      <w:spacing w:line="360" w:lineRule="auto"/>
      <w:jc w:val="left"/>
    </w:pPr>
    <w:rPr>
      <w:rFonts w:eastAsia="Times New Roman"/>
      <w:szCs w:val="24"/>
    </w:rPr>
  </w:style>
  <w:style w:type="paragraph" w:customStyle="1" w:styleId="Pointabc1">
    <w:name w:val="Point abc (1)"/>
    <w:basedOn w:val="Normal"/>
    <w:pPr>
      <w:numPr>
        <w:ilvl w:val="3"/>
        <w:numId w:val="5"/>
      </w:numPr>
      <w:spacing w:line="360" w:lineRule="auto"/>
      <w:jc w:val="left"/>
      <w:outlineLvl w:val="0"/>
    </w:pPr>
    <w:rPr>
      <w:rFonts w:eastAsia="Times New Roman"/>
      <w:szCs w:val="24"/>
    </w:rPr>
  </w:style>
  <w:style w:type="paragraph" w:customStyle="1" w:styleId="Pointabc2">
    <w:name w:val="Point abc (2)"/>
    <w:basedOn w:val="Normal"/>
    <w:pPr>
      <w:numPr>
        <w:ilvl w:val="5"/>
        <w:numId w:val="5"/>
      </w:numPr>
      <w:spacing w:line="360" w:lineRule="auto"/>
      <w:jc w:val="left"/>
      <w:outlineLvl w:val="1"/>
    </w:pPr>
    <w:rPr>
      <w:rFonts w:eastAsia="Times New Roman"/>
      <w:szCs w:val="24"/>
    </w:rPr>
  </w:style>
  <w:style w:type="paragraph" w:customStyle="1" w:styleId="Pointabc3">
    <w:name w:val="Point abc (3)"/>
    <w:basedOn w:val="Normal"/>
    <w:pPr>
      <w:numPr>
        <w:ilvl w:val="7"/>
        <w:numId w:val="5"/>
      </w:numPr>
      <w:spacing w:line="360" w:lineRule="auto"/>
      <w:jc w:val="left"/>
      <w:outlineLvl w:val="2"/>
    </w:pPr>
    <w:rPr>
      <w:rFonts w:eastAsia="Times New Roman"/>
      <w:szCs w:val="24"/>
    </w:rPr>
  </w:style>
  <w:style w:type="paragraph" w:customStyle="1" w:styleId="Pointabc4">
    <w:name w:val="Point abc (4)"/>
    <w:basedOn w:val="Normal"/>
    <w:pPr>
      <w:numPr>
        <w:ilvl w:val="8"/>
        <w:numId w:val="5"/>
      </w:numPr>
      <w:spacing w:line="360" w:lineRule="auto"/>
      <w:jc w:val="left"/>
      <w:outlineLvl w:val="3"/>
    </w:pPr>
    <w:rPr>
      <w:rFonts w:eastAsia="Times New Roman"/>
      <w:szCs w:val="24"/>
    </w:rPr>
  </w:style>
  <w:style w:type="paragraph" w:customStyle="1" w:styleId="Point1231">
    <w:name w:val="Point 123 (1)"/>
    <w:basedOn w:val="Normal"/>
    <w:pPr>
      <w:numPr>
        <w:ilvl w:val="2"/>
        <w:numId w:val="5"/>
      </w:numPr>
      <w:spacing w:line="360" w:lineRule="auto"/>
      <w:jc w:val="left"/>
      <w:outlineLvl w:val="0"/>
    </w:pPr>
    <w:rPr>
      <w:rFonts w:eastAsia="Times New Roman"/>
      <w:szCs w:val="24"/>
    </w:rPr>
  </w:style>
  <w:style w:type="paragraph" w:customStyle="1" w:styleId="Point1232">
    <w:name w:val="Point 123 (2)"/>
    <w:basedOn w:val="Normal"/>
    <w:pPr>
      <w:numPr>
        <w:ilvl w:val="4"/>
        <w:numId w:val="5"/>
      </w:numPr>
      <w:spacing w:line="360" w:lineRule="auto"/>
      <w:jc w:val="left"/>
      <w:outlineLvl w:val="1"/>
    </w:pPr>
    <w:rPr>
      <w:rFonts w:eastAsia="Times New Roman"/>
      <w:szCs w:val="24"/>
    </w:rPr>
  </w:style>
  <w:style w:type="paragraph" w:customStyle="1" w:styleId="Point1233">
    <w:name w:val="Point 123 (3)"/>
    <w:basedOn w:val="Normal"/>
    <w:pPr>
      <w:numPr>
        <w:ilvl w:val="6"/>
        <w:numId w:val="5"/>
      </w:numPr>
      <w:spacing w:line="360" w:lineRule="auto"/>
      <w:jc w:val="left"/>
      <w:outlineLvl w:val="2"/>
    </w:pPr>
    <w:rPr>
      <w:rFonts w:eastAsia="Times New Roman"/>
      <w:szCs w:val="24"/>
    </w:rPr>
  </w:style>
  <w:style w:type="paragraph" w:customStyle="1" w:styleId="PointManual">
    <w:name w:val="Point Manual"/>
    <w:basedOn w:val="Normal"/>
    <w:pPr>
      <w:spacing w:line="360" w:lineRule="auto"/>
      <w:ind w:left="567" w:hanging="567"/>
      <w:jc w:val="left"/>
    </w:pPr>
    <w:rPr>
      <w:rFonts w:eastAsia="Times New Roman"/>
      <w:szCs w:val="24"/>
    </w:rPr>
  </w:style>
  <w:style w:type="character" w:customStyle="1" w:styleId="Marker">
    <w:name w:val="Marker"/>
    <w:basedOn w:val="DefaultParagraphFont"/>
    <w:rPr>
      <w:color w:val="0000FF"/>
      <w:shd w:val="clear" w:color="auto" w:fill="auto"/>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heme="minorHAnsi" w:hAnsi="Tahoma" w:cs="Tahoma"/>
      <w:sz w:val="16"/>
      <w:szCs w:val="16"/>
    </w:rPr>
  </w:style>
  <w:style w:type="paragraph" w:customStyle="1" w:styleId="Pagedecouverture">
    <w:name w:val="Page de couverture"/>
    <w:basedOn w:val="Normal"/>
    <w:next w:val="Normal"/>
    <w:pPr>
      <w:spacing w:before="0" w:after="0"/>
    </w:pPr>
  </w:style>
  <w:style w:type="paragraph" w:styleId="Header">
    <w:name w:val="header"/>
    <w:basedOn w:val="Normal"/>
    <w:link w:val="HeaderChar"/>
    <w:uiPriority w:val="99"/>
    <w:unhideWhenUsed/>
    <w:pPr>
      <w:tabs>
        <w:tab w:val="center" w:pos="4536"/>
        <w:tab w:val="right" w:pos="9072"/>
      </w:tabs>
      <w:spacing w:before="0" w:after="0"/>
    </w:pPr>
  </w:style>
  <w:style w:type="character" w:customStyle="1" w:styleId="HeaderChar">
    <w:name w:val="Header Char"/>
    <w:basedOn w:val="DefaultParagraphFont"/>
    <w:link w:val="Header"/>
    <w:uiPriority w:val="99"/>
    <w:rPr>
      <w:rFonts w:eastAsiaTheme="minorHAnsi"/>
      <w:sz w:val="24"/>
      <w:szCs w:val="22"/>
    </w:rPr>
  </w:style>
  <w:style w:type="paragraph" w:customStyle="1" w:styleId="FooterCoverPage">
    <w:name w:val="Footer Cover Page"/>
    <w:basedOn w:val="Normal"/>
    <w:link w:val="FooterCoverPageChar"/>
    <w:pPr>
      <w:tabs>
        <w:tab w:val="center" w:pos="4535"/>
        <w:tab w:val="right" w:pos="9071"/>
        <w:tab w:val="right" w:pos="9921"/>
      </w:tabs>
      <w:spacing w:before="360" w:after="0"/>
      <w:ind w:left="-850" w:right="-850"/>
      <w:jc w:val="left"/>
    </w:pPr>
  </w:style>
  <w:style w:type="character" w:customStyle="1" w:styleId="FooterCoverPageChar">
    <w:name w:val="Footer Cover Page Char"/>
    <w:basedOn w:val="DefaultParagraphFont"/>
    <w:link w:val="FooterCoverPage"/>
    <w:rPr>
      <w:rFonts w:eastAsiaTheme="minorHAnsi"/>
      <w:sz w:val="24"/>
      <w:szCs w:val="22"/>
    </w:rPr>
  </w:style>
  <w:style w:type="paragraph" w:customStyle="1" w:styleId="HeaderCoverPage">
    <w:name w:val="Header Cover Page"/>
    <w:basedOn w:val="Normal"/>
    <w:link w:val="HeaderCoverPageChar"/>
    <w:pPr>
      <w:tabs>
        <w:tab w:val="center" w:pos="4535"/>
        <w:tab w:val="right" w:pos="9071"/>
      </w:tabs>
      <w:spacing w:before="0"/>
    </w:pPr>
  </w:style>
  <w:style w:type="character" w:customStyle="1" w:styleId="HeaderCoverPageChar">
    <w:name w:val="Header Cover Page Char"/>
    <w:basedOn w:val="DefaultParagraphFont"/>
    <w:link w:val="HeaderCoverPage"/>
    <w:rPr>
      <w:rFonts w:eastAsiaTheme="minorHAnsi"/>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5.xml"/><Relationship Id="rId26" Type="http://schemas.openxmlformats.org/officeDocument/2006/relationships/footer" Target="footer8.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4.xml"/><Relationship Id="rId25"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footer" Target="footer5.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eader" Target="header8.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eader" Target="header7.xml"/><Relationship Id="rId28" Type="http://schemas.openxmlformats.org/officeDocument/2006/relationships/footer" Target="footer9.xml"/><Relationship Id="rId10" Type="http://schemas.openxmlformats.org/officeDocument/2006/relationships/header" Target="header1.xml"/><Relationship Id="rId19" Type="http://schemas.openxmlformats.org/officeDocument/2006/relationships/footer" Target="footer4.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oter" Target="footer6.xml"/><Relationship Id="rId27" Type="http://schemas.openxmlformats.org/officeDocument/2006/relationships/header" Target="header9.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0C2A80-8450-4F03-AE2F-7641F2C5D8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754</Words>
  <Characters>3975</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4710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IORI Andrea (JUST)</dc:creator>
  <cp:lastModifiedBy>KUDRYK Katarzyna (SG)</cp:lastModifiedBy>
  <cp:revision>11</cp:revision>
  <cp:lastPrinted>2015-09-07T17:42:00Z</cp:lastPrinted>
  <dcterms:created xsi:type="dcterms:W3CDTF">2015-09-07T17:34:00Z</dcterms:created>
  <dcterms:modified xsi:type="dcterms:W3CDTF">2015-09-09T08:01:00Z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irst annex">
    <vt:lpwstr>1</vt:lpwstr>
  </property>
  <property fmtid="{D5CDD505-2E9C-101B-9397-08002B2CF9AE}" pid="3" name="Last annex">
    <vt:lpwstr>1</vt:lpwstr>
  </property>
  <property fmtid="{D5CDD505-2E9C-101B-9397-08002B2CF9AE}" pid="4" name="Part">
    <vt:lpwstr>1</vt:lpwstr>
  </property>
  <property fmtid="{D5CDD505-2E9C-101B-9397-08002B2CF9AE}" pid="5" name="Total parts">
    <vt:lpwstr>1</vt:lpwstr>
  </property>
  <property fmtid="{D5CDD505-2E9C-101B-9397-08002B2CF9AE}" pid="6" name="DocStatus">
    <vt:lpwstr>Green</vt:lpwstr>
  </property>
  <property fmtid="{D5CDD505-2E9C-101B-9397-08002B2CF9AE}" pid="7" name="Classification">
    <vt:lpwstr> </vt:lpwstr>
  </property>
</Properties>
</file>