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386" w:rsidRPr="00D5059B" w:rsidRDefault="00945035" w:rsidP="00D5059B">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1b22f590-c74c-4a7b-b835-784b5be1e339_0" style="width:573.45pt;height:449.15pt">
            <v:imagedata r:id="rId8" o:title=""/>
          </v:shape>
        </w:pict>
      </w:r>
      <w:bookmarkEnd w:id="0"/>
    </w:p>
    <w:p w:rsidR="004A25A1" w:rsidRDefault="004A25A1" w:rsidP="004A25A1">
      <w:pPr>
        <w:pStyle w:val="TechnicalBlock"/>
        <w:ind w:left="-1134" w:right="-1134"/>
        <w:sectPr w:rsidR="004A25A1" w:rsidSect="00945035">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40" w:code="9"/>
          <w:pgMar w:top="624" w:right="1134" w:bottom="1134" w:left="1134" w:header="567" w:footer="567" w:gutter="0"/>
          <w:pgNumType w:start="1"/>
          <w:cols w:space="708"/>
          <w:titlePg/>
          <w:docGrid w:linePitch="360"/>
        </w:sectPr>
      </w:pPr>
    </w:p>
    <w:p w:rsidR="00EF037C" w:rsidRDefault="009E5BD0" w:rsidP="009E5BD0">
      <w:pPr>
        <w:pStyle w:val="TOCHeading"/>
      </w:pPr>
      <w:r>
        <w:lastRenderedPageBreak/>
        <w:t>CONTENTS</w:t>
      </w:r>
      <w:r w:rsidRPr="009E5BD0">
        <w:rPr>
          <w:vertAlign w:val="superscript"/>
        </w:rPr>
        <w:t>1</w:t>
      </w:r>
    </w:p>
    <w:p w:rsidR="009E5BD0" w:rsidRDefault="009E5BD0" w:rsidP="009E5BD0">
      <w:pPr>
        <w:pStyle w:val="TOC5"/>
      </w:pPr>
      <w:r>
        <w:t>ITEMS DEBATED</w:t>
      </w:r>
    </w:p>
    <w:p w:rsidR="009E5BD0" w:rsidRDefault="009E5BD0" w:rsidP="009E5BD0">
      <w:pPr>
        <w:pStyle w:val="TOC6"/>
        <w:keepNext/>
        <w:rPr>
          <w:rFonts w:asciiTheme="minorHAnsi" w:eastAsiaTheme="minorEastAsia" w:hAnsiTheme="minorHAnsi" w:cstheme="minorBidi"/>
          <w:noProof/>
          <w:sz w:val="22"/>
          <w:szCs w:val="22"/>
          <w:lang w:eastAsia="en-GB"/>
        </w:rPr>
      </w:pPr>
      <w:r>
        <w:rPr>
          <w:noProof/>
        </w:rPr>
        <w:t>INTERNAL MARKET AND INDUSTRY</w:t>
      </w:r>
      <w:r>
        <w:rPr>
          <w:noProof/>
        </w:rPr>
        <w:tab/>
      </w:r>
      <w:r>
        <w:rPr>
          <w:noProof/>
        </w:rPr>
        <w:fldChar w:fldCharType="begin"/>
      </w:r>
      <w:r>
        <w:rPr>
          <w:noProof/>
        </w:rPr>
        <w:instrText xml:space="preserve"> PAGEREF \h _Toc421109913 \* MERGEFORMAT </w:instrText>
      </w:r>
      <w:r>
        <w:rPr>
          <w:noProof/>
        </w:rPr>
      </w:r>
      <w:r>
        <w:rPr>
          <w:noProof/>
        </w:rPr>
        <w:fldChar w:fldCharType="separate"/>
      </w:r>
      <w:r w:rsidR="00945035">
        <w:rPr>
          <w:noProof/>
        </w:rPr>
        <w:t>4</w:t>
      </w:r>
      <w:r>
        <w:rPr>
          <w:noProof/>
        </w:rPr>
        <w:fldChar w:fldCharType="end"/>
      </w:r>
    </w:p>
    <w:p w:rsidR="009E5BD0" w:rsidRDefault="009E5BD0" w:rsidP="009E5BD0">
      <w:pPr>
        <w:pStyle w:val="TOC7"/>
        <w:keepNext/>
        <w:rPr>
          <w:rFonts w:asciiTheme="minorHAnsi" w:eastAsiaTheme="minorEastAsia" w:hAnsiTheme="minorHAnsi" w:cstheme="minorBidi"/>
          <w:noProof/>
          <w:sz w:val="22"/>
          <w:szCs w:val="22"/>
          <w:lang w:eastAsia="en-GB"/>
        </w:rPr>
      </w:pPr>
      <w:r>
        <w:rPr>
          <w:noProof/>
        </w:rPr>
        <w:t>Digital single market policy: the digital transformation of European industry</w:t>
      </w:r>
      <w:r>
        <w:rPr>
          <w:noProof/>
        </w:rPr>
        <w:tab/>
      </w:r>
      <w:r>
        <w:rPr>
          <w:noProof/>
        </w:rPr>
        <w:fldChar w:fldCharType="begin"/>
      </w:r>
      <w:r>
        <w:rPr>
          <w:noProof/>
        </w:rPr>
        <w:instrText xml:space="preserve"> PAGEREF \h _Toc421109914 \* MERGEFORMAT </w:instrText>
      </w:r>
      <w:r>
        <w:rPr>
          <w:noProof/>
        </w:rPr>
      </w:r>
      <w:r>
        <w:rPr>
          <w:noProof/>
        </w:rPr>
        <w:fldChar w:fldCharType="separate"/>
      </w:r>
      <w:r w:rsidR="00945035">
        <w:rPr>
          <w:noProof/>
        </w:rPr>
        <w:t>4</w:t>
      </w:r>
      <w:r>
        <w:rPr>
          <w:noProof/>
        </w:rPr>
        <w:fldChar w:fldCharType="end"/>
      </w:r>
    </w:p>
    <w:p w:rsidR="009E5BD0" w:rsidRDefault="009E5BD0" w:rsidP="009E5BD0">
      <w:pPr>
        <w:pStyle w:val="TOC7"/>
        <w:keepNext/>
        <w:rPr>
          <w:rFonts w:asciiTheme="minorHAnsi" w:eastAsiaTheme="minorEastAsia" w:hAnsiTheme="minorHAnsi" w:cstheme="minorBidi"/>
          <w:noProof/>
          <w:sz w:val="22"/>
          <w:szCs w:val="22"/>
          <w:lang w:eastAsia="en-GB"/>
        </w:rPr>
      </w:pPr>
      <w:r>
        <w:rPr>
          <w:noProof/>
        </w:rPr>
        <w:t>Travel packages</w:t>
      </w:r>
      <w:r>
        <w:rPr>
          <w:noProof/>
        </w:rPr>
        <w:tab/>
      </w:r>
      <w:r>
        <w:rPr>
          <w:noProof/>
        </w:rPr>
        <w:fldChar w:fldCharType="begin"/>
      </w:r>
      <w:r>
        <w:rPr>
          <w:noProof/>
        </w:rPr>
        <w:instrText xml:space="preserve"> PAGEREF \h _Toc421109915 \* MERGEFORMAT </w:instrText>
      </w:r>
      <w:r>
        <w:rPr>
          <w:noProof/>
        </w:rPr>
      </w:r>
      <w:r>
        <w:rPr>
          <w:noProof/>
        </w:rPr>
        <w:fldChar w:fldCharType="separate"/>
      </w:r>
      <w:r w:rsidR="00945035">
        <w:rPr>
          <w:noProof/>
        </w:rPr>
        <w:t>6</w:t>
      </w:r>
      <w:r>
        <w:rPr>
          <w:noProof/>
        </w:rPr>
        <w:fldChar w:fldCharType="end"/>
      </w:r>
    </w:p>
    <w:p w:rsidR="009E5BD0" w:rsidRDefault="009E5BD0" w:rsidP="009E5BD0">
      <w:pPr>
        <w:pStyle w:val="TOC7"/>
        <w:keepNext/>
        <w:rPr>
          <w:rFonts w:asciiTheme="minorHAnsi" w:eastAsiaTheme="minorEastAsia" w:hAnsiTheme="minorHAnsi" w:cstheme="minorBidi"/>
          <w:noProof/>
          <w:sz w:val="22"/>
          <w:szCs w:val="22"/>
          <w:lang w:eastAsia="en-GB"/>
        </w:rPr>
      </w:pPr>
      <w:r>
        <w:rPr>
          <w:noProof/>
        </w:rPr>
        <w:t>Consumer product safety and market surveillance package</w:t>
      </w:r>
      <w:r>
        <w:rPr>
          <w:noProof/>
        </w:rPr>
        <w:tab/>
      </w:r>
      <w:r>
        <w:rPr>
          <w:noProof/>
        </w:rPr>
        <w:fldChar w:fldCharType="begin"/>
      </w:r>
      <w:r>
        <w:rPr>
          <w:noProof/>
        </w:rPr>
        <w:instrText xml:space="preserve"> PAGEREF \h _Toc421109916 \* MERGEFORMAT </w:instrText>
      </w:r>
      <w:r>
        <w:rPr>
          <w:noProof/>
        </w:rPr>
      </w:r>
      <w:r>
        <w:rPr>
          <w:noProof/>
        </w:rPr>
        <w:fldChar w:fldCharType="separate"/>
      </w:r>
      <w:r w:rsidR="00945035">
        <w:rPr>
          <w:noProof/>
        </w:rPr>
        <w:t>7</w:t>
      </w:r>
      <w:r>
        <w:rPr>
          <w:noProof/>
        </w:rPr>
        <w:fldChar w:fldCharType="end"/>
      </w:r>
    </w:p>
    <w:p w:rsidR="009E5BD0" w:rsidRDefault="009E5BD0" w:rsidP="009E5BD0">
      <w:pPr>
        <w:pStyle w:val="TOC7"/>
        <w:rPr>
          <w:rFonts w:asciiTheme="minorHAnsi" w:eastAsiaTheme="minorEastAsia" w:hAnsiTheme="minorHAnsi" w:cstheme="minorBidi"/>
          <w:noProof/>
          <w:sz w:val="22"/>
          <w:szCs w:val="22"/>
          <w:lang w:eastAsia="en-GB"/>
        </w:rPr>
      </w:pPr>
      <w:r>
        <w:rPr>
          <w:noProof/>
        </w:rPr>
        <w:t>Single-member private limited liability companies</w:t>
      </w:r>
      <w:r>
        <w:rPr>
          <w:noProof/>
        </w:rPr>
        <w:tab/>
      </w:r>
      <w:r>
        <w:rPr>
          <w:noProof/>
        </w:rPr>
        <w:fldChar w:fldCharType="begin"/>
      </w:r>
      <w:r>
        <w:rPr>
          <w:noProof/>
        </w:rPr>
        <w:instrText xml:space="preserve"> PAGEREF \h _Toc421109917 \* MERGEFORMAT </w:instrText>
      </w:r>
      <w:r>
        <w:rPr>
          <w:noProof/>
        </w:rPr>
      </w:r>
      <w:r>
        <w:rPr>
          <w:noProof/>
        </w:rPr>
        <w:fldChar w:fldCharType="separate"/>
      </w:r>
      <w:r w:rsidR="00945035">
        <w:rPr>
          <w:noProof/>
        </w:rPr>
        <w:t>8</w:t>
      </w:r>
      <w:r>
        <w:rPr>
          <w:noProof/>
        </w:rPr>
        <w:fldChar w:fldCharType="end"/>
      </w:r>
    </w:p>
    <w:p w:rsidR="009E5BD0" w:rsidRDefault="009E5BD0" w:rsidP="009E5BD0">
      <w:pPr>
        <w:pStyle w:val="TOC6"/>
        <w:keepNext/>
        <w:rPr>
          <w:rFonts w:asciiTheme="minorHAnsi" w:eastAsiaTheme="minorEastAsia" w:hAnsiTheme="minorHAnsi" w:cstheme="minorBidi"/>
          <w:noProof/>
          <w:sz w:val="22"/>
          <w:szCs w:val="22"/>
          <w:lang w:eastAsia="en-GB"/>
        </w:rPr>
      </w:pPr>
      <w:r>
        <w:rPr>
          <w:noProof/>
        </w:rPr>
        <w:t>RESEARCH AND INNOVATION</w:t>
      </w:r>
      <w:r>
        <w:rPr>
          <w:noProof/>
        </w:rPr>
        <w:tab/>
      </w:r>
      <w:r>
        <w:rPr>
          <w:noProof/>
        </w:rPr>
        <w:fldChar w:fldCharType="begin"/>
      </w:r>
      <w:r>
        <w:rPr>
          <w:noProof/>
        </w:rPr>
        <w:instrText xml:space="preserve"> PAGEREF \h _Toc421109918 \* MERGEFORMAT </w:instrText>
      </w:r>
      <w:r>
        <w:rPr>
          <w:noProof/>
        </w:rPr>
      </w:r>
      <w:r>
        <w:rPr>
          <w:noProof/>
        </w:rPr>
        <w:fldChar w:fldCharType="separate"/>
      </w:r>
      <w:r w:rsidR="00945035">
        <w:rPr>
          <w:noProof/>
        </w:rPr>
        <w:t>9</w:t>
      </w:r>
      <w:r>
        <w:rPr>
          <w:noProof/>
        </w:rPr>
        <w:fldChar w:fldCharType="end"/>
      </w:r>
    </w:p>
    <w:p w:rsidR="009E5BD0" w:rsidRDefault="009E5BD0" w:rsidP="009E5BD0">
      <w:pPr>
        <w:pStyle w:val="TOC7"/>
        <w:keepNext/>
        <w:rPr>
          <w:rFonts w:asciiTheme="minorHAnsi" w:eastAsiaTheme="minorEastAsia" w:hAnsiTheme="minorHAnsi" w:cstheme="minorBidi"/>
          <w:noProof/>
          <w:sz w:val="22"/>
          <w:szCs w:val="22"/>
          <w:lang w:eastAsia="en-GB"/>
        </w:rPr>
      </w:pPr>
      <w:r>
        <w:rPr>
          <w:noProof/>
        </w:rPr>
        <w:t>European Research Area: roadmap 2015-2020 and more effective governance</w:t>
      </w:r>
      <w:r>
        <w:rPr>
          <w:noProof/>
        </w:rPr>
        <w:tab/>
      </w:r>
      <w:r>
        <w:rPr>
          <w:noProof/>
        </w:rPr>
        <w:fldChar w:fldCharType="begin"/>
      </w:r>
      <w:r>
        <w:rPr>
          <w:noProof/>
        </w:rPr>
        <w:instrText xml:space="preserve"> PAGEREF \h _Toc421109919 \* MERGEFORMAT </w:instrText>
      </w:r>
      <w:r>
        <w:rPr>
          <w:noProof/>
        </w:rPr>
      </w:r>
      <w:r>
        <w:rPr>
          <w:noProof/>
        </w:rPr>
        <w:fldChar w:fldCharType="separate"/>
      </w:r>
      <w:r w:rsidR="00945035">
        <w:rPr>
          <w:noProof/>
        </w:rPr>
        <w:t>9</w:t>
      </w:r>
      <w:r>
        <w:rPr>
          <w:noProof/>
        </w:rPr>
        <w:fldChar w:fldCharType="end"/>
      </w:r>
    </w:p>
    <w:p w:rsidR="009E5BD0" w:rsidRDefault="009E5BD0" w:rsidP="009E5BD0">
      <w:pPr>
        <w:pStyle w:val="TOC7"/>
        <w:keepNext/>
        <w:rPr>
          <w:rFonts w:asciiTheme="minorHAnsi" w:eastAsiaTheme="minorEastAsia" w:hAnsiTheme="minorHAnsi" w:cstheme="minorBidi"/>
          <w:noProof/>
          <w:sz w:val="22"/>
          <w:szCs w:val="22"/>
          <w:lang w:eastAsia="en-GB"/>
        </w:rPr>
      </w:pPr>
      <w:r>
        <w:rPr>
          <w:noProof/>
        </w:rPr>
        <w:t>Open, data-intensive and networked research: drivers for innovation</w:t>
      </w:r>
      <w:r>
        <w:rPr>
          <w:noProof/>
        </w:rPr>
        <w:tab/>
      </w:r>
      <w:r>
        <w:rPr>
          <w:noProof/>
        </w:rPr>
        <w:fldChar w:fldCharType="begin"/>
      </w:r>
      <w:r>
        <w:rPr>
          <w:noProof/>
        </w:rPr>
        <w:instrText xml:space="preserve"> PAGEREF \h _Toc421109920 \* MERGEFORMAT </w:instrText>
      </w:r>
      <w:r>
        <w:rPr>
          <w:noProof/>
        </w:rPr>
      </w:r>
      <w:r>
        <w:rPr>
          <w:noProof/>
        </w:rPr>
        <w:fldChar w:fldCharType="separate"/>
      </w:r>
      <w:r w:rsidR="00945035">
        <w:rPr>
          <w:noProof/>
        </w:rPr>
        <w:t>10</w:t>
      </w:r>
      <w:r>
        <w:rPr>
          <w:noProof/>
        </w:rPr>
        <w:fldChar w:fldCharType="end"/>
      </w:r>
    </w:p>
    <w:p w:rsidR="009E5BD0" w:rsidRDefault="009E5BD0" w:rsidP="00883578">
      <w:pPr>
        <w:pStyle w:val="TOC7"/>
        <w:keepNext/>
        <w:rPr>
          <w:rFonts w:asciiTheme="minorHAnsi" w:eastAsiaTheme="minorEastAsia" w:hAnsiTheme="minorHAnsi" w:cstheme="minorBidi"/>
          <w:noProof/>
          <w:sz w:val="22"/>
          <w:szCs w:val="22"/>
          <w:lang w:eastAsia="en-GB"/>
        </w:rPr>
      </w:pPr>
      <w:r>
        <w:rPr>
          <w:noProof/>
        </w:rPr>
        <w:t xml:space="preserve">Towards open and excellent European science: </w:t>
      </w:r>
      <w:r w:rsidR="00883578">
        <w:rPr>
          <w:noProof/>
        </w:rPr>
        <w:t>'</w:t>
      </w:r>
      <w:r>
        <w:rPr>
          <w:noProof/>
        </w:rPr>
        <w:t>Science 2.0</w:t>
      </w:r>
      <w:r w:rsidR="00883578">
        <w:rPr>
          <w:noProof/>
        </w:rPr>
        <w:t>'</w:t>
      </w:r>
      <w:r>
        <w:rPr>
          <w:noProof/>
        </w:rPr>
        <w:tab/>
      </w:r>
      <w:r>
        <w:rPr>
          <w:noProof/>
        </w:rPr>
        <w:fldChar w:fldCharType="begin"/>
      </w:r>
      <w:r>
        <w:rPr>
          <w:noProof/>
        </w:rPr>
        <w:instrText xml:space="preserve"> PAGEREF \h _Toc421109921 \* MERGEFORMAT </w:instrText>
      </w:r>
      <w:r>
        <w:rPr>
          <w:noProof/>
        </w:rPr>
      </w:r>
      <w:r>
        <w:rPr>
          <w:noProof/>
        </w:rPr>
        <w:fldChar w:fldCharType="separate"/>
      </w:r>
      <w:r w:rsidR="00945035">
        <w:rPr>
          <w:noProof/>
        </w:rPr>
        <w:t>11</w:t>
      </w:r>
      <w:r>
        <w:rPr>
          <w:noProof/>
        </w:rPr>
        <w:fldChar w:fldCharType="end"/>
      </w:r>
    </w:p>
    <w:p w:rsidR="009E5BD0" w:rsidRDefault="009E5BD0" w:rsidP="009E5BD0">
      <w:pPr>
        <w:pStyle w:val="TOC7"/>
        <w:rPr>
          <w:rFonts w:asciiTheme="minorHAnsi" w:eastAsiaTheme="minorEastAsia" w:hAnsiTheme="minorHAnsi" w:cstheme="minorBidi"/>
          <w:noProof/>
          <w:sz w:val="22"/>
          <w:szCs w:val="22"/>
          <w:lang w:eastAsia="en-GB"/>
        </w:rPr>
      </w:pPr>
      <w:r>
        <w:rPr>
          <w:noProof/>
        </w:rPr>
        <w:t>ANY OTHER BUSINESS</w:t>
      </w:r>
      <w:r>
        <w:rPr>
          <w:noProof/>
        </w:rPr>
        <w:tab/>
      </w:r>
      <w:r>
        <w:rPr>
          <w:noProof/>
        </w:rPr>
        <w:fldChar w:fldCharType="begin"/>
      </w:r>
      <w:r>
        <w:rPr>
          <w:noProof/>
        </w:rPr>
        <w:instrText xml:space="preserve"> PAGEREF \h _Toc421109922 \* MERGEFORMAT </w:instrText>
      </w:r>
      <w:r>
        <w:rPr>
          <w:noProof/>
        </w:rPr>
      </w:r>
      <w:r>
        <w:rPr>
          <w:noProof/>
        </w:rPr>
        <w:fldChar w:fldCharType="separate"/>
      </w:r>
      <w:r w:rsidR="00945035">
        <w:rPr>
          <w:noProof/>
        </w:rPr>
        <w:t>12</w:t>
      </w:r>
      <w:r>
        <w:rPr>
          <w:noProof/>
        </w:rPr>
        <w:fldChar w:fldCharType="end"/>
      </w:r>
    </w:p>
    <w:p w:rsidR="009E5BD0" w:rsidRDefault="009E5BD0" w:rsidP="009E5BD0">
      <w:pPr>
        <w:pStyle w:val="TOC9"/>
        <w:rPr>
          <w:rFonts w:asciiTheme="minorHAnsi" w:eastAsiaTheme="minorEastAsia" w:hAnsiTheme="minorHAnsi" w:cstheme="minorBidi"/>
          <w:noProof/>
          <w:sz w:val="22"/>
          <w:szCs w:val="22"/>
          <w:lang w:eastAsia="en-GB"/>
        </w:rPr>
      </w:pPr>
      <w:r>
        <w:rPr>
          <w:noProof/>
        </w:rPr>
        <w:t>Trade mark reform</w:t>
      </w:r>
      <w:r>
        <w:rPr>
          <w:noProof/>
        </w:rPr>
        <w:tab/>
      </w:r>
      <w:r>
        <w:rPr>
          <w:noProof/>
        </w:rPr>
        <w:fldChar w:fldCharType="begin"/>
      </w:r>
      <w:r>
        <w:rPr>
          <w:noProof/>
        </w:rPr>
        <w:instrText xml:space="preserve"> PAGEREF \h _Toc421109923 \* MERGEFORMAT </w:instrText>
      </w:r>
      <w:r>
        <w:rPr>
          <w:noProof/>
        </w:rPr>
      </w:r>
      <w:r>
        <w:rPr>
          <w:noProof/>
        </w:rPr>
        <w:fldChar w:fldCharType="separate"/>
      </w:r>
      <w:r w:rsidR="00945035">
        <w:rPr>
          <w:noProof/>
        </w:rPr>
        <w:t>12</w:t>
      </w:r>
      <w:r>
        <w:rPr>
          <w:noProof/>
        </w:rPr>
        <w:fldChar w:fldCharType="end"/>
      </w:r>
    </w:p>
    <w:p w:rsidR="009E5BD0" w:rsidRDefault="009E5BD0" w:rsidP="00883578">
      <w:pPr>
        <w:pStyle w:val="TOC9"/>
        <w:rPr>
          <w:rFonts w:asciiTheme="minorHAnsi" w:eastAsiaTheme="minorEastAsia" w:hAnsiTheme="minorHAnsi" w:cstheme="minorBidi"/>
          <w:noProof/>
          <w:sz w:val="22"/>
          <w:szCs w:val="22"/>
          <w:lang w:eastAsia="en-GB"/>
        </w:rPr>
      </w:pPr>
      <w:r>
        <w:rPr>
          <w:noProof/>
        </w:rPr>
        <w:t xml:space="preserve">Unitary </w:t>
      </w:r>
      <w:r w:rsidR="00883578">
        <w:rPr>
          <w:noProof/>
        </w:rPr>
        <w:t>p</w:t>
      </w:r>
      <w:r>
        <w:rPr>
          <w:noProof/>
        </w:rPr>
        <w:t>atent protection system</w:t>
      </w:r>
      <w:r>
        <w:rPr>
          <w:noProof/>
        </w:rPr>
        <w:tab/>
      </w:r>
      <w:r>
        <w:rPr>
          <w:noProof/>
        </w:rPr>
        <w:fldChar w:fldCharType="begin"/>
      </w:r>
      <w:r>
        <w:rPr>
          <w:noProof/>
        </w:rPr>
        <w:instrText xml:space="preserve"> PAGEREF \h _Toc421109924 \* MERGEFORMAT </w:instrText>
      </w:r>
      <w:r>
        <w:rPr>
          <w:noProof/>
        </w:rPr>
      </w:r>
      <w:r>
        <w:rPr>
          <w:noProof/>
        </w:rPr>
        <w:fldChar w:fldCharType="separate"/>
      </w:r>
      <w:r w:rsidR="00945035">
        <w:rPr>
          <w:noProof/>
        </w:rPr>
        <w:t>12</w:t>
      </w:r>
      <w:r>
        <w:rPr>
          <w:noProof/>
        </w:rPr>
        <w:fldChar w:fldCharType="end"/>
      </w:r>
    </w:p>
    <w:p w:rsidR="009E5BD0" w:rsidRDefault="009E5BD0" w:rsidP="009E5BD0">
      <w:pPr>
        <w:pStyle w:val="TOC9"/>
        <w:rPr>
          <w:rFonts w:asciiTheme="minorHAnsi" w:eastAsiaTheme="minorEastAsia" w:hAnsiTheme="minorHAnsi" w:cstheme="minorBidi"/>
          <w:noProof/>
          <w:sz w:val="22"/>
          <w:szCs w:val="22"/>
          <w:lang w:eastAsia="en-GB"/>
        </w:rPr>
      </w:pPr>
      <w:r>
        <w:rPr>
          <w:noProof/>
        </w:rPr>
        <w:t>Defence and security industries</w:t>
      </w:r>
      <w:r>
        <w:rPr>
          <w:noProof/>
        </w:rPr>
        <w:tab/>
      </w:r>
      <w:r>
        <w:rPr>
          <w:noProof/>
        </w:rPr>
        <w:fldChar w:fldCharType="begin"/>
      </w:r>
      <w:r>
        <w:rPr>
          <w:noProof/>
        </w:rPr>
        <w:instrText xml:space="preserve"> PAGEREF \h _Toc421109925 \* MERGEFORMAT </w:instrText>
      </w:r>
      <w:r>
        <w:rPr>
          <w:noProof/>
        </w:rPr>
      </w:r>
      <w:r>
        <w:rPr>
          <w:noProof/>
        </w:rPr>
        <w:fldChar w:fldCharType="separate"/>
      </w:r>
      <w:r w:rsidR="00945035">
        <w:rPr>
          <w:noProof/>
        </w:rPr>
        <w:t>13</w:t>
      </w:r>
      <w:r>
        <w:rPr>
          <w:noProof/>
        </w:rPr>
        <w:fldChar w:fldCharType="end"/>
      </w:r>
    </w:p>
    <w:p w:rsidR="009E5BD0" w:rsidRDefault="009E5BD0" w:rsidP="009E5BD0">
      <w:pPr>
        <w:pStyle w:val="TOC9"/>
        <w:rPr>
          <w:rFonts w:asciiTheme="minorHAnsi" w:eastAsiaTheme="minorEastAsia" w:hAnsiTheme="minorHAnsi" w:cstheme="minorBidi"/>
          <w:noProof/>
          <w:sz w:val="22"/>
          <w:szCs w:val="22"/>
          <w:lang w:eastAsia="en-GB"/>
        </w:rPr>
      </w:pPr>
      <w:r>
        <w:rPr>
          <w:noProof/>
        </w:rPr>
        <w:t>SME policy and Small Business Act</w:t>
      </w:r>
      <w:r>
        <w:rPr>
          <w:noProof/>
        </w:rPr>
        <w:tab/>
      </w:r>
      <w:r>
        <w:rPr>
          <w:noProof/>
        </w:rPr>
        <w:fldChar w:fldCharType="begin"/>
      </w:r>
      <w:r>
        <w:rPr>
          <w:noProof/>
        </w:rPr>
        <w:instrText xml:space="preserve"> PAGEREF \h _Toc421109926 \* MERGEFORMAT </w:instrText>
      </w:r>
      <w:r>
        <w:rPr>
          <w:noProof/>
        </w:rPr>
      </w:r>
      <w:r>
        <w:rPr>
          <w:noProof/>
        </w:rPr>
        <w:fldChar w:fldCharType="separate"/>
      </w:r>
      <w:r w:rsidR="00945035">
        <w:rPr>
          <w:noProof/>
        </w:rPr>
        <w:t>13</w:t>
      </w:r>
      <w:r>
        <w:rPr>
          <w:noProof/>
        </w:rPr>
        <w:fldChar w:fldCharType="end"/>
      </w:r>
    </w:p>
    <w:p w:rsidR="009E5BD0" w:rsidRDefault="009E5BD0" w:rsidP="009E5BD0">
      <w:pPr>
        <w:pStyle w:val="TOC9"/>
        <w:rPr>
          <w:rFonts w:asciiTheme="minorHAnsi" w:eastAsiaTheme="minorEastAsia" w:hAnsiTheme="minorHAnsi" w:cstheme="minorBidi"/>
          <w:noProof/>
          <w:sz w:val="22"/>
          <w:szCs w:val="22"/>
          <w:lang w:eastAsia="en-GB"/>
        </w:rPr>
      </w:pPr>
      <w:r>
        <w:rPr>
          <w:noProof/>
        </w:rPr>
        <w:t>Follow-up on internal market and industry conclusions</w:t>
      </w:r>
      <w:r>
        <w:rPr>
          <w:noProof/>
        </w:rPr>
        <w:tab/>
      </w:r>
      <w:r>
        <w:rPr>
          <w:noProof/>
        </w:rPr>
        <w:fldChar w:fldCharType="begin"/>
      </w:r>
      <w:r>
        <w:rPr>
          <w:noProof/>
        </w:rPr>
        <w:instrText xml:space="preserve"> PAGEREF \h _Toc421109927 \* MERGEFORMAT </w:instrText>
      </w:r>
      <w:r>
        <w:rPr>
          <w:noProof/>
        </w:rPr>
      </w:r>
      <w:r>
        <w:rPr>
          <w:noProof/>
        </w:rPr>
        <w:fldChar w:fldCharType="separate"/>
      </w:r>
      <w:r w:rsidR="00945035">
        <w:rPr>
          <w:noProof/>
        </w:rPr>
        <w:t>14</w:t>
      </w:r>
      <w:r>
        <w:rPr>
          <w:noProof/>
        </w:rPr>
        <w:fldChar w:fldCharType="end"/>
      </w:r>
    </w:p>
    <w:p w:rsidR="009E5BD0" w:rsidRPr="009E5BD0" w:rsidRDefault="009E5BD0" w:rsidP="006227F5">
      <w:pPr>
        <w:pStyle w:val="TOC9"/>
      </w:pPr>
      <w:r>
        <w:rPr>
          <w:noProof/>
        </w:rPr>
        <w:t>Work programme of the upcoming Luxembourg Presidency</w:t>
      </w:r>
      <w:r>
        <w:rPr>
          <w:noProof/>
        </w:rPr>
        <w:tab/>
      </w:r>
      <w:r>
        <w:rPr>
          <w:noProof/>
        </w:rPr>
        <w:fldChar w:fldCharType="begin"/>
      </w:r>
      <w:r>
        <w:rPr>
          <w:noProof/>
        </w:rPr>
        <w:instrText xml:space="preserve"> PAGEREF \h _Toc421109928 \* MERGEFORMAT </w:instrText>
      </w:r>
      <w:r>
        <w:rPr>
          <w:noProof/>
        </w:rPr>
      </w:r>
      <w:r>
        <w:rPr>
          <w:noProof/>
        </w:rPr>
        <w:fldChar w:fldCharType="separate"/>
      </w:r>
      <w:r w:rsidR="00945035">
        <w:rPr>
          <w:noProof/>
        </w:rPr>
        <w:t>14</w:t>
      </w:r>
      <w:r>
        <w:rPr>
          <w:noProof/>
        </w:rPr>
        <w:fldChar w:fldCharType="end"/>
      </w:r>
    </w:p>
    <w:p w:rsidR="009E5BD0" w:rsidRDefault="009E5BD0" w:rsidP="009E5BD0">
      <w:pPr>
        <w:pStyle w:val="TOC5"/>
      </w:pPr>
      <w:r>
        <w:t>OTHER ITEMS APPROVED</w:t>
      </w:r>
    </w:p>
    <w:p w:rsidR="009E5BD0" w:rsidRDefault="009E5BD0" w:rsidP="009E5BD0">
      <w:pPr>
        <w:pStyle w:val="TOC8"/>
        <w:rPr>
          <w:rFonts w:asciiTheme="minorHAnsi" w:eastAsiaTheme="minorEastAsia" w:hAnsiTheme="minorHAnsi" w:cstheme="minorBidi"/>
          <w:i w:val="0"/>
          <w:noProof/>
          <w:sz w:val="22"/>
          <w:szCs w:val="22"/>
          <w:lang w:eastAsia="en-GB"/>
        </w:rPr>
      </w:pPr>
      <w:r>
        <w:rPr>
          <w:noProof/>
        </w:rPr>
        <w:t>TRADE POLICY</w:t>
      </w:r>
    </w:p>
    <w:p w:rsidR="009E5BD0" w:rsidRDefault="009E5BD0" w:rsidP="009E5BD0">
      <w:pPr>
        <w:pStyle w:val="TOC9"/>
        <w:keepNext/>
        <w:rPr>
          <w:rFonts w:asciiTheme="minorHAnsi" w:eastAsiaTheme="minorEastAsia" w:hAnsiTheme="minorHAnsi" w:cstheme="minorBidi"/>
          <w:noProof/>
          <w:sz w:val="22"/>
          <w:szCs w:val="22"/>
          <w:lang w:eastAsia="en-GB"/>
        </w:rPr>
      </w:pPr>
      <w:r>
        <w:rPr>
          <w:noProof/>
        </w:rPr>
        <w:t>Textile imports</w:t>
      </w:r>
      <w:r>
        <w:rPr>
          <w:noProof/>
        </w:rPr>
        <w:tab/>
      </w:r>
      <w:r>
        <w:rPr>
          <w:noProof/>
        </w:rPr>
        <w:fldChar w:fldCharType="begin"/>
      </w:r>
      <w:r>
        <w:rPr>
          <w:noProof/>
        </w:rPr>
        <w:instrText xml:space="preserve"> PAGEREF \h _Toc421109930 \* MERGEFORMAT </w:instrText>
      </w:r>
      <w:r>
        <w:rPr>
          <w:noProof/>
        </w:rPr>
      </w:r>
      <w:r>
        <w:rPr>
          <w:noProof/>
        </w:rPr>
        <w:fldChar w:fldCharType="separate"/>
      </w:r>
      <w:r w:rsidR="00945035">
        <w:rPr>
          <w:noProof/>
        </w:rPr>
        <w:t>15</w:t>
      </w:r>
      <w:r>
        <w:rPr>
          <w:noProof/>
        </w:rPr>
        <w:fldChar w:fldCharType="end"/>
      </w:r>
    </w:p>
    <w:p w:rsidR="009E5BD0" w:rsidRDefault="009E5BD0" w:rsidP="009E5BD0">
      <w:pPr>
        <w:pStyle w:val="TOC9"/>
        <w:rPr>
          <w:rFonts w:asciiTheme="minorHAnsi" w:eastAsiaTheme="minorEastAsia" w:hAnsiTheme="minorHAnsi" w:cstheme="minorBidi"/>
          <w:noProof/>
          <w:sz w:val="22"/>
          <w:szCs w:val="22"/>
          <w:lang w:eastAsia="en-GB"/>
        </w:rPr>
      </w:pPr>
      <w:r>
        <w:rPr>
          <w:noProof/>
        </w:rPr>
        <w:t>Safeguard measures - Norway - Codification</w:t>
      </w:r>
      <w:r>
        <w:rPr>
          <w:noProof/>
        </w:rPr>
        <w:tab/>
      </w:r>
      <w:r>
        <w:rPr>
          <w:noProof/>
        </w:rPr>
        <w:fldChar w:fldCharType="begin"/>
      </w:r>
      <w:r>
        <w:rPr>
          <w:noProof/>
        </w:rPr>
        <w:instrText xml:space="preserve"> PAGEREF \h _Toc421109931 \* MERGEFORMAT </w:instrText>
      </w:r>
      <w:r>
        <w:rPr>
          <w:noProof/>
        </w:rPr>
      </w:r>
      <w:r>
        <w:rPr>
          <w:noProof/>
        </w:rPr>
        <w:fldChar w:fldCharType="separate"/>
      </w:r>
      <w:r w:rsidR="00945035">
        <w:rPr>
          <w:noProof/>
        </w:rPr>
        <w:t>15</w:t>
      </w:r>
      <w:r>
        <w:rPr>
          <w:noProof/>
        </w:rPr>
        <w:fldChar w:fldCharType="end"/>
      </w:r>
    </w:p>
    <w:p w:rsidR="009E5BD0" w:rsidRDefault="009E5BD0" w:rsidP="009E5BD0">
      <w:pPr>
        <w:pStyle w:val="TOC8"/>
        <w:rPr>
          <w:rFonts w:asciiTheme="minorHAnsi" w:eastAsiaTheme="minorEastAsia" w:hAnsiTheme="minorHAnsi" w:cstheme="minorBidi"/>
          <w:i w:val="0"/>
          <w:noProof/>
          <w:sz w:val="22"/>
          <w:szCs w:val="22"/>
          <w:lang w:eastAsia="en-GB"/>
        </w:rPr>
      </w:pPr>
      <w:r>
        <w:rPr>
          <w:noProof/>
        </w:rPr>
        <w:lastRenderedPageBreak/>
        <w:t>FOREIGN AFFAIRS</w:t>
      </w:r>
    </w:p>
    <w:p w:rsidR="009E5BD0" w:rsidRDefault="009E5BD0" w:rsidP="009E5BD0">
      <w:pPr>
        <w:pStyle w:val="TOC9"/>
        <w:rPr>
          <w:rFonts w:asciiTheme="minorHAnsi" w:eastAsiaTheme="minorEastAsia" w:hAnsiTheme="minorHAnsi" w:cstheme="minorBidi"/>
          <w:noProof/>
          <w:sz w:val="22"/>
          <w:szCs w:val="22"/>
          <w:lang w:eastAsia="en-GB"/>
        </w:rPr>
      </w:pPr>
      <w:r>
        <w:rPr>
          <w:noProof/>
        </w:rPr>
        <w:t>Stabilisation and Association agreements - Codification</w:t>
      </w:r>
      <w:r>
        <w:rPr>
          <w:noProof/>
        </w:rPr>
        <w:tab/>
      </w:r>
      <w:r>
        <w:rPr>
          <w:noProof/>
        </w:rPr>
        <w:fldChar w:fldCharType="begin"/>
      </w:r>
      <w:r>
        <w:rPr>
          <w:noProof/>
        </w:rPr>
        <w:instrText xml:space="preserve"> PAGEREF \h _Toc421109933 \* MERGEFORMAT </w:instrText>
      </w:r>
      <w:r>
        <w:rPr>
          <w:noProof/>
        </w:rPr>
      </w:r>
      <w:r>
        <w:rPr>
          <w:noProof/>
        </w:rPr>
        <w:fldChar w:fldCharType="separate"/>
      </w:r>
      <w:r w:rsidR="00945035">
        <w:rPr>
          <w:noProof/>
        </w:rPr>
        <w:t>16</w:t>
      </w:r>
      <w:r>
        <w:rPr>
          <w:noProof/>
        </w:rPr>
        <w:fldChar w:fldCharType="end"/>
      </w:r>
    </w:p>
    <w:p w:rsidR="009E5BD0" w:rsidRDefault="009E5BD0" w:rsidP="009E5BD0">
      <w:pPr>
        <w:pStyle w:val="TOC8"/>
        <w:rPr>
          <w:rFonts w:asciiTheme="minorHAnsi" w:eastAsiaTheme="minorEastAsia" w:hAnsiTheme="minorHAnsi" w:cstheme="minorBidi"/>
          <w:i w:val="0"/>
          <w:noProof/>
          <w:sz w:val="22"/>
          <w:szCs w:val="22"/>
          <w:lang w:eastAsia="en-GB"/>
        </w:rPr>
      </w:pPr>
      <w:r>
        <w:rPr>
          <w:noProof/>
        </w:rPr>
        <w:t>JUSTICE AND HOME AFFAIRS</w:t>
      </w:r>
    </w:p>
    <w:p w:rsidR="009E5BD0" w:rsidRDefault="009E5BD0" w:rsidP="009E5BD0">
      <w:pPr>
        <w:pStyle w:val="TOC9"/>
        <w:rPr>
          <w:rFonts w:asciiTheme="minorHAnsi" w:eastAsiaTheme="minorEastAsia" w:hAnsiTheme="minorHAnsi" w:cstheme="minorBidi"/>
          <w:noProof/>
          <w:sz w:val="22"/>
          <w:szCs w:val="22"/>
          <w:lang w:eastAsia="en-GB"/>
        </w:rPr>
      </w:pPr>
      <w:r>
        <w:rPr>
          <w:noProof/>
        </w:rPr>
        <w:t>EU-USA Transatlantic cooperation</w:t>
      </w:r>
      <w:r>
        <w:rPr>
          <w:noProof/>
        </w:rPr>
        <w:tab/>
      </w:r>
      <w:r>
        <w:rPr>
          <w:noProof/>
        </w:rPr>
        <w:fldChar w:fldCharType="begin"/>
      </w:r>
      <w:r>
        <w:rPr>
          <w:noProof/>
        </w:rPr>
        <w:instrText xml:space="preserve"> PAGEREF \h _Toc421109935 \* MERGEFORMAT </w:instrText>
      </w:r>
      <w:r>
        <w:rPr>
          <w:noProof/>
        </w:rPr>
      </w:r>
      <w:r>
        <w:rPr>
          <w:noProof/>
        </w:rPr>
        <w:fldChar w:fldCharType="separate"/>
      </w:r>
      <w:r w:rsidR="00945035">
        <w:rPr>
          <w:noProof/>
        </w:rPr>
        <w:t>16</w:t>
      </w:r>
      <w:r>
        <w:rPr>
          <w:noProof/>
        </w:rPr>
        <w:fldChar w:fldCharType="end"/>
      </w:r>
    </w:p>
    <w:p w:rsidR="009E5BD0" w:rsidRDefault="009E5BD0" w:rsidP="009E5BD0">
      <w:pPr>
        <w:pStyle w:val="TOC8"/>
        <w:rPr>
          <w:rFonts w:asciiTheme="minorHAnsi" w:eastAsiaTheme="minorEastAsia" w:hAnsiTheme="minorHAnsi" w:cstheme="minorBidi"/>
          <w:i w:val="0"/>
          <w:noProof/>
          <w:sz w:val="22"/>
          <w:szCs w:val="22"/>
          <w:lang w:eastAsia="en-GB"/>
        </w:rPr>
      </w:pPr>
      <w:r>
        <w:rPr>
          <w:noProof/>
        </w:rPr>
        <w:t>GENERAL AFFAIRS</w:t>
      </w:r>
    </w:p>
    <w:p w:rsidR="009E5BD0" w:rsidRDefault="009E5BD0" w:rsidP="009E5BD0">
      <w:pPr>
        <w:pStyle w:val="TOC9"/>
        <w:rPr>
          <w:rFonts w:asciiTheme="minorHAnsi" w:eastAsiaTheme="minorEastAsia" w:hAnsiTheme="minorHAnsi" w:cstheme="minorBidi"/>
          <w:noProof/>
          <w:sz w:val="22"/>
          <w:szCs w:val="22"/>
          <w:lang w:eastAsia="en-GB"/>
        </w:rPr>
      </w:pPr>
      <w:r>
        <w:rPr>
          <w:noProof/>
        </w:rPr>
        <w:t>European citizens' initiative</w:t>
      </w:r>
      <w:r>
        <w:rPr>
          <w:noProof/>
        </w:rPr>
        <w:tab/>
      </w:r>
      <w:r>
        <w:rPr>
          <w:noProof/>
        </w:rPr>
        <w:fldChar w:fldCharType="begin"/>
      </w:r>
      <w:r>
        <w:rPr>
          <w:noProof/>
        </w:rPr>
        <w:instrText xml:space="preserve"> PAGEREF \h _Toc421109937 \* MERGEFORMAT </w:instrText>
      </w:r>
      <w:r>
        <w:rPr>
          <w:noProof/>
        </w:rPr>
      </w:r>
      <w:r>
        <w:rPr>
          <w:noProof/>
        </w:rPr>
        <w:fldChar w:fldCharType="separate"/>
      </w:r>
      <w:r w:rsidR="00945035">
        <w:rPr>
          <w:noProof/>
        </w:rPr>
        <w:t>17</w:t>
      </w:r>
      <w:r>
        <w:rPr>
          <w:noProof/>
        </w:rPr>
        <w:fldChar w:fldCharType="end"/>
      </w:r>
    </w:p>
    <w:p w:rsidR="009E5BD0" w:rsidRDefault="009E5BD0" w:rsidP="009E5BD0">
      <w:pPr>
        <w:pStyle w:val="TOC8"/>
        <w:rPr>
          <w:rFonts w:asciiTheme="minorHAnsi" w:eastAsiaTheme="minorEastAsia" w:hAnsiTheme="minorHAnsi" w:cstheme="minorBidi"/>
          <w:i w:val="0"/>
          <w:noProof/>
          <w:sz w:val="22"/>
          <w:szCs w:val="22"/>
          <w:lang w:eastAsia="en-GB"/>
        </w:rPr>
      </w:pPr>
      <w:r>
        <w:rPr>
          <w:noProof/>
        </w:rPr>
        <w:t>TRANSPORT</w:t>
      </w:r>
    </w:p>
    <w:p w:rsidR="009E5BD0" w:rsidRDefault="009E5BD0" w:rsidP="009E5BD0">
      <w:pPr>
        <w:pStyle w:val="TOC9"/>
        <w:rPr>
          <w:rFonts w:asciiTheme="minorHAnsi" w:eastAsiaTheme="minorEastAsia" w:hAnsiTheme="minorHAnsi" w:cstheme="minorBidi"/>
          <w:noProof/>
          <w:sz w:val="22"/>
          <w:szCs w:val="22"/>
          <w:lang w:eastAsia="en-GB"/>
        </w:rPr>
      </w:pPr>
      <w:r>
        <w:rPr>
          <w:noProof/>
        </w:rPr>
        <w:t>EU-wide real-time traffic information services</w:t>
      </w:r>
      <w:r>
        <w:rPr>
          <w:noProof/>
        </w:rPr>
        <w:tab/>
      </w:r>
      <w:r>
        <w:rPr>
          <w:noProof/>
        </w:rPr>
        <w:fldChar w:fldCharType="begin"/>
      </w:r>
      <w:r>
        <w:rPr>
          <w:noProof/>
        </w:rPr>
        <w:instrText xml:space="preserve"> PAGEREF \h _Toc421109939 \* MERGEFORMAT </w:instrText>
      </w:r>
      <w:r>
        <w:rPr>
          <w:noProof/>
        </w:rPr>
      </w:r>
      <w:r>
        <w:rPr>
          <w:noProof/>
        </w:rPr>
        <w:fldChar w:fldCharType="separate"/>
      </w:r>
      <w:r w:rsidR="00945035">
        <w:rPr>
          <w:noProof/>
        </w:rPr>
        <w:t>18</w:t>
      </w:r>
      <w:r>
        <w:rPr>
          <w:noProof/>
        </w:rPr>
        <w:fldChar w:fldCharType="end"/>
      </w:r>
    </w:p>
    <w:p w:rsidR="009E5BD0" w:rsidRDefault="009E5BD0" w:rsidP="009E5BD0">
      <w:pPr>
        <w:pStyle w:val="TOC8"/>
        <w:rPr>
          <w:rFonts w:asciiTheme="minorHAnsi" w:eastAsiaTheme="minorEastAsia" w:hAnsiTheme="minorHAnsi" w:cstheme="minorBidi"/>
          <w:i w:val="0"/>
          <w:noProof/>
          <w:sz w:val="22"/>
          <w:szCs w:val="22"/>
          <w:lang w:eastAsia="en-GB"/>
        </w:rPr>
      </w:pPr>
      <w:r>
        <w:rPr>
          <w:noProof/>
        </w:rPr>
        <w:t>AGRICULTURE</w:t>
      </w:r>
    </w:p>
    <w:p w:rsidR="009E5BD0" w:rsidRDefault="009E5BD0" w:rsidP="009E5BD0">
      <w:pPr>
        <w:pStyle w:val="TOC9"/>
      </w:pPr>
      <w:r>
        <w:rPr>
          <w:noProof/>
        </w:rPr>
        <w:t>Pesticides - Maximum residue levels</w:t>
      </w:r>
      <w:r>
        <w:rPr>
          <w:noProof/>
        </w:rPr>
        <w:tab/>
      </w:r>
      <w:r>
        <w:rPr>
          <w:noProof/>
        </w:rPr>
        <w:fldChar w:fldCharType="begin"/>
      </w:r>
      <w:r>
        <w:rPr>
          <w:noProof/>
        </w:rPr>
        <w:instrText xml:space="preserve"> PAGEREF \h _Toc421109941 \* MERGEFORMAT </w:instrText>
      </w:r>
      <w:r>
        <w:rPr>
          <w:noProof/>
        </w:rPr>
      </w:r>
      <w:r>
        <w:rPr>
          <w:noProof/>
        </w:rPr>
        <w:fldChar w:fldCharType="separate"/>
      </w:r>
      <w:r w:rsidR="00945035">
        <w:rPr>
          <w:noProof/>
        </w:rPr>
        <w:t>19</w:t>
      </w:r>
      <w:r>
        <w:rPr>
          <w:noProof/>
        </w:rPr>
        <w:fldChar w:fldCharType="end"/>
      </w:r>
    </w:p>
    <w:p w:rsidR="009E5BD0" w:rsidRPr="005957E4" w:rsidRDefault="009E5BD0" w:rsidP="004A25A1">
      <w:pPr>
        <w:rPr>
          <w:u w:val="single"/>
        </w:rPr>
        <w:sectPr w:rsidR="009E5BD0" w:rsidRPr="005957E4" w:rsidSect="00945035">
          <w:headerReference w:type="default" r:id="rId15"/>
          <w:headerReference w:type="first" r:id="rId16"/>
          <w:footerReference w:type="first" r:id="rId17"/>
          <w:footnotePr>
            <w:numRestart w:val="eachPage"/>
          </w:footnotePr>
          <w:pgSz w:w="11907" w:h="16840" w:code="9"/>
          <w:pgMar w:top="1134" w:right="1134" w:bottom="1134" w:left="1134" w:header="567" w:footer="567" w:gutter="0"/>
          <w:cols w:space="708"/>
          <w:titlePg/>
          <w:docGrid w:linePitch="360"/>
        </w:sectPr>
      </w:pPr>
    </w:p>
    <w:p w:rsidR="004A25A1" w:rsidRPr="005957E4" w:rsidRDefault="004A25A1" w:rsidP="004A25A1">
      <w:pPr>
        <w:pStyle w:val="ItemsDebatedHeading"/>
      </w:pPr>
      <w:r w:rsidRPr="005957E4">
        <w:lastRenderedPageBreak/>
        <w:t>ITEMS DEBATED</w:t>
      </w:r>
    </w:p>
    <w:p w:rsidR="005957E4" w:rsidRPr="005957E4" w:rsidRDefault="005957E4" w:rsidP="005957E4">
      <w:pPr>
        <w:pStyle w:val="ItemDebated"/>
      </w:pPr>
      <w:bookmarkStart w:id="5" w:name="_Toc421109913"/>
      <w:r w:rsidRPr="005957E4">
        <w:t>INTERNAL MARKET AND INDUSTRY</w:t>
      </w:r>
      <w:bookmarkEnd w:id="5"/>
    </w:p>
    <w:p w:rsidR="0093143B" w:rsidRPr="005957E4" w:rsidRDefault="0093143B" w:rsidP="005957E4">
      <w:pPr>
        <w:pStyle w:val="Sub-itemDebated"/>
      </w:pPr>
      <w:bookmarkStart w:id="6" w:name="_Toc421109914"/>
      <w:r w:rsidRPr="005957E4">
        <w:t>Digital single market policy: the digital transformation of European industry</w:t>
      </w:r>
      <w:bookmarkEnd w:id="6"/>
    </w:p>
    <w:p w:rsidR="0093143B" w:rsidRPr="00FF03F6" w:rsidRDefault="0093143B" w:rsidP="00E220AA">
      <w:pPr>
        <w:rPr>
          <w:iCs/>
        </w:rPr>
      </w:pPr>
      <w:r w:rsidRPr="00FF03F6">
        <w:t>The Council exchanged views on</w:t>
      </w:r>
      <w:r w:rsidRPr="00FF03F6">
        <w:rPr>
          <w:iCs/>
        </w:rPr>
        <w:t xml:space="preserve"> digital single market policy and adopted </w:t>
      </w:r>
      <w:hyperlink r:id="rId18" w:history="1">
        <w:r w:rsidRPr="003D6385">
          <w:rPr>
            <w:rStyle w:val="Hyperlink"/>
            <w:iCs/>
          </w:rPr>
          <w:t xml:space="preserve">conclusions </w:t>
        </w:r>
        <w:r w:rsidRPr="003D6385">
          <w:rPr>
            <w:rStyle w:val="Hyperlink"/>
          </w:rPr>
          <w:t>on the digital transformation of European industry</w:t>
        </w:r>
      </w:hyperlink>
      <w:r w:rsidRPr="00FF03F6">
        <w:t>.</w:t>
      </w:r>
    </w:p>
    <w:p w:rsidR="0093143B" w:rsidRPr="00FF03F6" w:rsidRDefault="0093143B" w:rsidP="00014478">
      <w:r w:rsidRPr="00FF03F6">
        <w:t xml:space="preserve">The outcome of the exchange of views and the conclusions will be a valuable contribution to the </w:t>
      </w:r>
      <w:r w:rsidR="00014478" w:rsidRPr="00FF03F6">
        <w:t xml:space="preserve">planned </w:t>
      </w:r>
      <w:r w:rsidRPr="00FF03F6">
        <w:t>discussions on digital single market policy at the European Council on 25-26 June 2015.</w:t>
      </w:r>
    </w:p>
    <w:p w:rsidR="0093143B" w:rsidRPr="00FF03F6" w:rsidRDefault="0093143B" w:rsidP="00014478">
      <w:r w:rsidRPr="00FF03F6">
        <w:t xml:space="preserve">The Commission </w:t>
      </w:r>
      <w:r w:rsidR="00014478">
        <w:t>outlined</w:t>
      </w:r>
      <w:r w:rsidR="00014478" w:rsidRPr="00FF03F6">
        <w:t xml:space="preserve"> </w:t>
      </w:r>
      <w:r w:rsidRPr="00FF03F6">
        <w:t xml:space="preserve">the challenges lying ahead </w:t>
      </w:r>
      <w:r w:rsidR="00014478">
        <w:t xml:space="preserve">in </w:t>
      </w:r>
      <w:r w:rsidRPr="00FF03F6">
        <w:t>the implementation of the new digital single market strategy, and how the strategy will operate to unleash the full potential of Europe's digital economy to deliver growth and jobs.</w:t>
      </w:r>
    </w:p>
    <w:p w:rsidR="0093143B" w:rsidRDefault="0093143B" w:rsidP="0093143B">
      <w:r w:rsidRPr="00FF03F6">
        <w:t>Ministers agreed that the strategy covers the most important issues for completing the digital single market.</w:t>
      </w:r>
    </w:p>
    <w:p w:rsidR="0093143B" w:rsidRDefault="0093143B" w:rsidP="00FC632C">
      <w:r>
        <w:t xml:space="preserve">Many referred to the importance of </w:t>
      </w:r>
      <w:r w:rsidR="00D552E0">
        <w:t xml:space="preserve">suitable </w:t>
      </w:r>
      <w:r>
        <w:t>copyright rules, updated e-commerce r</w:t>
      </w:r>
      <w:r w:rsidR="00D552E0">
        <w:t>ules</w:t>
      </w:r>
      <w:r>
        <w:t xml:space="preserve">, interoperability, </w:t>
      </w:r>
      <w:r w:rsidR="00D552E0">
        <w:t xml:space="preserve">digital </w:t>
      </w:r>
      <w:r>
        <w:t xml:space="preserve">skills, </w:t>
      </w:r>
      <w:r w:rsidR="00FC632C">
        <w:t>increased consumer</w:t>
      </w:r>
      <w:r>
        <w:t xml:space="preserve"> confidence, awareness and protection and </w:t>
      </w:r>
      <w:r w:rsidR="00D552E0">
        <w:t xml:space="preserve">effective </w:t>
      </w:r>
      <w:r>
        <w:t>data protection</w:t>
      </w:r>
      <w:r w:rsidR="00D552E0">
        <w:t xml:space="preserve"> rules</w:t>
      </w:r>
      <w:r>
        <w:t>.</w:t>
      </w:r>
    </w:p>
    <w:p w:rsidR="0093143B" w:rsidRDefault="00FC632C" w:rsidP="00FC632C">
      <w:r>
        <w:t>The</w:t>
      </w:r>
      <w:r w:rsidR="0093143B" w:rsidRPr="00FF03F6">
        <w:t xml:space="preserve"> priority actions to be taken </w:t>
      </w:r>
      <w:r w:rsidR="0093143B">
        <w:t>in particular areas</w:t>
      </w:r>
      <w:r>
        <w:t xml:space="preserve"> addressed </w:t>
      </w:r>
      <w:r w:rsidR="0093143B">
        <w:t>the need to:</w:t>
      </w:r>
    </w:p>
    <w:p w:rsidR="0093143B" w:rsidRPr="0093143B" w:rsidRDefault="0093143B" w:rsidP="0093143B">
      <w:pPr>
        <w:pStyle w:val="Tiret0"/>
      </w:pPr>
      <w:r w:rsidRPr="0093143B">
        <w:t>facilitate digital tools and create the right framework conditions for SMEs, in particular for start-ups;</w:t>
      </w:r>
    </w:p>
    <w:p w:rsidR="0093143B" w:rsidRPr="0093143B" w:rsidRDefault="0093143B" w:rsidP="00D552E0">
      <w:pPr>
        <w:pStyle w:val="Tiret0"/>
      </w:pPr>
      <w:r w:rsidRPr="0093143B">
        <w:t>remove barriers that create bottlenecks to the digital market;</w:t>
      </w:r>
    </w:p>
    <w:p w:rsidR="0093143B" w:rsidRPr="0093143B" w:rsidRDefault="0093143B" w:rsidP="00D552E0">
      <w:pPr>
        <w:pStyle w:val="Tiret0"/>
      </w:pPr>
      <w:r w:rsidRPr="0093143B">
        <w:t>p</w:t>
      </w:r>
      <w:r w:rsidR="00D552E0">
        <w:t xml:space="preserve">romote </w:t>
      </w:r>
      <w:r w:rsidRPr="0093143B">
        <w:t xml:space="preserve">the digitalisation of European industry and </w:t>
      </w:r>
      <w:r w:rsidR="00D552E0">
        <w:t xml:space="preserve">take advantage of </w:t>
      </w:r>
      <w:r w:rsidRPr="0093143B">
        <w:t>its potential for growth and jobs, including through cooperation with industrial clusters;</w:t>
      </w:r>
    </w:p>
    <w:p w:rsidR="0093143B" w:rsidRPr="0093143B" w:rsidRDefault="00D552E0" w:rsidP="00D552E0">
      <w:pPr>
        <w:pStyle w:val="Tiret0"/>
      </w:pPr>
      <w:r>
        <w:t xml:space="preserve">examine </w:t>
      </w:r>
      <w:r w:rsidR="0093143B" w:rsidRPr="0093143B">
        <w:t xml:space="preserve">fiscal </w:t>
      </w:r>
      <w:r>
        <w:t>aspects with an impact on digital tools</w:t>
      </w:r>
      <w:r w:rsidR="00BC1FB9">
        <w:t>;</w:t>
      </w:r>
    </w:p>
    <w:p w:rsidR="0093143B" w:rsidRPr="0093143B" w:rsidRDefault="00D552E0" w:rsidP="0093143B">
      <w:pPr>
        <w:pStyle w:val="Tiret0"/>
      </w:pPr>
      <w:r>
        <w:t xml:space="preserve">apply </w:t>
      </w:r>
      <w:r w:rsidR="0093143B" w:rsidRPr="0093143B">
        <w:t>e-governance</w:t>
      </w:r>
      <w:r>
        <w:t xml:space="preserve"> in public administrations</w:t>
      </w:r>
      <w:r w:rsidR="0093143B" w:rsidRPr="0093143B">
        <w:t>;</w:t>
      </w:r>
    </w:p>
    <w:p w:rsidR="0093143B" w:rsidRPr="0093143B" w:rsidRDefault="0093143B" w:rsidP="0093143B">
      <w:pPr>
        <w:pStyle w:val="Tiret0"/>
      </w:pPr>
      <w:r w:rsidRPr="0093143B">
        <w:t>reflect on a level playing field for digital platforms;</w:t>
      </w:r>
    </w:p>
    <w:p w:rsidR="0093143B" w:rsidRPr="0093143B" w:rsidRDefault="0093143B" w:rsidP="0093143B">
      <w:pPr>
        <w:pStyle w:val="Tiret0"/>
      </w:pPr>
      <w:r w:rsidRPr="0093143B">
        <w:t>increase investment in digital infrastructures and networks</w:t>
      </w:r>
      <w:r w:rsidR="00BC1FB9">
        <w:t>;</w:t>
      </w:r>
    </w:p>
    <w:p w:rsidR="0093143B" w:rsidRPr="0093143B" w:rsidRDefault="0093143B" w:rsidP="00FC632C">
      <w:pPr>
        <w:pStyle w:val="Tiret0"/>
      </w:pPr>
      <w:r w:rsidRPr="0093143B">
        <w:t xml:space="preserve">consider </w:t>
      </w:r>
      <w:r w:rsidR="00FC632C">
        <w:t xml:space="preserve">applying the </w:t>
      </w:r>
      <w:r w:rsidR="00B466AE">
        <w:t>'</w:t>
      </w:r>
      <w:r w:rsidRPr="0093143B">
        <w:t>digital by default</w:t>
      </w:r>
      <w:r w:rsidR="00B466AE">
        <w:t>'</w:t>
      </w:r>
      <w:r w:rsidRPr="0093143B">
        <w:t xml:space="preserve"> principle</w:t>
      </w:r>
      <w:r w:rsidR="00FC632C">
        <w:t xml:space="preserve"> to </w:t>
      </w:r>
      <w:r w:rsidR="00FC632C" w:rsidRPr="0093143B">
        <w:t>all new EU legislation</w:t>
      </w:r>
      <w:r w:rsidRPr="0093143B">
        <w:t>.</w:t>
      </w:r>
    </w:p>
    <w:p w:rsidR="0093143B" w:rsidRPr="00FF03F6" w:rsidRDefault="0093143B" w:rsidP="0093143B">
      <w:r w:rsidRPr="00FF03F6">
        <w:lastRenderedPageBreak/>
        <w:t xml:space="preserve">The </w:t>
      </w:r>
      <w:hyperlink r:id="rId19" w:history="1">
        <w:r w:rsidRPr="00FF03F6">
          <w:rPr>
            <w:rStyle w:val="Hyperlink"/>
          </w:rPr>
          <w:t>digital single market strategy for Europe</w:t>
        </w:r>
      </w:hyperlink>
      <w:r w:rsidRPr="00FF03F6">
        <w:t>, released by the Commission on 6 May 2015, seeks to make a better use of the great opportunities offered by digital technologies by removing barriers which curb economic growth. It builds on three strands:</w:t>
      </w:r>
    </w:p>
    <w:p w:rsidR="0093143B" w:rsidRPr="0093143B" w:rsidRDefault="0093143B" w:rsidP="0093143B">
      <w:pPr>
        <w:pStyle w:val="Tiret0"/>
      </w:pPr>
      <w:r w:rsidRPr="0093143B">
        <w:t>better online access to goods and services for consumers and businesses;</w:t>
      </w:r>
    </w:p>
    <w:p w:rsidR="0093143B" w:rsidRPr="0093143B" w:rsidRDefault="0093143B" w:rsidP="0093143B">
      <w:pPr>
        <w:pStyle w:val="Tiret0"/>
      </w:pPr>
      <w:r w:rsidRPr="0093143B">
        <w:t>set</w:t>
      </w:r>
      <w:r w:rsidR="000C28B2">
        <w:t>ting</w:t>
      </w:r>
      <w:r w:rsidRPr="0093143B">
        <w:t xml:space="preserve"> up the right conditions and a level playing field for networks and innovative services;</w:t>
      </w:r>
    </w:p>
    <w:p w:rsidR="0093143B" w:rsidRPr="0093143B" w:rsidRDefault="0093143B" w:rsidP="0093143B">
      <w:pPr>
        <w:pStyle w:val="Tiret0"/>
      </w:pPr>
      <w:r w:rsidRPr="0093143B">
        <w:t>expand</w:t>
      </w:r>
      <w:r w:rsidR="000C28B2">
        <w:t>ing</w:t>
      </w:r>
      <w:r w:rsidRPr="0093143B">
        <w:t xml:space="preserve"> the growth potential of the digital economy.</w:t>
      </w:r>
    </w:p>
    <w:p w:rsidR="0093143B" w:rsidRPr="00FF03F6" w:rsidRDefault="0093143B" w:rsidP="0093143B">
      <w:r w:rsidRPr="00FF03F6">
        <w:t>The strategy includes a roadmap of legislative and non-legislative measures to be delivered by 2016 in line with smart regulation principles.</w:t>
      </w:r>
    </w:p>
    <w:p w:rsidR="0093143B" w:rsidRPr="00FF03F6" w:rsidRDefault="0093143B" w:rsidP="0093143B">
      <w:r w:rsidRPr="00FF03F6">
        <w:t xml:space="preserve">Last March, EU industry ministers discussed the need to incorporate aspects of industrial policy in the digital single market strategy. They noted several obstacles that prevent industry from embracing digital innovations and tools (see press release </w:t>
      </w:r>
      <w:hyperlink r:id="rId20" w:tooltip="http://data.consilium.europa.eu/doc/document/ST-6715-2015-INIT/en/pdf" w:history="1">
        <w:r w:rsidRPr="00FF03F6">
          <w:rPr>
            <w:rStyle w:val="Hyperlink"/>
          </w:rPr>
          <w:t>6715/15</w:t>
        </w:r>
      </w:hyperlink>
      <w:r w:rsidRPr="00FF03F6">
        <w:t>, page 6).</w:t>
      </w:r>
    </w:p>
    <w:p w:rsidR="0093143B" w:rsidRPr="00FF03F6" w:rsidRDefault="0093143B" w:rsidP="0093143B">
      <w:r w:rsidRPr="00FF03F6">
        <w:t>These aspects are addressed in the conclusions on the digital transformation of European industry.</w:t>
      </w:r>
    </w:p>
    <w:p w:rsidR="0093143B" w:rsidRPr="005957E4" w:rsidRDefault="0093143B" w:rsidP="005957E4">
      <w:pPr>
        <w:pStyle w:val="Sub-itemDebated"/>
      </w:pPr>
      <w:r>
        <w:br w:type="page"/>
      </w:r>
      <w:bookmarkStart w:id="7" w:name="_Toc421109915"/>
      <w:r w:rsidRPr="005957E4">
        <w:lastRenderedPageBreak/>
        <w:t>Travel packages</w:t>
      </w:r>
      <w:bookmarkEnd w:id="7"/>
    </w:p>
    <w:p w:rsidR="0093143B" w:rsidRDefault="009945F7" w:rsidP="009945F7">
      <w:r>
        <w:t>By qualified majority,</w:t>
      </w:r>
      <w:r w:rsidRPr="00FF03F6">
        <w:t xml:space="preserve"> </w:t>
      </w:r>
      <w:r>
        <w:t>t</w:t>
      </w:r>
      <w:r w:rsidR="0093143B" w:rsidRPr="00FF03F6">
        <w:t>he Council confirmed a political agreement on the reform of the Travel Package Directive.</w:t>
      </w:r>
    </w:p>
    <w:p w:rsidR="0093143B" w:rsidRPr="00FF03F6" w:rsidRDefault="0093143B" w:rsidP="009F69CC">
      <w:r>
        <w:t xml:space="preserve">Seven delegations voted against: Austria, Belgium, Estonia, Ireland, Malta, </w:t>
      </w:r>
      <w:r w:rsidR="009F69CC">
        <w:t xml:space="preserve">the </w:t>
      </w:r>
      <w:r>
        <w:t>Netherlands and Slovakia.</w:t>
      </w:r>
    </w:p>
    <w:p w:rsidR="0093143B" w:rsidRPr="00835226" w:rsidRDefault="0093143B" w:rsidP="009F69CC">
      <w:r w:rsidRPr="00835226">
        <w:t xml:space="preserve">The new directive will update </w:t>
      </w:r>
      <w:r w:rsidR="009F69CC">
        <w:t xml:space="preserve">the </w:t>
      </w:r>
      <w:r w:rsidRPr="00835226">
        <w:t>EU rules on package holidays by adapt</w:t>
      </w:r>
      <w:r w:rsidR="009F69CC">
        <w:t>ing</w:t>
      </w:r>
      <w:r w:rsidRPr="00835226">
        <w:t xml:space="preserve"> to travel market developments in order to meet the needs of consumers and businesses in the digital era.</w:t>
      </w:r>
    </w:p>
    <w:p w:rsidR="0093143B" w:rsidRPr="00835226" w:rsidRDefault="0093143B" w:rsidP="0093143B">
      <w:r w:rsidRPr="00FF03F6">
        <w:t>It</w:t>
      </w:r>
      <w:r w:rsidRPr="00835226">
        <w:t xml:space="preserve"> will extend the protection for traditional packages to combinations of separate travel services</w:t>
      </w:r>
      <w:r w:rsidRPr="00FF03F6">
        <w:t>, in particular if sold online.</w:t>
      </w:r>
    </w:p>
    <w:p w:rsidR="0093143B" w:rsidRDefault="0093143B" w:rsidP="0093143B">
      <w:pPr>
        <w:autoSpaceDE w:val="0"/>
        <w:autoSpaceDN w:val="0"/>
        <w:adjustRightInd w:val="0"/>
      </w:pPr>
      <w:r w:rsidRPr="008463A8">
        <w:t xml:space="preserve">For more details see </w:t>
      </w:r>
      <w:hyperlink r:id="rId21" w:history="1">
        <w:r w:rsidRPr="0093143B">
          <w:rPr>
            <w:rStyle w:val="Hyperlink"/>
          </w:rPr>
          <w:t>press release</w:t>
        </w:r>
      </w:hyperlink>
      <w:r w:rsidR="00BD4545">
        <w:t>.</w:t>
      </w:r>
    </w:p>
    <w:p w:rsidR="0093143B" w:rsidRPr="005957E4" w:rsidRDefault="0093143B" w:rsidP="005957E4">
      <w:pPr>
        <w:pStyle w:val="Sub-itemDebated"/>
      </w:pPr>
      <w:r>
        <w:br w:type="page"/>
      </w:r>
      <w:bookmarkStart w:id="8" w:name="_Toc421109916"/>
      <w:r w:rsidRPr="005957E4">
        <w:lastRenderedPageBreak/>
        <w:t>Consumer product safety and market surveillance package</w:t>
      </w:r>
      <w:bookmarkEnd w:id="8"/>
    </w:p>
    <w:p w:rsidR="00043001" w:rsidRDefault="009945F7" w:rsidP="009945F7">
      <w:r>
        <w:t>In public deliberation,</w:t>
      </w:r>
      <w:r w:rsidRPr="00FF03F6">
        <w:t xml:space="preserve"> </w:t>
      </w:r>
      <w:r>
        <w:t>t</w:t>
      </w:r>
      <w:r w:rsidR="0093143B" w:rsidRPr="00FF03F6">
        <w:t>he Council discussed</w:t>
      </w:r>
      <w:r w:rsidR="00112293">
        <w:t xml:space="preserve"> </w:t>
      </w:r>
      <w:r w:rsidR="0093143B" w:rsidRPr="00FF03F6">
        <w:t>the consumer product safety and market surveillance package</w:t>
      </w:r>
      <w:r w:rsidR="00043001">
        <w:t>.</w:t>
      </w:r>
    </w:p>
    <w:p w:rsidR="0093143B" w:rsidRDefault="00043001" w:rsidP="00E37C99">
      <w:r>
        <w:t>The debate</w:t>
      </w:r>
      <w:r w:rsidR="0093143B" w:rsidRPr="00FF03F6">
        <w:t xml:space="preserve"> </w:t>
      </w:r>
      <w:r w:rsidR="0093143B">
        <w:t>focus</w:t>
      </w:r>
      <w:r>
        <w:t>ed</w:t>
      </w:r>
      <w:r w:rsidR="0093143B">
        <w:t xml:space="preserve"> on the way forward to solve </w:t>
      </w:r>
      <w:r w:rsidR="0093143B">
        <w:rPr>
          <w:bCs/>
        </w:rPr>
        <w:t xml:space="preserve">the only </w:t>
      </w:r>
      <w:r w:rsidR="0093143B" w:rsidRPr="00FF03F6">
        <w:t xml:space="preserve">pending </w:t>
      </w:r>
      <w:r w:rsidR="0093143B">
        <w:t xml:space="preserve">political </w:t>
      </w:r>
      <w:r w:rsidR="0093143B" w:rsidRPr="00FF03F6">
        <w:t>issue</w:t>
      </w:r>
      <w:r>
        <w:t xml:space="preserve"> of the package, which</w:t>
      </w:r>
      <w:r w:rsidR="0093143B">
        <w:t xml:space="preserve"> relates to a</w:t>
      </w:r>
      <w:r w:rsidR="0093143B" w:rsidRPr="00FF03F6">
        <w:t xml:space="preserve"> proposed provision requiring</w:t>
      </w:r>
      <w:r w:rsidR="0093143B">
        <w:t xml:space="preserve"> </w:t>
      </w:r>
      <w:r w:rsidR="00E37C99">
        <w:t xml:space="preserve">a </w:t>
      </w:r>
      <w:r w:rsidR="0093143B">
        <w:t xml:space="preserve">mandatory </w:t>
      </w:r>
      <w:r w:rsidR="0093143B" w:rsidRPr="00FF03F6">
        <w:t xml:space="preserve">indication of origin marking for </w:t>
      </w:r>
      <w:r w:rsidR="00530F86">
        <w:t>consumer</w:t>
      </w:r>
      <w:r w:rsidR="0093143B" w:rsidRPr="00FF03F6">
        <w:t xml:space="preserve"> products</w:t>
      </w:r>
      <w:r w:rsidR="0093143B">
        <w:t xml:space="preserve">, </w:t>
      </w:r>
      <w:r w:rsidR="0093143B" w:rsidRPr="00FF03F6">
        <w:t xml:space="preserve">known as the </w:t>
      </w:r>
      <w:r w:rsidR="00B466AE">
        <w:t>'</w:t>
      </w:r>
      <w:r w:rsidR="0093143B" w:rsidRPr="00FF03F6">
        <w:t>made-in</w:t>
      </w:r>
      <w:r w:rsidR="00B466AE">
        <w:t>'</w:t>
      </w:r>
      <w:r w:rsidR="0093143B">
        <w:t xml:space="preserve"> labelling</w:t>
      </w:r>
      <w:r w:rsidR="0093143B" w:rsidRPr="00FF03F6">
        <w:t xml:space="preserve"> clause.</w:t>
      </w:r>
    </w:p>
    <w:p w:rsidR="0093143B" w:rsidRDefault="0093143B" w:rsidP="0093143B">
      <w:r>
        <w:t>In spite of all efforts made by the Presidency</w:t>
      </w:r>
      <w:r w:rsidR="00112293">
        <w:t>,</w:t>
      </w:r>
      <w:r>
        <w:t xml:space="preserve"> an agreement on a general approach could not be achieved.</w:t>
      </w:r>
    </w:p>
    <w:p w:rsidR="0093143B" w:rsidRPr="00FF03F6" w:rsidRDefault="0093143B" w:rsidP="00700647">
      <w:r w:rsidRPr="00FF03F6">
        <w:t xml:space="preserve">The debate </w:t>
      </w:r>
      <w:r>
        <w:t>too</w:t>
      </w:r>
      <w:r w:rsidRPr="00FF03F6">
        <w:t xml:space="preserve">k place against the background of a cost/benefit </w:t>
      </w:r>
      <w:hyperlink r:id="rId22" w:history="1">
        <w:r w:rsidRPr="00FF03F6">
          <w:rPr>
            <w:color w:val="0000FF"/>
            <w:u w:val="single"/>
          </w:rPr>
          <w:t>study</w:t>
        </w:r>
      </w:hyperlink>
      <w:r w:rsidRPr="00FF03F6">
        <w:t>, issued by the Commission on 6 May, on the impact of the implementation of the made-in clause for six categories of manufacturing products: toys, domestic appliances, consumer electronics, textiles, footwear and ceramics.</w:t>
      </w:r>
    </w:p>
    <w:p w:rsidR="0093143B" w:rsidRPr="00FF03F6" w:rsidRDefault="0093143B" w:rsidP="0093143B">
      <w:r w:rsidRPr="00FF03F6">
        <w:t>Last December, the Council</w:t>
      </w:r>
      <w:r>
        <w:t xml:space="preserve"> had </w:t>
      </w:r>
      <w:r w:rsidRPr="00FF03F6">
        <w:t>asked the Commission to present further evidence on the costs and benefits of the proposed mandatory marking of origin with the aim of moving the negotiations forward.</w:t>
      </w:r>
    </w:p>
    <w:p w:rsidR="0093143B" w:rsidRPr="00FF03F6" w:rsidRDefault="0093143B" w:rsidP="0093143B">
      <w:r>
        <w:t>C</w:t>
      </w:r>
      <w:r w:rsidRPr="00FF03F6">
        <w:t xml:space="preserve">urrently </w:t>
      </w:r>
      <w:r>
        <w:t>t</w:t>
      </w:r>
      <w:r w:rsidRPr="00FF03F6">
        <w:t>here is no mandatory origin-labelling requirement within the EU that applies to non-food consumer products. Producers are free to label the products with the country of origin if they so wish.</w:t>
      </w:r>
    </w:p>
    <w:p w:rsidR="0093143B" w:rsidRDefault="0093143B" w:rsidP="003306F1">
      <w:r w:rsidRPr="00FF03F6">
        <w:t xml:space="preserve">The Commission presented the package </w:t>
      </w:r>
      <w:r>
        <w:t>in</w:t>
      </w:r>
      <w:r w:rsidRPr="00FF03F6">
        <w:t xml:space="preserve"> February 2013. It is made up of two draft regulations: one on consumer product safety and </w:t>
      </w:r>
      <w:r w:rsidR="003306F1">
        <w:t xml:space="preserve">another </w:t>
      </w:r>
      <w:r w:rsidRPr="00FF03F6">
        <w:t>on market surveillance.</w:t>
      </w:r>
    </w:p>
    <w:p w:rsidR="0093143B" w:rsidRPr="005957E4" w:rsidRDefault="0093143B" w:rsidP="005957E4">
      <w:pPr>
        <w:pStyle w:val="Sub-itemDebated"/>
      </w:pPr>
      <w:r>
        <w:br w:type="page"/>
      </w:r>
      <w:bookmarkStart w:id="9" w:name="_Toc421109917"/>
      <w:r w:rsidRPr="005957E4">
        <w:lastRenderedPageBreak/>
        <w:t>Single-member private limited liability companies</w:t>
      </w:r>
      <w:bookmarkEnd w:id="9"/>
    </w:p>
    <w:p w:rsidR="006F2E77" w:rsidRPr="006F2E77" w:rsidRDefault="006F2E77" w:rsidP="00EC67D3">
      <w:r>
        <w:t>Following a debate, the Council</w:t>
      </w:r>
      <w:r w:rsidR="0093143B">
        <w:t xml:space="preserve"> </w:t>
      </w:r>
      <w:r w:rsidR="0093143B" w:rsidRPr="00FF03F6">
        <w:t>reach</w:t>
      </w:r>
      <w:r w:rsidR="0093143B">
        <w:t>ed an</w:t>
      </w:r>
      <w:r w:rsidR="0093143B" w:rsidRPr="00FF03F6">
        <w:t xml:space="preserve"> agreement </w:t>
      </w:r>
      <w:r w:rsidRPr="006F2E77">
        <w:t xml:space="preserve">on a compromise text tabled by the </w:t>
      </w:r>
      <w:r w:rsidR="00CD5634">
        <w:t>P</w:t>
      </w:r>
      <w:r w:rsidRPr="006F2E77">
        <w:t xml:space="preserve">residency </w:t>
      </w:r>
      <w:r>
        <w:t>o</w:t>
      </w:r>
      <w:r w:rsidR="00EC67D3">
        <w:t>f</w:t>
      </w:r>
      <w:r>
        <w:t xml:space="preserve"> </w:t>
      </w:r>
      <w:r w:rsidRPr="006F2E77">
        <w:t>a draft directive aimed at creating a new status for single-member private limited liability companies.</w:t>
      </w:r>
    </w:p>
    <w:p w:rsidR="006F2E77" w:rsidRPr="006F2E77" w:rsidRDefault="006F2E77" w:rsidP="00474611">
      <w:r w:rsidRPr="006F2E77">
        <w:t xml:space="preserve">The agreement constitutes the </w:t>
      </w:r>
      <w:hyperlink r:id="rId23" w:history="1">
        <w:r w:rsidRPr="00A76023">
          <w:rPr>
            <w:rStyle w:val="Hyperlink"/>
          </w:rPr>
          <w:t>Council's general approach</w:t>
        </w:r>
      </w:hyperlink>
      <w:r w:rsidRPr="006F2E77">
        <w:t xml:space="preserve"> which will serve as the basis for forthcoming negotiations with the European</w:t>
      </w:r>
      <w:r w:rsidRPr="006F2E77">
        <w:rPr>
          <w:b/>
          <w:bCs/>
        </w:rPr>
        <w:t xml:space="preserve"> </w:t>
      </w:r>
      <w:r w:rsidRPr="006F2E77">
        <w:t>Parliam</w:t>
      </w:r>
      <w:r w:rsidRPr="005957E4">
        <w:t>ent.</w:t>
      </w:r>
      <w:r w:rsidR="003D036A" w:rsidRPr="005957E4">
        <w:t xml:space="preserve"> The agreement was not supported by Austria, Belgium, Germany, Spain </w:t>
      </w:r>
      <w:r w:rsidR="00474611">
        <w:t>and</w:t>
      </w:r>
      <w:r w:rsidR="00EC67D3" w:rsidRPr="005957E4">
        <w:t xml:space="preserve"> </w:t>
      </w:r>
      <w:r w:rsidR="003D036A" w:rsidRPr="005957E4">
        <w:t>Sweden.</w:t>
      </w:r>
    </w:p>
    <w:p w:rsidR="0093143B" w:rsidRPr="00FF03F6" w:rsidRDefault="0093143B" w:rsidP="0093143B">
      <w:r w:rsidRPr="00FF03F6">
        <w:t>The draft directive aims to facilitate the cross-border activities of businesses, particularly SMEs, and the establishment of single-member companies as subsidiaries in other member states, by reducing the costs and administrative burdens involved in setting up these companies. This will enable businesses to enjoy the full benefit of the internal market.</w:t>
      </w:r>
    </w:p>
    <w:p w:rsidR="0093143B" w:rsidRPr="00FF03F6" w:rsidRDefault="0093143B" w:rsidP="0093143B">
      <w:r w:rsidRPr="00FF03F6">
        <w:t>To achieve this objective, the draft directive introduces a common framework governing the formation of single-member companies.</w:t>
      </w:r>
    </w:p>
    <w:p w:rsidR="0093143B" w:rsidRPr="00FF03F6" w:rsidRDefault="0093143B" w:rsidP="0093143B">
      <w:pPr>
        <w:rPr>
          <w:szCs w:val="20"/>
          <w:lang w:eastAsia="fr-BE"/>
        </w:rPr>
      </w:pPr>
      <w:r w:rsidRPr="00FF03F6">
        <w:t>Member states would have to ensure that their national legal systems provided for a form of company that complied with common rules established in the directive. Thus, it would be a national legal form and not a European one. Under a common name, it would have an EU-wide abbreviation: SUP</w:t>
      </w:r>
      <w:r w:rsidRPr="00FF03F6">
        <w:rPr>
          <w:szCs w:val="20"/>
          <w:lang w:eastAsia="fr-BE"/>
        </w:rPr>
        <w:t xml:space="preserve"> (</w:t>
      </w:r>
      <w:r w:rsidRPr="00FF03F6">
        <w:rPr>
          <w:i/>
          <w:iCs/>
          <w:szCs w:val="20"/>
          <w:lang w:eastAsia="fr-BE"/>
        </w:rPr>
        <w:t>Societas Unius Personae</w:t>
      </w:r>
      <w:r w:rsidRPr="00FF03F6">
        <w:rPr>
          <w:szCs w:val="20"/>
          <w:lang w:eastAsia="fr-BE"/>
        </w:rPr>
        <w:t>).</w:t>
      </w:r>
    </w:p>
    <w:p w:rsidR="00EF037C" w:rsidRPr="00A76023" w:rsidRDefault="006F2E77" w:rsidP="00A76023">
      <w:pPr>
        <w:rPr>
          <w:szCs w:val="20"/>
          <w:lang w:eastAsia="fr-BE"/>
        </w:rPr>
      </w:pPr>
      <w:r w:rsidRPr="008463A8">
        <w:t>For more details see</w:t>
      </w:r>
      <w:r w:rsidR="0093143B">
        <w:rPr>
          <w:szCs w:val="20"/>
          <w:lang w:eastAsia="fr-BE"/>
        </w:rPr>
        <w:t xml:space="preserve"> </w:t>
      </w:r>
      <w:hyperlink r:id="rId24" w:history="1">
        <w:r w:rsidR="0093143B" w:rsidRPr="0093143B">
          <w:rPr>
            <w:rStyle w:val="Hyperlink"/>
            <w:szCs w:val="20"/>
            <w:lang w:eastAsia="fr-BE"/>
          </w:rPr>
          <w:t>press release</w:t>
        </w:r>
      </w:hyperlink>
      <w:r w:rsidR="0093143B">
        <w:rPr>
          <w:szCs w:val="20"/>
          <w:lang w:eastAsia="fr-BE"/>
        </w:rPr>
        <w:t>.</w:t>
      </w:r>
    </w:p>
    <w:p w:rsidR="00AE53AB" w:rsidRPr="00AE53AB" w:rsidRDefault="00EF037C" w:rsidP="00AE53AB">
      <w:pPr>
        <w:pStyle w:val="ItemDebated"/>
      </w:pPr>
      <w:r>
        <w:br w:type="page"/>
      </w:r>
      <w:bookmarkStart w:id="10" w:name="_Toc421109918"/>
      <w:r w:rsidR="00AE53AB" w:rsidRPr="00AE53AB">
        <w:lastRenderedPageBreak/>
        <w:t xml:space="preserve">RESEARCH </w:t>
      </w:r>
      <w:r w:rsidRPr="00AE53AB">
        <w:t xml:space="preserve">AND </w:t>
      </w:r>
      <w:r w:rsidR="00AE53AB" w:rsidRPr="00AE53AB">
        <w:t>INNOVATION</w:t>
      </w:r>
      <w:bookmarkEnd w:id="10"/>
    </w:p>
    <w:p w:rsidR="00AE53AB" w:rsidRPr="00AE53AB" w:rsidRDefault="00AE53AB" w:rsidP="00AE53AB">
      <w:pPr>
        <w:pStyle w:val="Sub-itemDebated"/>
      </w:pPr>
      <w:bookmarkStart w:id="11" w:name="_Toc421109919"/>
      <w:r w:rsidRPr="00AE53AB">
        <w:t>European Research Area: roadmap 2015-2020 and more effective governance</w:t>
      </w:r>
      <w:bookmarkEnd w:id="11"/>
    </w:p>
    <w:p w:rsidR="00AE53AB" w:rsidRDefault="00AE53AB" w:rsidP="00AE53AB">
      <w:pPr>
        <w:rPr>
          <w:bCs/>
          <w:iCs/>
        </w:rPr>
      </w:pPr>
      <w:r>
        <w:t>In its</w:t>
      </w:r>
      <w:r w:rsidRPr="0048519D">
        <w:t xml:space="preserve"> conclusions, the Council endorse</w:t>
      </w:r>
      <w:r>
        <w:t>d</w:t>
      </w:r>
      <w:r w:rsidRPr="0048519D">
        <w:t xml:space="preserve"> a </w:t>
      </w:r>
      <w:hyperlink r:id="rId25" w:history="1">
        <w:r w:rsidRPr="00B709AB">
          <w:rPr>
            <w:rStyle w:val="Hyperlink"/>
          </w:rPr>
          <w:t>roadmap for the European Research Area</w:t>
        </w:r>
      </w:hyperlink>
      <w:r w:rsidRPr="0048519D">
        <w:t xml:space="preserve"> (ERA) and</w:t>
      </w:r>
      <w:r>
        <w:t xml:space="preserve"> set</w:t>
      </w:r>
      <w:r w:rsidRPr="0048519D">
        <w:t xml:space="preserve"> out the next </w:t>
      </w:r>
      <w:r w:rsidRPr="0048519D">
        <w:rPr>
          <w:bCs/>
          <w:iCs/>
        </w:rPr>
        <w:t>steps to improve its governance.</w:t>
      </w:r>
    </w:p>
    <w:p w:rsidR="00AE53AB" w:rsidRDefault="00AE53AB" w:rsidP="00AE53AB">
      <w:pPr>
        <w:tabs>
          <w:tab w:val="num" w:pos="1134"/>
        </w:tabs>
        <w:rPr>
          <w:bCs/>
          <w:iCs/>
        </w:rPr>
      </w:pPr>
      <w:r w:rsidRPr="0048519D">
        <w:rPr>
          <w:bCs/>
          <w:iCs/>
        </w:rPr>
        <w:t>The purpose of the roadmap, which covers the years 2015 to 2020, is to identify and focus on measures that can provide the greatest benefits for Europe's science, research and innovation systems.</w:t>
      </w:r>
    </w:p>
    <w:p w:rsidR="00AE53AB" w:rsidRDefault="00AE53AB" w:rsidP="00AE53AB">
      <w:pPr>
        <w:tabs>
          <w:tab w:val="num" w:pos="1134"/>
        </w:tabs>
      </w:pPr>
      <w:r w:rsidRPr="0048519D">
        <w:rPr>
          <w:bCs/>
          <w:iCs/>
        </w:rPr>
        <w:t xml:space="preserve">Those measures are to be anchored in the key priorities agreed for the ERA, which are: </w:t>
      </w:r>
      <w:r w:rsidRPr="0048519D">
        <w:t>more effective national research systems; optimal transnational co-operation and competition; an open labour market for researchers; gender equality and gender mainstreaming in research</w:t>
      </w:r>
      <w:r>
        <w:t>;</w:t>
      </w:r>
      <w:r w:rsidRPr="0048519D">
        <w:t xml:space="preserve"> and optimal circulation and transfer of scientific knowledge, including via a digital ERA. International cooperation in research is considered a sixth priority.</w:t>
      </w:r>
    </w:p>
    <w:p w:rsidR="00AE53AB" w:rsidRDefault="00AE53AB" w:rsidP="00A53EED">
      <w:pPr>
        <w:tabs>
          <w:tab w:val="num" w:pos="1134"/>
        </w:tabs>
      </w:pPr>
      <w:r>
        <w:t xml:space="preserve">The </w:t>
      </w:r>
      <w:hyperlink r:id="rId26" w:history="1">
        <w:r w:rsidR="00A53EED" w:rsidRPr="00A53EED">
          <w:rPr>
            <w:rStyle w:val="Hyperlink"/>
          </w:rPr>
          <w:t>conclusions</w:t>
        </w:r>
      </w:hyperlink>
      <w:r w:rsidR="00A53EED">
        <w:t xml:space="preserve"> </w:t>
      </w:r>
      <w:r>
        <w:t xml:space="preserve">call </w:t>
      </w:r>
      <w:r w:rsidRPr="00623A52">
        <w:t xml:space="preserve">on the </w:t>
      </w:r>
      <w:r>
        <w:t>m</w:t>
      </w:r>
      <w:r w:rsidRPr="00623A52">
        <w:t xml:space="preserve">ember </w:t>
      </w:r>
      <w:r>
        <w:t>s</w:t>
      </w:r>
      <w:r w:rsidRPr="00623A52">
        <w:t xml:space="preserve">tates </w:t>
      </w:r>
      <w:r w:rsidRPr="00845AD8">
        <w:t>and the Commission</w:t>
      </w:r>
      <w:r>
        <w:t xml:space="preserve"> </w:t>
      </w:r>
      <w:r w:rsidRPr="00623A52">
        <w:t>to</w:t>
      </w:r>
      <w:r>
        <w:t xml:space="preserve"> </w:t>
      </w:r>
      <w:r w:rsidRPr="00845AD8">
        <w:t>start the</w:t>
      </w:r>
      <w:r w:rsidRPr="00623A52">
        <w:t xml:space="preserve"> implement</w:t>
      </w:r>
      <w:r w:rsidRPr="00845AD8">
        <w:t>ation of</w:t>
      </w:r>
      <w:r w:rsidRPr="00623A52">
        <w:t xml:space="preserve"> the top action priorities identified in the </w:t>
      </w:r>
      <w:r>
        <w:t>r</w:t>
      </w:r>
      <w:r w:rsidRPr="00623A52">
        <w:t>oadmap</w:t>
      </w:r>
      <w:r>
        <w:t xml:space="preserve"> </w:t>
      </w:r>
      <w:r w:rsidRPr="009C5D16">
        <w:t>through appropriate actions in their action plans or strategies by mid-2016.</w:t>
      </w:r>
    </w:p>
    <w:p w:rsidR="00AE53AB" w:rsidRPr="0048519D" w:rsidRDefault="00AE53AB" w:rsidP="00AE53AB">
      <w:pPr>
        <w:autoSpaceDE w:val="0"/>
        <w:autoSpaceDN w:val="0"/>
        <w:adjustRightInd w:val="0"/>
      </w:pPr>
      <w:r w:rsidRPr="0048519D">
        <w:rPr>
          <w:bCs/>
          <w:iCs/>
        </w:rPr>
        <w:t xml:space="preserve">In February 2014, the </w:t>
      </w:r>
      <w:hyperlink r:id="rId27" w:history="1">
        <w:r w:rsidRPr="0048519D">
          <w:rPr>
            <w:rStyle w:val="Hyperlink"/>
          </w:rPr>
          <w:t>Council conclusions</w:t>
        </w:r>
      </w:hyperlink>
      <w:r w:rsidRPr="0048519D">
        <w:rPr>
          <w:bCs/>
          <w:iCs/>
        </w:rPr>
        <w:t xml:space="preserve"> called for the EU member states, in close cooperation with the Commission, to develop an ERA roadmap at European level</w:t>
      </w:r>
      <w:r w:rsidRPr="00BE77D1">
        <w:rPr>
          <w:bCs/>
          <w:iCs/>
        </w:rPr>
        <w:t xml:space="preserve"> </w:t>
      </w:r>
      <w:r w:rsidRPr="0048519D">
        <w:rPr>
          <w:bCs/>
          <w:iCs/>
        </w:rPr>
        <w:t>by mid-2015.</w:t>
      </w:r>
      <w:r w:rsidRPr="0048519D">
        <w:t xml:space="preserve"> </w:t>
      </w:r>
      <w:r>
        <w:t>This</w:t>
      </w:r>
      <w:r w:rsidRPr="0048519D">
        <w:t xml:space="preserve"> should facilitat</w:t>
      </w:r>
      <w:r>
        <w:t>e</w:t>
      </w:r>
      <w:r w:rsidRPr="0048519D">
        <w:t xml:space="preserve"> and reinforc</w:t>
      </w:r>
      <w:r>
        <w:t>e</w:t>
      </w:r>
      <w:r w:rsidRPr="0048519D">
        <w:t xml:space="preserve"> the efforts undertaken by the member states.</w:t>
      </w:r>
    </w:p>
    <w:p w:rsidR="00AE53AB" w:rsidRPr="0048519D" w:rsidRDefault="00AE53AB" w:rsidP="00A53EED">
      <w:pPr>
        <w:tabs>
          <w:tab w:val="num" w:pos="1134"/>
        </w:tabs>
      </w:pPr>
      <w:r>
        <w:rPr>
          <w:bCs/>
          <w:iCs/>
        </w:rPr>
        <w:t>T</w:t>
      </w:r>
      <w:r w:rsidRPr="0048519D">
        <w:rPr>
          <w:bCs/>
          <w:iCs/>
        </w:rPr>
        <w:t xml:space="preserve">he Council </w:t>
      </w:r>
      <w:r>
        <w:rPr>
          <w:bCs/>
          <w:iCs/>
        </w:rPr>
        <w:t>adopted</w:t>
      </w:r>
      <w:r w:rsidRPr="0048519D">
        <w:rPr>
          <w:bCs/>
          <w:iCs/>
        </w:rPr>
        <w:t xml:space="preserve"> a separate set of </w:t>
      </w:r>
      <w:hyperlink r:id="rId28" w:history="1">
        <w:r w:rsidRPr="00BB3BB5">
          <w:rPr>
            <w:rStyle w:val="Hyperlink"/>
            <w:bCs/>
            <w:iCs/>
          </w:rPr>
          <w:t>conclusions on reviewing ERA governance</w:t>
        </w:r>
      </w:hyperlink>
      <w:r w:rsidRPr="0048519D">
        <w:rPr>
          <w:bCs/>
          <w:iCs/>
        </w:rPr>
        <w:t xml:space="preserve"> </w:t>
      </w:r>
      <w:r>
        <w:rPr>
          <w:bCs/>
          <w:iCs/>
        </w:rPr>
        <w:t xml:space="preserve">to make </w:t>
      </w:r>
      <w:r w:rsidRPr="0048519D">
        <w:rPr>
          <w:bCs/>
          <w:iCs/>
        </w:rPr>
        <w:t xml:space="preserve">the advisory structure of the ERA </w:t>
      </w:r>
      <w:r w:rsidRPr="0048519D">
        <w:t>more efficient and effective.</w:t>
      </w:r>
    </w:p>
    <w:p w:rsidR="00AE53AB" w:rsidRPr="0048519D" w:rsidRDefault="00AE53AB" w:rsidP="00595D7C">
      <w:pPr>
        <w:tabs>
          <w:tab w:val="num" w:pos="1134"/>
        </w:tabs>
        <w:rPr>
          <w:bCs/>
          <w:iCs/>
        </w:rPr>
      </w:pPr>
      <w:r w:rsidRPr="0048519D">
        <w:rPr>
          <w:bCs/>
          <w:iCs/>
        </w:rPr>
        <w:t>The advisory work for the development of the ERA is currently undertaken by the E</w:t>
      </w:r>
      <w:r>
        <w:rPr>
          <w:bCs/>
          <w:iCs/>
        </w:rPr>
        <w:t xml:space="preserve">uropean </w:t>
      </w:r>
      <w:r w:rsidRPr="0048519D">
        <w:rPr>
          <w:bCs/>
          <w:iCs/>
        </w:rPr>
        <w:t>R</w:t>
      </w:r>
      <w:r>
        <w:rPr>
          <w:bCs/>
          <w:iCs/>
        </w:rPr>
        <w:t xml:space="preserve">esearch </w:t>
      </w:r>
      <w:r w:rsidRPr="0048519D">
        <w:rPr>
          <w:bCs/>
          <w:iCs/>
        </w:rPr>
        <w:t>A</w:t>
      </w:r>
      <w:r>
        <w:rPr>
          <w:bCs/>
          <w:iCs/>
        </w:rPr>
        <w:t xml:space="preserve">rea and Innovation </w:t>
      </w:r>
      <w:r w:rsidRPr="0048519D">
        <w:rPr>
          <w:bCs/>
          <w:iCs/>
        </w:rPr>
        <w:t>C</w:t>
      </w:r>
      <w:r>
        <w:rPr>
          <w:bCs/>
          <w:iCs/>
        </w:rPr>
        <w:t>ommittee (ERAC)</w:t>
      </w:r>
      <w:r w:rsidRPr="0048519D">
        <w:rPr>
          <w:bCs/>
          <w:iCs/>
        </w:rPr>
        <w:t xml:space="preserve"> and a number of </w:t>
      </w:r>
      <w:r>
        <w:rPr>
          <w:bCs/>
          <w:iCs/>
        </w:rPr>
        <w:t xml:space="preserve">other </w:t>
      </w:r>
      <w:r w:rsidRPr="0048519D">
        <w:rPr>
          <w:bCs/>
          <w:iCs/>
        </w:rPr>
        <w:t>ERA-related groups which include</w:t>
      </w:r>
      <w:r w:rsidR="00595D7C">
        <w:rPr>
          <w:bCs/>
          <w:iCs/>
        </w:rPr>
        <w:t>:</w:t>
      </w:r>
      <w:r w:rsidRPr="0048519D">
        <w:rPr>
          <w:bCs/>
          <w:iCs/>
        </w:rPr>
        <w:t xml:space="preserve"> the European Strategy Forum on Research Infrastructures (ESFRI), the Strategic Forum for International Science and Technology Cooperation (SFIC), the High Level Group on Joint Programming (GPC), the Helsinki Group on Gender in Research and Innovation (HG), the ERA Steering Group on Human Resources and Mobility (SGHRM) and the ERAC working group on knowledge transfer (KT).</w:t>
      </w:r>
    </w:p>
    <w:p w:rsidR="00AE53AB" w:rsidRDefault="00AE53AB" w:rsidP="00AE53AB">
      <w:pPr>
        <w:rPr>
          <w:bCs/>
          <w:iCs/>
        </w:rPr>
      </w:pPr>
      <w:r w:rsidRPr="0048519D">
        <w:rPr>
          <w:bCs/>
          <w:iCs/>
        </w:rPr>
        <w:t>The ERA is the cornerstone of the</w:t>
      </w:r>
      <w:r>
        <w:rPr>
          <w:bCs/>
          <w:iCs/>
        </w:rPr>
        <w:t xml:space="preserve"> </w:t>
      </w:r>
      <w:hyperlink r:id="rId29" w:history="1">
        <w:r>
          <w:rPr>
            <w:rStyle w:val="Hyperlink"/>
          </w:rPr>
          <w:t>I</w:t>
        </w:r>
        <w:r w:rsidRPr="00D829DC">
          <w:rPr>
            <w:rStyle w:val="Hyperlink"/>
          </w:rPr>
          <w:t>nnovation</w:t>
        </w:r>
        <w:r>
          <w:rPr>
            <w:rStyle w:val="Hyperlink"/>
          </w:rPr>
          <w:t xml:space="preserve"> U</w:t>
        </w:r>
        <w:r w:rsidRPr="00D829DC">
          <w:rPr>
            <w:rStyle w:val="Hyperlink"/>
          </w:rPr>
          <w:t>nion</w:t>
        </w:r>
      </w:hyperlink>
      <w:r w:rsidRPr="0048519D">
        <w:rPr>
          <w:bCs/>
          <w:iCs/>
        </w:rPr>
        <w:t xml:space="preserve"> flagship initiative to address major challenges</w:t>
      </w:r>
      <w:r>
        <w:rPr>
          <w:bCs/>
          <w:iCs/>
        </w:rPr>
        <w:t xml:space="preserve"> in society.</w:t>
      </w:r>
      <w:r w:rsidRPr="0048519D">
        <w:rPr>
          <w:bCs/>
          <w:iCs/>
        </w:rPr>
        <w:t xml:space="preserve"> </w:t>
      </w:r>
      <w:r>
        <w:rPr>
          <w:bCs/>
          <w:iCs/>
        </w:rPr>
        <w:t>It is also</w:t>
      </w:r>
      <w:r w:rsidRPr="0048519D">
        <w:rPr>
          <w:bCs/>
          <w:iCs/>
        </w:rPr>
        <w:t xml:space="preserve"> a crucial component of the EU's strategy </w:t>
      </w:r>
      <w:r>
        <w:rPr>
          <w:bCs/>
          <w:iCs/>
        </w:rPr>
        <w:t>for growth and jobs.</w:t>
      </w:r>
    </w:p>
    <w:p w:rsidR="00AE53AB" w:rsidRPr="00AE53AB" w:rsidRDefault="00AE53AB" w:rsidP="00AE53AB">
      <w:pPr>
        <w:pStyle w:val="Sub-itemDebated"/>
      </w:pPr>
      <w:r>
        <w:br w:type="page"/>
      </w:r>
      <w:bookmarkStart w:id="12" w:name="_Toc421109920"/>
      <w:r w:rsidRPr="00AE53AB">
        <w:lastRenderedPageBreak/>
        <w:t>Open, data-intensive and networked research: drivers for innovation</w:t>
      </w:r>
      <w:bookmarkEnd w:id="12"/>
    </w:p>
    <w:p w:rsidR="00AE53AB" w:rsidRDefault="00AE53AB" w:rsidP="007C7D04">
      <w:pPr>
        <w:tabs>
          <w:tab w:val="num" w:pos="1134"/>
        </w:tabs>
      </w:pPr>
      <w:r w:rsidRPr="0048519D">
        <w:t>The Council adopt</w:t>
      </w:r>
      <w:r>
        <w:t>ed</w:t>
      </w:r>
      <w:r w:rsidRPr="0048519D">
        <w:t xml:space="preserve"> </w:t>
      </w:r>
      <w:hyperlink r:id="rId30" w:history="1">
        <w:r w:rsidR="007C7D04" w:rsidRPr="007C7D04">
          <w:rPr>
            <w:rStyle w:val="Hyperlink"/>
          </w:rPr>
          <w:t>conclusion</w:t>
        </w:r>
      </w:hyperlink>
      <w:r w:rsidR="007C7D04">
        <w:t xml:space="preserve"> </w:t>
      </w:r>
      <w:r w:rsidRPr="0048519D">
        <w:t>on open, data-intensive and networked research as a driver f</w:t>
      </w:r>
      <w:r>
        <w:t>or faster and wider innovation.</w:t>
      </w:r>
    </w:p>
    <w:p w:rsidR="00AE53AB" w:rsidRPr="0048519D" w:rsidRDefault="00AE53AB" w:rsidP="00AE53AB">
      <w:pPr>
        <w:tabs>
          <w:tab w:val="num" w:pos="1134"/>
        </w:tabs>
      </w:pPr>
      <w:r w:rsidRPr="0048519D">
        <w:t>The conclusions express political support for setting the right framework conditions for research and innovation focused on big data and for strengthening the whole data value chain in Europe.</w:t>
      </w:r>
    </w:p>
    <w:p w:rsidR="00AE53AB" w:rsidRPr="0048519D" w:rsidRDefault="00AE53AB" w:rsidP="00AE53AB">
      <w:pPr>
        <w:tabs>
          <w:tab w:val="num" w:pos="1134"/>
        </w:tabs>
      </w:pPr>
      <w:r w:rsidRPr="0048519D">
        <w:t>They stress the importance of data as fuel for entrepreneurship, digital transformation of industry and the development of new business models, ideas and innovative start-ups.</w:t>
      </w:r>
    </w:p>
    <w:p w:rsidR="00AE53AB" w:rsidRPr="0048519D" w:rsidRDefault="00AE53AB" w:rsidP="00B466AE">
      <w:pPr>
        <w:tabs>
          <w:tab w:val="num" w:pos="1134"/>
        </w:tabs>
      </w:pPr>
      <w:r w:rsidRPr="0048519D">
        <w:t xml:space="preserve">On 6 May 2015, the Commission issued </w:t>
      </w:r>
      <w:r w:rsidR="00B466AE">
        <w:t xml:space="preserve">a </w:t>
      </w:r>
      <w:r w:rsidRPr="0048519D">
        <w:t>communication</w:t>
      </w:r>
      <w:r>
        <w:t xml:space="preserve"> entitled</w:t>
      </w:r>
      <w:r w:rsidRPr="0048519D">
        <w:t xml:space="preserve"> </w:t>
      </w:r>
      <w:r w:rsidR="00B466AE">
        <w:t>'</w:t>
      </w:r>
      <w:r w:rsidRPr="0048519D">
        <w:t>A digital single market strategy for Europe</w:t>
      </w:r>
      <w:r w:rsidR="00B466AE">
        <w:t>'</w:t>
      </w:r>
      <w:r w:rsidRPr="0048519D">
        <w:t xml:space="preserve"> which highlights, </w:t>
      </w:r>
      <w:r w:rsidRPr="0048519D">
        <w:rPr>
          <w:iCs/>
        </w:rPr>
        <w:t>among other things</w:t>
      </w:r>
      <w:r w:rsidRPr="0048519D">
        <w:t>, the need for investment in ICT infrastructures and technologies such as cloud computing and big data.</w:t>
      </w:r>
    </w:p>
    <w:p w:rsidR="00AE53AB" w:rsidRPr="0048519D" w:rsidRDefault="00AE53AB" w:rsidP="00AE53AB">
      <w:pPr>
        <w:tabs>
          <w:tab w:val="num" w:pos="1134"/>
        </w:tabs>
      </w:pPr>
      <w:r w:rsidRPr="0048519D">
        <w:t>Last March, the Council held a preliminary discussion on ways in which to boost innovation through open, networked and data</w:t>
      </w:r>
      <w:r>
        <w:t>-</w:t>
      </w:r>
      <w:r w:rsidRPr="0048519D">
        <w:t>intensive research.</w:t>
      </w:r>
    </w:p>
    <w:p w:rsidR="00AE53AB" w:rsidRPr="0048519D" w:rsidRDefault="00AE53AB" w:rsidP="00AE53AB">
      <w:pPr>
        <w:tabs>
          <w:tab w:val="num" w:pos="1134"/>
        </w:tabs>
      </w:pPr>
      <w:r>
        <w:t>On</w:t>
      </w:r>
      <w:r w:rsidRPr="0048519D">
        <w:t xml:space="preserve"> that occasion, ministers emphasised that the research perspective should be taken into account when discussing issues such as data protection and copyright, cyber-security, data storage and management, interoperability of networks and standardisation,</w:t>
      </w:r>
      <w:r>
        <w:t xml:space="preserve"> and </w:t>
      </w:r>
      <w:r w:rsidRPr="0048519D">
        <w:t>data-sharing conditions.</w:t>
      </w:r>
    </w:p>
    <w:p w:rsidR="00AE53AB" w:rsidRDefault="00AE53AB" w:rsidP="00875179">
      <w:pPr>
        <w:tabs>
          <w:tab w:val="num" w:pos="1134"/>
        </w:tabs>
      </w:pPr>
      <w:r>
        <w:t>T</w:t>
      </w:r>
      <w:r w:rsidRPr="0048519D">
        <w:t>he digital economy, innovation and services a</w:t>
      </w:r>
      <w:r>
        <w:t>re</w:t>
      </w:r>
      <w:r w:rsidRPr="0048519D">
        <w:t xml:space="preserve"> drivers for </w:t>
      </w:r>
      <w:r>
        <w:t>growth and jobs.</w:t>
      </w:r>
    </w:p>
    <w:p w:rsidR="00AE53AB" w:rsidRPr="00AE53AB" w:rsidRDefault="00AE53AB" w:rsidP="00B466AE">
      <w:pPr>
        <w:pStyle w:val="Sub-itemDebated"/>
      </w:pPr>
      <w:r>
        <w:br w:type="page"/>
      </w:r>
      <w:bookmarkStart w:id="13" w:name="_Toc421109921"/>
      <w:r w:rsidRPr="00AE53AB">
        <w:lastRenderedPageBreak/>
        <w:t>Towards open and excellent European science: Science 2.0</w:t>
      </w:r>
      <w:bookmarkEnd w:id="13"/>
    </w:p>
    <w:p w:rsidR="00AE53AB" w:rsidRPr="00947DF7" w:rsidRDefault="00AE53AB" w:rsidP="00AE53AB">
      <w:r w:rsidRPr="0048519D">
        <w:t>The Council h</w:t>
      </w:r>
      <w:r>
        <w:t>e</w:t>
      </w:r>
      <w:r w:rsidRPr="0048519D">
        <w:t>ld a</w:t>
      </w:r>
      <w:r>
        <w:t xml:space="preserve"> policy</w:t>
      </w:r>
      <w:r w:rsidRPr="0048519D">
        <w:t xml:space="preserve"> debate on </w:t>
      </w:r>
      <w:r w:rsidRPr="00947DF7">
        <w:t>open</w:t>
      </w:r>
      <w:r>
        <w:t xml:space="preserve"> and excellent</w:t>
      </w:r>
      <w:r w:rsidRPr="00947DF7">
        <w:t xml:space="preserve"> science, as a follow</w:t>
      </w:r>
      <w:r w:rsidR="00364FD7">
        <w:t>-</w:t>
      </w:r>
      <w:r w:rsidRPr="00947DF7">
        <w:t xml:space="preserve">up to the Science 2.0 public consultation </w:t>
      </w:r>
      <w:r>
        <w:t>carried out</w:t>
      </w:r>
      <w:r w:rsidRPr="00947DF7">
        <w:t xml:space="preserve"> by the Commission.</w:t>
      </w:r>
    </w:p>
    <w:p w:rsidR="00AE53AB" w:rsidRDefault="00AE53AB" w:rsidP="00943670">
      <w:r>
        <w:t xml:space="preserve">Many delegations supported the main thrust </w:t>
      </w:r>
      <w:r w:rsidR="007D3356">
        <w:t>of the recommendations emerging from the</w:t>
      </w:r>
      <w:r w:rsidR="00943670">
        <w:t xml:space="preserve"> </w:t>
      </w:r>
      <w:hyperlink r:id="rId31" w:history="1">
        <w:r w:rsidR="00943670">
          <w:rPr>
            <w:rStyle w:val="Hyperlink"/>
          </w:rPr>
          <w:t>consultation</w:t>
        </w:r>
      </w:hyperlink>
      <w:r w:rsidR="007D3356">
        <w:t xml:space="preserve"> </w:t>
      </w:r>
      <w:r>
        <w:t xml:space="preserve">and expressed interest </w:t>
      </w:r>
      <w:r w:rsidR="00666CB5">
        <w:t>i</w:t>
      </w:r>
      <w:r>
        <w:t xml:space="preserve">n the </w:t>
      </w:r>
      <w:r w:rsidRPr="00C45EBD">
        <w:t>idea of developing</w:t>
      </w:r>
      <w:r>
        <w:t xml:space="preserve"> a European open science agenda.</w:t>
      </w:r>
    </w:p>
    <w:p w:rsidR="00AE53AB" w:rsidRDefault="00AE53AB" w:rsidP="00B2409F">
      <w:r>
        <w:t>T</w:t>
      </w:r>
      <w:r w:rsidRPr="00C45EBD">
        <w:t xml:space="preserve">his process </w:t>
      </w:r>
      <w:r>
        <w:t xml:space="preserve">could </w:t>
      </w:r>
      <w:r w:rsidRPr="00C45EBD">
        <w:t>contribute to the further development of the ERA and to increase the quality and impact of science as well as spreading excell</w:t>
      </w:r>
      <w:r>
        <w:t>ence and widening participation in research and innovation.</w:t>
      </w:r>
    </w:p>
    <w:p w:rsidR="00AE53AB" w:rsidRDefault="00E43284" w:rsidP="00E43284">
      <w:r>
        <w:t>A</w:t>
      </w:r>
      <w:r w:rsidR="00AE53AB">
        <w:t xml:space="preserve">dequately and actively </w:t>
      </w:r>
      <w:r>
        <w:t xml:space="preserve">engaging </w:t>
      </w:r>
      <w:r w:rsidR="00AE53AB" w:rsidRPr="00C45EBD">
        <w:t>researchers, students, universit</w:t>
      </w:r>
      <w:r w:rsidR="00AE53AB">
        <w:t>ies, funding bodies, businesses and other stakeholders</w:t>
      </w:r>
      <w:r w:rsidRPr="00E43284">
        <w:t xml:space="preserve"> </w:t>
      </w:r>
      <w:r>
        <w:t>in the open science process was an essential precondition for its success</w:t>
      </w:r>
      <w:r w:rsidR="00AE53AB" w:rsidRPr="00C45EBD">
        <w:t>.</w:t>
      </w:r>
    </w:p>
    <w:p w:rsidR="00AE53AB" w:rsidRDefault="00AD4F63" w:rsidP="00A75EC9">
      <w:r>
        <w:t>O</w:t>
      </w:r>
      <w:r w:rsidR="00AE53AB">
        <w:t>ther s</w:t>
      </w:r>
      <w:r w:rsidR="00AE53AB" w:rsidRPr="00C45EBD">
        <w:t xml:space="preserve">pecific actions </w:t>
      </w:r>
      <w:r w:rsidR="00AE53AB">
        <w:t>that c</w:t>
      </w:r>
      <w:r w:rsidR="00AE53AB" w:rsidRPr="00C45EBD">
        <w:t xml:space="preserve">ould be taken to move towards </w:t>
      </w:r>
      <w:r w:rsidR="00A75EC9">
        <w:t>a</w:t>
      </w:r>
      <w:r w:rsidR="00AE53AB" w:rsidRPr="00A75EC9">
        <w:t xml:space="preserve"> </w:t>
      </w:r>
      <w:r w:rsidR="00FC71B0" w:rsidRPr="00A75EC9">
        <w:t xml:space="preserve">wide </w:t>
      </w:r>
      <w:r w:rsidR="00AE53AB" w:rsidRPr="00A75EC9">
        <w:t xml:space="preserve">open science concept, </w:t>
      </w:r>
      <w:r w:rsidR="00FC71B0" w:rsidRPr="00A75EC9">
        <w:t>include</w:t>
      </w:r>
      <w:r w:rsidR="00AE53AB" w:rsidRPr="00A75EC9">
        <w:t>:</w:t>
      </w:r>
    </w:p>
    <w:p w:rsidR="00AE53AB" w:rsidRPr="00AE53AB" w:rsidRDefault="00AE53AB" w:rsidP="00FC71B0">
      <w:pPr>
        <w:pStyle w:val="Tiret0"/>
      </w:pPr>
      <w:r w:rsidRPr="00AE53AB">
        <w:t>remov</w:t>
      </w:r>
      <w:r w:rsidR="00FC71B0">
        <w:t>ing</w:t>
      </w:r>
      <w:r w:rsidRPr="00AE53AB">
        <w:t xml:space="preserve"> barriers to the free flow of data</w:t>
      </w:r>
      <w:r w:rsidR="00FC71B0">
        <w:t>,</w:t>
      </w:r>
      <w:r w:rsidRPr="00AE53AB">
        <w:t xml:space="preserve"> taking into account adequate protection to prevent abuses</w:t>
      </w:r>
      <w:r>
        <w:t>;</w:t>
      </w:r>
    </w:p>
    <w:p w:rsidR="00AE53AB" w:rsidRPr="00AE53AB" w:rsidRDefault="00AE53AB" w:rsidP="00FC71B0">
      <w:pPr>
        <w:pStyle w:val="Tiret0"/>
      </w:pPr>
      <w:r w:rsidRPr="00AE53AB">
        <w:t>design</w:t>
      </w:r>
      <w:r w:rsidR="00FC71B0">
        <w:t>ing</w:t>
      </w:r>
      <w:r w:rsidRPr="00AE53AB">
        <w:t xml:space="preserve"> appropriate incentives and develop</w:t>
      </w:r>
      <w:r w:rsidR="00FC71B0">
        <w:t>ing</w:t>
      </w:r>
      <w:r w:rsidRPr="00AE53AB">
        <w:t xml:space="preserve"> common standards for data sharing</w:t>
      </w:r>
      <w:r w:rsidR="00FC71B0">
        <w:t>,</w:t>
      </w:r>
      <w:r w:rsidRPr="00AE53AB">
        <w:t xml:space="preserve"> and </w:t>
      </w:r>
      <w:r w:rsidR="00FC71B0" w:rsidRPr="00AE53AB">
        <w:t>promot</w:t>
      </w:r>
      <w:r w:rsidR="00FC71B0">
        <w:t>ing</w:t>
      </w:r>
      <w:r w:rsidR="00FC71B0" w:rsidRPr="00AE53AB">
        <w:t xml:space="preserve"> </w:t>
      </w:r>
      <w:r w:rsidRPr="00AE53AB">
        <w:t>data literacy</w:t>
      </w:r>
      <w:r>
        <w:t>;</w:t>
      </w:r>
    </w:p>
    <w:p w:rsidR="00AE53AB" w:rsidRPr="00AE53AB" w:rsidRDefault="00AE53AB" w:rsidP="00FC71B0">
      <w:pPr>
        <w:pStyle w:val="Tiret0"/>
      </w:pPr>
      <w:r w:rsidRPr="00AE53AB">
        <w:t>facilitat</w:t>
      </w:r>
      <w:r w:rsidR="00FC71B0">
        <w:t>ing</w:t>
      </w:r>
      <w:r w:rsidRPr="00AE53AB">
        <w:t xml:space="preserve"> greater access to publicly funded scientific publications</w:t>
      </w:r>
      <w:r>
        <w:t>;</w:t>
      </w:r>
    </w:p>
    <w:p w:rsidR="00AE53AB" w:rsidRPr="00AE53AB" w:rsidRDefault="00AE53AB" w:rsidP="00FC71B0">
      <w:pPr>
        <w:pStyle w:val="Tiret0"/>
      </w:pPr>
      <w:r w:rsidRPr="00AE53AB">
        <w:t>integrat</w:t>
      </w:r>
      <w:r w:rsidR="00FC71B0">
        <w:t>ing</w:t>
      </w:r>
      <w:r w:rsidRPr="00AE53AB">
        <w:t xml:space="preserve"> open science into education programmes.</w:t>
      </w:r>
    </w:p>
    <w:p w:rsidR="00AE53AB" w:rsidRDefault="00AE53AB" w:rsidP="00AE53AB">
      <w:r>
        <w:t>Some countries announced that they are starting to integrate aspects of open science into their national programmes</w:t>
      </w:r>
      <w:r w:rsidR="00595D7C">
        <w:t>.</w:t>
      </w:r>
    </w:p>
    <w:p w:rsidR="00AE53AB" w:rsidRPr="0048519D" w:rsidRDefault="00AE53AB" w:rsidP="00AE53AB">
      <w:r w:rsidRPr="0048519D">
        <w:t xml:space="preserve">Last March, the Council took note of the outcome of a </w:t>
      </w:r>
      <w:hyperlink r:id="rId32" w:history="1">
        <w:r w:rsidRPr="0048519D">
          <w:rPr>
            <w:rStyle w:val="Hyperlink"/>
          </w:rPr>
          <w:t>public consultation</w:t>
        </w:r>
      </w:hyperlink>
      <w:r w:rsidRPr="0048519D">
        <w:t xml:space="preserve"> on Science 2.0, which refers to the transition in the way research is performed, researchers collaborate, knowledge is shared and science is organised.</w:t>
      </w:r>
    </w:p>
    <w:p w:rsidR="00AE53AB" w:rsidRDefault="00AE53AB" w:rsidP="00B466AE">
      <w:pPr>
        <w:rPr>
          <w:b/>
          <w:bCs/>
        </w:rPr>
      </w:pPr>
      <w:r w:rsidRPr="0048519D">
        <w:t>In July 2014, the Commission launched a consultation on Science 2.0</w:t>
      </w:r>
      <w:r w:rsidR="00FC71B0">
        <w:t>,</w:t>
      </w:r>
      <w:r w:rsidRPr="0048519D">
        <w:t xml:space="preserve"> focusing on the new trends in research and organising science. It gathered the views of many different stakeholders on the future of science, taking into account new trends such as more open, digital and data-driven science.</w:t>
      </w:r>
    </w:p>
    <w:p w:rsidR="0093143B" w:rsidRPr="005957E4" w:rsidRDefault="0093143B" w:rsidP="00AC2F63">
      <w:pPr>
        <w:pStyle w:val="Sub-itemDebated"/>
      </w:pPr>
      <w:r>
        <w:br w:type="page"/>
      </w:r>
      <w:bookmarkStart w:id="14" w:name="_Toc421109922"/>
      <w:r w:rsidRPr="005957E4">
        <w:lastRenderedPageBreak/>
        <w:t>A</w:t>
      </w:r>
      <w:r w:rsidR="00AC2F63">
        <w:t>NY OTHER BUSINESS</w:t>
      </w:r>
      <w:bookmarkEnd w:id="14"/>
    </w:p>
    <w:p w:rsidR="0093143B" w:rsidRPr="0093143B" w:rsidRDefault="0093143B" w:rsidP="0093143B">
      <w:pPr>
        <w:pStyle w:val="Sub-sub-itemDebated"/>
      </w:pPr>
      <w:bookmarkStart w:id="15" w:name="_Toc421109923"/>
      <w:r w:rsidRPr="0093143B">
        <w:t>Trade mark reform</w:t>
      </w:r>
      <w:bookmarkEnd w:id="15"/>
    </w:p>
    <w:p w:rsidR="0093143B" w:rsidRPr="00FF03F6" w:rsidRDefault="0093143B" w:rsidP="0093143B">
      <w:pPr>
        <w:tabs>
          <w:tab w:val="num" w:pos="1134"/>
        </w:tabs>
      </w:pPr>
      <w:r>
        <w:t xml:space="preserve">The Council took note of </w:t>
      </w:r>
      <w:r w:rsidRPr="00FF03F6">
        <w:t xml:space="preserve">the provisional agreement reached </w:t>
      </w:r>
      <w:r w:rsidR="00CD5634">
        <w:t>between the P</w:t>
      </w:r>
      <w:r>
        <w:t xml:space="preserve">residency of the Council and </w:t>
      </w:r>
      <w:r w:rsidRPr="00FF03F6">
        <w:t>European Parliament representatives</w:t>
      </w:r>
      <w:r>
        <w:t xml:space="preserve"> on 21</w:t>
      </w:r>
      <w:r w:rsidRPr="00FF03F6">
        <w:t xml:space="preserve"> April.</w:t>
      </w:r>
    </w:p>
    <w:p w:rsidR="0093143B" w:rsidRPr="00FF03F6" w:rsidRDefault="0093143B" w:rsidP="0093143B">
      <w:pPr>
        <w:autoSpaceDE w:val="0"/>
        <w:autoSpaceDN w:val="0"/>
        <w:adjustRightInd w:val="0"/>
      </w:pPr>
      <w:r w:rsidRPr="00FF03F6">
        <w:t xml:space="preserve">See press release: </w:t>
      </w:r>
      <w:hyperlink r:id="rId33" w:history="1">
        <w:r w:rsidRPr="00FF03F6">
          <w:rPr>
            <w:rStyle w:val="Hyperlink"/>
          </w:rPr>
          <w:t>Trade marks reform: presidency secures provisional agreement</w:t>
        </w:r>
      </w:hyperlink>
    </w:p>
    <w:p w:rsidR="0093143B" w:rsidRPr="0075312F" w:rsidRDefault="0093143B" w:rsidP="00992C21">
      <w:r w:rsidRPr="0075312F">
        <w:t xml:space="preserve">The agreement on the political aspects has to be incorporated in the final texts with a view to submitting them for endorsement </w:t>
      </w:r>
      <w:r w:rsidR="00992C21">
        <w:t>by</w:t>
      </w:r>
      <w:r w:rsidR="00992C21" w:rsidRPr="0075312F">
        <w:t xml:space="preserve"> </w:t>
      </w:r>
      <w:r w:rsidRPr="0075312F">
        <w:t xml:space="preserve">the Permanent Representatives </w:t>
      </w:r>
      <w:r w:rsidR="00FC71B0">
        <w:t xml:space="preserve">Committee </w:t>
      </w:r>
      <w:r w:rsidRPr="0075312F">
        <w:t>(Coreper) in June.</w:t>
      </w:r>
    </w:p>
    <w:p w:rsidR="0093143B" w:rsidRDefault="0093143B" w:rsidP="00992C21">
      <w:r w:rsidRPr="0075312F">
        <w:t xml:space="preserve">The process </w:t>
      </w:r>
      <w:r w:rsidR="00992C21">
        <w:t>of</w:t>
      </w:r>
      <w:r w:rsidR="00992C21" w:rsidRPr="0075312F">
        <w:t xml:space="preserve"> </w:t>
      </w:r>
      <w:r w:rsidRPr="0075312F">
        <w:t xml:space="preserve">the adoption of the Council's position at first reading </w:t>
      </w:r>
      <w:r w:rsidR="001825EB">
        <w:t xml:space="preserve">will </w:t>
      </w:r>
      <w:r w:rsidRPr="0075312F">
        <w:t>start immediately thereafter.</w:t>
      </w:r>
    </w:p>
    <w:p w:rsidR="0093143B" w:rsidRPr="0093143B" w:rsidRDefault="002F7068" w:rsidP="0093143B">
      <w:pPr>
        <w:pStyle w:val="Sub-sub-itemDebated"/>
      </w:pPr>
      <w:bookmarkStart w:id="16" w:name="_Toc421109924"/>
      <w:r>
        <w:t>Unitary p</w:t>
      </w:r>
      <w:r w:rsidR="0093143B" w:rsidRPr="0093143B">
        <w:t>atent protection system</w:t>
      </w:r>
      <w:bookmarkEnd w:id="16"/>
    </w:p>
    <w:p w:rsidR="0093143B" w:rsidRDefault="0093143B" w:rsidP="00B25A5E">
      <w:r w:rsidRPr="00FF03F6">
        <w:t>The Council t</w:t>
      </w:r>
      <w:r>
        <w:t>oo</w:t>
      </w:r>
      <w:r w:rsidRPr="00FF03F6">
        <w:t xml:space="preserve">k note of </w:t>
      </w:r>
      <w:hyperlink r:id="rId34" w:history="1">
        <w:r w:rsidRPr="00C56CF7">
          <w:rPr>
            <w:rStyle w:val="Hyperlink"/>
          </w:rPr>
          <w:t>updated information</w:t>
        </w:r>
      </w:hyperlink>
      <w:r w:rsidRPr="00FF03F6">
        <w:t xml:space="preserve"> </w:t>
      </w:r>
      <w:r w:rsidR="00992C21">
        <w:t xml:space="preserve">about </w:t>
      </w:r>
      <w:r w:rsidRPr="00FF03F6">
        <w:t xml:space="preserve">how the implementation of the unitary patent protection system is progressing. The </w:t>
      </w:r>
      <w:r>
        <w:t xml:space="preserve">information </w:t>
      </w:r>
      <w:r w:rsidRPr="00FF03F6">
        <w:t>w</w:t>
      </w:r>
      <w:r>
        <w:t xml:space="preserve">as </w:t>
      </w:r>
      <w:r w:rsidR="00B25A5E">
        <w:t>given</w:t>
      </w:r>
      <w:r w:rsidRPr="00FF03F6">
        <w:t xml:space="preserve"> by the Commission and the chairs of the two committees in charge of preparations for the establishment of the system and of the Unified Patent Court.</w:t>
      </w:r>
    </w:p>
    <w:p w:rsidR="0093143B" w:rsidRDefault="0093143B" w:rsidP="00992C21">
      <w:r>
        <w:t xml:space="preserve">Several member states and the Commission recalled the importance of completing the ratification procedures as soon as possible so that the system can be in place </w:t>
      </w:r>
      <w:r w:rsidR="00992C21">
        <w:t xml:space="preserve">by </w:t>
      </w:r>
      <w:r>
        <w:t>2016.</w:t>
      </w:r>
    </w:p>
    <w:p w:rsidR="0093143B" w:rsidRDefault="0093143B" w:rsidP="00B25A5E">
      <w:r>
        <w:t>A number of member states and the Commission underlined the importance of setting affordable levels of fees to make the system more attractive to SMEs.</w:t>
      </w:r>
    </w:p>
    <w:p w:rsidR="0093143B" w:rsidRPr="0093143B" w:rsidRDefault="0093143B" w:rsidP="00C7258D">
      <w:pPr>
        <w:pStyle w:val="Sub-sub-itemDebated"/>
      </w:pPr>
      <w:r>
        <w:br w:type="page"/>
      </w:r>
      <w:bookmarkStart w:id="17" w:name="_Toc421109925"/>
      <w:r w:rsidRPr="0093143B">
        <w:lastRenderedPageBreak/>
        <w:t>Defence and security industries</w:t>
      </w:r>
      <w:bookmarkEnd w:id="17"/>
    </w:p>
    <w:p w:rsidR="0093143B" w:rsidRDefault="0093143B" w:rsidP="0093143B">
      <w:pPr>
        <w:tabs>
          <w:tab w:val="num" w:pos="1134"/>
        </w:tabs>
      </w:pPr>
      <w:r w:rsidRPr="00FF03F6">
        <w:t xml:space="preserve">The </w:t>
      </w:r>
      <w:r>
        <w:t xml:space="preserve">Council took note of a report by the </w:t>
      </w:r>
      <w:r w:rsidRPr="00FF03F6">
        <w:t>Commission on the implementation of a communication on defence. It was first presented to the Foreign Affairs Council on 18 May, which also approved conclusions.</w:t>
      </w:r>
    </w:p>
    <w:p w:rsidR="0093143B" w:rsidRPr="0054675B" w:rsidRDefault="0093143B" w:rsidP="00A75EC9">
      <w:pPr>
        <w:tabs>
          <w:tab w:val="num" w:pos="1134"/>
        </w:tabs>
      </w:pPr>
      <w:r w:rsidRPr="0054675B">
        <w:t>The contribution of the Commission and the High Representative</w:t>
      </w:r>
      <w:r w:rsidR="008B2D30">
        <w:t xml:space="preserve"> </w:t>
      </w:r>
      <w:r w:rsidRPr="0054675B">
        <w:t>to upcoming discussions</w:t>
      </w:r>
      <w:r w:rsidR="00A75EC9">
        <w:t xml:space="preserve"> on defence matters</w:t>
      </w:r>
      <w:r w:rsidRPr="0054675B">
        <w:t xml:space="preserve"> </w:t>
      </w:r>
      <w:r w:rsidR="005F2ED8">
        <w:t>at</w:t>
      </w:r>
      <w:r w:rsidR="005F2ED8" w:rsidRPr="0054675B">
        <w:t xml:space="preserve"> </w:t>
      </w:r>
      <w:r w:rsidRPr="0054675B">
        <w:t>the European Council on 25-26 June</w:t>
      </w:r>
      <w:r w:rsidR="005F2ED8">
        <w:t>, comprises</w:t>
      </w:r>
      <w:r w:rsidRPr="0054675B">
        <w:t>:</w:t>
      </w:r>
    </w:p>
    <w:p w:rsidR="0093143B" w:rsidRPr="0093143B" w:rsidRDefault="0093143B" w:rsidP="0093143B">
      <w:pPr>
        <w:pStyle w:val="Tiret0"/>
      </w:pPr>
      <w:r w:rsidRPr="0093143B">
        <w:t xml:space="preserve">A </w:t>
      </w:r>
      <w:hyperlink r:id="rId35" w:history="1">
        <w:r w:rsidRPr="0093143B">
          <w:rPr>
            <w:rStyle w:val="Hyperlink"/>
          </w:rPr>
          <w:t>report</w:t>
        </w:r>
      </w:hyperlink>
      <w:r w:rsidRPr="0093143B">
        <w:t xml:space="preserve"> which provides an update on the EU's progress in promoting a European Defence and Technological Industrial Base, most notably in the areas of the internal market, research and industrial policies.</w:t>
      </w:r>
    </w:p>
    <w:p w:rsidR="0093143B" w:rsidRPr="0093143B" w:rsidRDefault="0093143B" w:rsidP="0093143B">
      <w:pPr>
        <w:pStyle w:val="Tiret0"/>
      </w:pPr>
      <w:r w:rsidRPr="0093143B">
        <w:t xml:space="preserve">A </w:t>
      </w:r>
      <w:hyperlink r:id="rId36" w:history="1">
        <w:r w:rsidRPr="0093143B">
          <w:rPr>
            <w:rStyle w:val="Hyperlink"/>
          </w:rPr>
          <w:t>report</w:t>
        </w:r>
      </w:hyperlink>
      <w:r w:rsidRPr="0093143B">
        <w:t xml:space="preserve"> which presents an overview on the EU's activities in security and defence since December 2013.</w:t>
      </w:r>
    </w:p>
    <w:p w:rsidR="0093143B" w:rsidRDefault="0093143B" w:rsidP="00D82C56">
      <w:pPr>
        <w:tabs>
          <w:tab w:val="num" w:pos="1134"/>
        </w:tabs>
      </w:pPr>
      <w:r>
        <w:t xml:space="preserve">In July 2013, the </w:t>
      </w:r>
      <w:r w:rsidRPr="00CA750A">
        <w:t>Commission</w:t>
      </w:r>
      <w:r>
        <w:t xml:space="preserve"> presented a communication entitled </w:t>
      </w:r>
      <w:r w:rsidR="00B466AE">
        <w:t>'</w:t>
      </w:r>
      <w:r>
        <w:t>Towards a more competitive and efficient defence and security sector</w:t>
      </w:r>
      <w:r w:rsidR="00B466AE">
        <w:t xml:space="preserve">'. </w:t>
      </w:r>
      <w:r w:rsidR="00D82C56">
        <w:t xml:space="preserve">The </w:t>
      </w:r>
      <w:r>
        <w:t xml:space="preserve">communication announced a roadmap with actions and timelines, which was published on 24 June 2014 under </w:t>
      </w:r>
      <w:r w:rsidR="00B466AE">
        <w:t>the title '</w:t>
      </w:r>
      <w:r>
        <w:t>A New Deal for European De</w:t>
      </w:r>
      <w:r w:rsidR="008B2D30">
        <w:t>fence: Implementation Roadmap</w:t>
      </w:r>
      <w:r w:rsidR="00B466AE">
        <w:t>'</w:t>
      </w:r>
      <w:r w:rsidR="008B2D30">
        <w:t>.</w:t>
      </w:r>
    </w:p>
    <w:p w:rsidR="0093143B" w:rsidRPr="0093143B" w:rsidRDefault="0093143B" w:rsidP="0093143B">
      <w:pPr>
        <w:pStyle w:val="Sub-sub-itemDebated"/>
      </w:pPr>
      <w:bookmarkStart w:id="18" w:name="_Toc421109926"/>
      <w:r w:rsidRPr="0093143B">
        <w:t>SME policy and Small Business Act</w:t>
      </w:r>
      <w:bookmarkEnd w:id="18"/>
    </w:p>
    <w:p w:rsidR="0093143B" w:rsidRDefault="002A698F" w:rsidP="002A698F">
      <w:r>
        <w:t>At the request of the German delegation, t</w:t>
      </w:r>
      <w:r w:rsidR="0093143B" w:rsidRPr="00FF03F6">
        <w:t>he</w:t>
      </w:r>
      <w:r w:rsidR="0093143B">
        <w:t xml:space="preserve"> Council took note of information by the </w:t>
      </w:r>
      <w:r w:rsidR="0093143B" w:rsidRPr="00FF03F6">
        <w:t>Commission</w:t>
      </w:r>
      <w:r>
        <w:t xml:space="preserve"> </w:t>
      </w:r>
      <w:r w:rsidR="0093143B">
        <w:t>o</w:t>
      </w:r>
      <w:r w:rsidR="0093143B" w:rsidRPr="00FF03F6">
        <w:t xml:space="preserve">n </w:t>
      </w:r>
      <w:r w:rsidR="0093143B">
        <w:t xml:space="preserve">the course of action </w:t>
      </w:r>
      <w:r w:rsidR="0093143B" w:rsidRPr="00FF03F6">
        <w:t xml:space="preserve">for a </w:t>
      </w:r>
      <w:r w:rsidR="0093143B">
        <w:t>review o</w:t>
      </w:r>
      <w:r w:rsidR="0093143B" w:rsidRPr="00FF03F6">
        <w:t>f the Small Business Act.</w:t>
      </w:r>
    </w:p>
    <w:p w:rsidR="0093143B" w:rsidRDefault="0093143B" w:rsidP="00BB5BA0">
      <w:r>
        <w:t xml:space="preserve">The Commission explained that the SME dimension </w:t>
      </w:r>
      <w:r w:rsidR="00BB5BA0">
        <w:t xml:space="preserve">would </w:t>
      </w:r>
      <w:r>
        <w:t xml:space="preserve">have to be clearly reflected in the upcoming internal market strategy for goods and services and in mainstreaming industrial </w:t>
      </w:r>
      <w:r w:rsidR="007C3D1D">
        <w:t>competitiveness in EU policies.</w:t>
      </w:r>
    </w:p>
    <w:p w:rsidR="0093143B" w:rsidRPr="0093143B" w:rsidRDefault="0093143B" w:rsidP="0093143B">
      <w:pPr>
        <w:pStyle w:val="Sub-sub-itemDebated"/>
      </w:pPr>
      <w:r>
        <w:br w:type="page"/>
      </w:r>
      <w:bookmarkStart w:id="19" w:name="_Toc421109927"/>
      <w:r w:rsidRPr="0093143B">
        <w:lastRenderedPageBreak/>
        <w:t>Follow-up on internal market and industry conclusions</w:t>
      </w:r>
      <w:bookmarkEnd w:id="19"/>
    </w:p>
    <w:p w:rsidR="0093143B" w:rsidRDefault="0093143B" w:rsidP="0093143B">
      <w:r>
        <w:t xml:space="preserve">The Council took note of a </w:t>
      </w:r>
      <w:hyperlink r:id="rId37" w:history="1">
        <w:r w:rsidRPr="00C56CF7">
          <w:rPr>
            <w:rStyle w:val="Hyperlink"/>
          </w:rPr>
          <w:t>report</w:t>
        </w:r>
      </w:hyperlink>
      <w:r>
        <w:t xml:space="preserve"> on the follow-up to the c</w:t>
      </w:r>
      <w:r w:rsidRPr="00E24606">
        <w:t>onclusions on internal market and industry adopted in December 2013.</w:t>
      </w:r>
    </w:p>
    <w:p w:rsidR="0093143B" w:rsidRPr="005957E4" w:rsidRDefault="0093143B" w:rsidP="00CE3096">
      <w:r>
        <w:t xml:space="preserve">The </w:t>
      </w:r>
      <w:r w:rsidRPr="00763E67">
        <w:t>report</w:t>
      </w:r>
      <w:r>
        <w:t xml:space="preserve"> was drawn up by the </w:t>
      </w:r>
      <w:r w:rsidRPr="005957E4">
        <w:t xml:space="preserve">High level working group on competitiveness and growth, a </w:t>
      </w:r>
      <w:r w:rsidR="003D036A" w:rsidRPr="005957E4">
        <w:t xml:space="preserve">specific </w:t>
      </w:r>
      <w:r w:rsidRPr="005957E4">
        <w:t>Council</w:t>
      </w:r>
      <w:r w:rsidR="003D036A" w:rsidRPr="005957E4">
        <w:t xml:space="preserve"> working party established in October 2014</w:t>
      </w:r>
      <w:r w:rsidR="00C7258D">
        <w:t>.</w:t>
      </w:r>
    </w:p>
    <w:p w:rsidR="0093143B" w:rsidRPr="00E24606" w:rsidRDefault="0093143B" w:rsidP="001E5DEF">
      <w:r w:rsidRPr="005957E4">
        <w:t xml:space="preserve">One of the </w:t>
      </w:r>
      <w:r w:rsidR="001E5DEF" w:rsidRPr="005957E4">
        <w:t>high level group</w:t>
      </w:r>
      <w:r w:rsidR="001E5DEF">
        <w:t xml:space="preserve">'s </w:t>
      </w:r>
      <w:r w:rsidRPr="005957E4">
        <w:t xml:space="preserve">main tasks is </w:t>
      </w:r>
      <w:r w:rsidR="001E5DEF">
        <w:t xml:space="preserve">to </w:t>
      </w:r>
      <w:r w:rsidRPr="005957E4">
        <w:t xml:space="preserve">monitor the implementation of Council conclusions </w:t>
      </w:r>
      <w:r w:rsidR="001E5DEF">
        <w:t xml:space="preserve">in order </w:t>
      </w:r>
      <w:r w:rsidRPr="005957E4">
        <w:t xml:space="preserve">to help member states </w:t>
      </w:r>
      <w:r w:rsidR="003D036A" w:rsidRPr="005957E4">
        <w:t xml:space="preserve">and the Commission </w:t>
      </w:r>
      <w:r w:rsidRPr="005957E4">
        <w:t>ascertain the</w:t>
      </w:r>
      <w:r w:rsidRPr="00E24606">
        <w:t xml:space="preserve"> progress </w:t>
      </w:r>
      <w:r>
        <w:t>made.</w:t>
      </w:r>
    </w:p>
    <w:p w:rsidR="004B48AF" w:rsidRPr="0093143B" w:rsidRDefault="004B48AF" w:rsidP="006227F5">
      <w:pPr>
        <w:pStyle w:val="Sub-sub-itemDebated"/>
      </w:pPr>
      <w:bookmarkStart w:id="20" w:name="_Toc421109928"/>
      <w:r w:rsidRPr="0093143B">
        <w:t>Work programme of the upcoming Luxembourg Presidency</w:t>
      </w:r>
      <w:bookmarkEnd w:id="20"/>
    </w:p>
    <w:p w:rsidR="004B48AF" w:rsidRDefault="004B48AF" w:rsidP="004B48AF">
      <w:r w:rsidRPr="000256A7">
        <w:t>The L</w:t>
      </w:r>
      <w:r>
        <w:t xml:space="preserve">uxembourgish </w:t>
      </w:r>
      <w:r w:rsidRPr="000256A7">
        <w:t xml:space="preserve">delegation informed ministers about the Presidency's work programme on competitiveness for the </w:t>
      </w:r>
      <w:r>
        <w:t xml:space="preserve">second </w:t>
      </w:r>
      <w:r w:rsidRPr="000256A7">
        <w:t>half of 2015.</w:t>
      </w:r>
    </w:p>
    <w:p w:rsidR="004B48AF" w:rsidRDefault="004B48AF" w:rsidP="00347BF8">
      <w:r>
        <w:t xml:space="preserve">The upcoming EU Presidency will seek to take forward initiatives with European added value and reduce the cost of non-Europe. It will concentrate </w:t>
      </w:r>
      <w:r w:rsidR="00347BF8">
        <w:t>on actions in the area of</w:t>
      </w:r>
      <w:r>
        <w:t xml:space="preserve"> better regulation to promote growth and jobs.</w:t>
      </w:r>
    </w:p>
    <w:p w:rsidR="004B48AF" w:rsidRDefault="004B48AF" w:rsidP="004B48AF">
      <w:r>
        <w:t>An important aspect will be to reinforce the coherence of EU policies.</w:t>
      </w:r>
    </w:p>
    <w:p w:rsidR="004B48AF" w:rsidRPr="00B47E05" w:rsidRDefault="004B48AF" w:rsidP="004B48AF">
      <w:r w:rsidRPr="00B47E05">
        <w:t>In the field of research and innovation, it will endeavour to boost initiatives that will contribute to the implementation of the European Research Area.</w:t>
      </w:r>
    </w:p>
    <w:p w:rsidR="004A25A1" w:rsidRPr="00595D7C" w:rsidRDefault="00595D7C" w:rsidP="00595D7C">
      <w:pPr>
        <w:rPr>
          <w:sz w:val="23"/>
          <w:szCs w:val="23"/>
        </w:rPr>
        <w:sectPr w:rsidR="004A25A1" w:rsidRPr="00595D7C" w:rsidSect="00945035">
          <w:footnotePr>
            <w:numRestart w:val="eachPage"/>
          </w:footnotePr>
          <w:pgSz w:w="11907" w:h="16840" w:code="9"/>
          <w:pgMar w:top="1134" w:right="1134" w:bottom="1134" w:left="1134" w:header="567" w:footer="567" w:gutter="0"/>
          <w:cols w:space="708"/>
          <w:docGrid w:linePitch="360"/>
        </w:sectPr>
      </w:pPr>
      <w:r>
        <w:t>(</w:t>
      </w:r>
      <w:hyperlink r:id="rId38" w:history="1">
        <w:r w:rsidR="004B48AF" w:rsidRPr="00965B4A">
          <w:rPr>
            <w:rStyle w:val="Hyperlink"/>
          </w:rPr>
          <w:t>http://www.eu2015lu.eu/</w:t>
        </w:r>
      </w:hyperlink>
      <w:r>
        <w:rPr>
          <w:sz w:val="23"/>
          <w:szCs w:val="23"/>
        </w:rPr>
        <w:t>).</w:t>
      </w:r>
    </w:p>
    <w:p w:rsidR="004A25A1" w:rsidRDefault="004A25A1" w:rsidP="004A25A1">
      <w:pPr>
        <w:pStyle w:val="ItemsApprovedHeading"/>
      </w:pPr>
      <w:r w:rsidRPr="004A25A1">
        <w:lastRenderedPageBreak/>
        <w:t>OTHER ITEMS APPROVED</w:t>
      </w:r>
    </w:p>
    <w:p w:rsidR="006B0A6B" w:rsidRPr="006B0A6B" w:rsidRDefault="006B0A6B" w:rsidP="006B0A6B">
      <w:pPr>
        <w:pStyle w:val="ItemApproved"/>
      </w:pPr>
      <w:r w:rsidRPr="006B0A6B">
        <w:t>TRADE POLICY</w:t>
      </w:r>
    </w:p>
    <w:p w:rsidR="00FA21D7" w:rsidRPr="006D0891" w:rsidRDefault="00FA21D7" w:rsidP="00FA21D7">
      <w:pPr>
        <w:pStyle w:val="Sub-itemApproved"/>
      </w:pPr>
      <w:bookmarkStart w:id="21" w:name="_Toc421109930"/>
      <w:r w:rsidRPr="006D0891">
        <w:t>Textile imports</w:t>
      </w:r>
      <w:bookmarkEnd w:id="21"/>
    </w:p>
    <w:p w:rsidR="00FA21D7" w:rsidRPr="00916D7A" w:rsidRDefault="00FA21D7" w:rsidP="00FA21D7">
      <w:r w:rsidRPr="00916D7A">
        <w:t>The Council adopted a regulation recasting rules on imports of textile products from certain third countries not covered by bilateral agreements or other arrangements or by specific import rules.</w:t>
      </w:r>
    </w:p>
    <w:p w:rsidR="00FA21D7" w:rsidRPr="00916D7A" w:rsidRDefault="00945035" w:rsidP="00FA21D7">
      <w:pPr>
        <w:rPr>
          <w:u w:val="single"/>
        </w:rPr>
      </w:pPr>
      <w:hyperlink r:id="rId39" w:history="1">
        <w:r w:rsidR="00FA21D7" w:rsidRPr="00916D7A">
          <w:rPr>
            <w:rStyle w:val="Hyperlink"/>
          </w:rPr>
          <w:t>2015 regulation on textiles imports from third countries not covered by bilateral arrangements</w:t>
        </w:r>
      </w:hyperlink>
      <w:r w:rsidR="00FA21D7">
        <w:rPr>
          <w:rStyle w:val="Hyperlink"/>
        </w:rPr>
        <w:t>.</w:t>
      </w:r>
    </w:p>
    <w:p w:rsidR="00FA21D7" w:rsidRPr="00916D7A" w:rsidRDefault="00FA21D7" w:rsidP="00FA21D7">
      <w:pPr>
        <w:rPr>
          <w:rFonts w:eastAsia="Calibri"/>
        </w:rPr>
      </w:pPr>
      <w:r>
        <w:t>It also</w:t>
      </w:r>
      <w:r w:rsidRPr="00916D7A">
        <w:t xml:space="preserve"> approved a regulation repealing </w:t>
      </w:r>
      <w:r w:rsidRPr="00916D7A">
        <w:rPr>
          <w:rFonts w:eastAsia="Calibri"/>
        </w:rPr>
        <w:t>regulation 3030/93 on common rules for imports of certain textile products from third countries.</w:t>
      </w:r>
    </w:p>
    <w:p w:rsidR="00FA21D7" w:rsidRPr="00FA21D7" w:rsidRDefault="00FA21D7" w:rsidP="005B446F">
      <w:pPr>
        <w:rPr>
          <w:rFonts w:eastAsia="Calibri"/>
        </w:rPr>
      </w:pPr>
      <w:r w:rsidRPr="00916D7A">
        <w:rPr>
          <w:rFonts w:eastAsia="Calibri"/>
        </w:rPr>
        <w:t>Following Russia</w:t>
      </w:r>
      <w:r w:rsidR="00993E90">
        <w:rPr>
          <w:rFonts w:eastAsia="Calibri"/>
        </w:rPr>
        <w:t>'s accession</w:t>
      </w:r>
      <w:r w:rsidRPr="00916D7A">
        <w:rPr>
          <w:rFonts w:eastAsia="Calibri"/>
        </w:rPr>
        <w:t xml:space="preserve"> to the WTO in 2012, Serbia </w:t>
      </w:r>
      <w:r w:rsidR="00993E90">
        <w:rPr>
          <w:rFonts w:eastAsia="Calibri"/>
        </w:rPr>
        <w:t>was</w:t>
      </w:r>
      <w:r w:rsidR="00993E90" w:rsidRPr="00916D7A">
        <w:rPr>
          <w:rFonts w:eastAsia="Calibri"/>
        </w:rPr>
        <w:t xml:space="preserve"> </w:t>
      </w:r>
      <w:r w:rsidRPr="00916D7A">
        <w:rPr>
          <w:rFonts w:eastAsia="Calibri"/>
        </w:rPr>
        <w:t>the last country with which the EU had a bilateral agreement on trade in textiles. After the signing of the EU's stabilisation and association agreement with Serbia in 2008, and the entry into force in 2010 of an interim agreement on trade and trade</w:t>
      </w:r>
      <w:r w:rsidRPr="00916D7A">
        <w:rPr>
          <w:rFonts w:eastAsia="Calibri"/>
        </w:rPr>
        <w:noBreakHyphen/>
        <w:t xml:space="preserve">related matters with Serbia, regulation 3030/93 no longer applied to imports from Serbia. The regulation is therefore </w:t>
      </w:r>
      <w:r w:rsidR="00993E90">
        <w:rPr>
          <w:rFonts w:eastAsia="Calibri"/>
        </w:rPr>
        <w:t>be</w:t>
      </w:r>
      <w:r w:rsidR="005B446F">
        <w:rPr>
          <w:rFonts w:eastAsia="Calibri"/>
        </w:rPr>
        <w:t>ing</w:t>
      </w:r>
      <w:r w:rsidR="00993E90">
        <w:rPr>
          <w:rFonts w:eastAsia="Calibri"/>
        </w:rPr>
        <w:t xml:space="preserve"> </w:t>
      </w:r>
      <w:r w:rsidRPr="00916D7A">
        <w:rPr>
          <w:rFonts w:eastAsia="Calibri"/>
        </w:rPr>
        <w:t>repealed for reasons of legal certainty.</w:t>
      </w:r>
    </w:p>
    <w:p w:rsidR="006B0A6B" w:rsidRPr="006B0A6B" w:rsidRDefault="006B0A6B" w:rsidP="00595D7C">
      <w:pPr>
        <w:pStyle w:val="Sub-itemApproved"/>
      </w:pPr>
      <w:bookmarkStart w:id="22" w:name="_Toc421109931"/>
      <w:r w:rsidRPr="006B0A6B">
        <w:t xml:space="preserve">Safeguard measures </w:t>
      </w:r>
      <w:r w:rsidR="00595D7C">
        <w:t>-</w:t>
      </w:r>
      <w:r w:rsidRPr="006B0A6B">
        <w:t xml:space="preserve"> Norway - Codification</w:t>
      </w:r>
      <w:bookmarkEnd w:id="22"/>
    </w:p>
    <w:p w:rsidR="006B0A6B" w:rsidRPr="00137138" w:rsidRDefault="006B0A6B" w:rsidP="00197177">
      <w:r w:rsidRPr="00137138">
        <w:t xml:space="preserve">The Council adopted a codified version of </w:t>
      </w:r>
      <w:r>
        <w:t>a</w:t>
      </w:r>
      <w:r w:rsidRPr="00137138">
        <w:t xml:space="preserve"> regulation</w:t>
      </w:r>
      <w:r>
        <w:t xml:space="preserve"> on </w:t>
      </w:r>
      <w:r w:rsidR="00197177">
        <w:t xml:space="preserve">the </w:t>
      </w:r>
      <w:r>
        <w:t xml:space="preserve">safeguard measures provided for in the </w:t>
      </w:r>
      <w:r w:rsidR="00005C6C">
        <w:t>a</w:t>
      </w:r>
      <w:r>
        <w:t>greement between the European Economic Community and Norway (</w:t>
      </w:r>
      <w:hyperlink r:id="rId40" w:tooltip="http://data.consilium.europa.eu/doc/document/PE-14-2015-INIT/en/pdf" w:history="1">
        <w:r>
          <w:rPr>
            <w:rStyle w:val="Hyperlink"/>
            <w:i/>
            <w:iCs/>
          </w:rPr>
          <w:t>PE-CONS 14/15</w:t>
        </w:r>
      </w:hyperlink>
      <w:r>
        <w:t>).</w:t>
      </w:r>
    </w:p>
    <w:p w:rsidR="006B0A6B" w:rsidRDefault="006B0A6B" w:rsidP="006B0A6B">
      <w:r w:rsidRPr="00137138">
        <w:t>The new regulation replaces the various acts incorporated into regulation</w:t>
      </w:r>
      <w:r>
        <w:t xml:space="preserve"> 1692/73</w:t>
      </w:r>
      <w:r w:rsidRPr="00137138">
        <w:t>, while fully preserving their content.</w:t>
      </w:r>
    </w:p>
    <w:p w:rsidR="006B0A6B" w:rsidRPr="00FA21D7" w:rsidRDefault="006D0891" w:rsidP="00FA21D7">
      <w:pPr>
        <w:pStyle w:val="ItemApproved"/>
      </w:pPr>
      <w:r>
        <w:br w:type="page"/>
      </w:r>
      <w:r w:rsidR="006B0A6B" w:rsidRPr="00FA21D7">
        <w:lastRenderedPageBreak/>
        <w:t>FOREIGN AFFAIRS</w:t>
      </w:r>
    </w:p>
    <w:p w:rsidR="006B0A6B" w:rsidRPr="00FA21D7" w:rsidRDefault="006B0A6B" w:rsidP="00FA21D7">
      <w:pPr>
        <w:pStyle w:val="Sub-itemApproved"/>
      </w:pPr>
      <w:bookmarkStart w:id="23" w:name="_Toc421109933"/>
      <w:r w:rsidRPr="00FA21D7">
        <w:t xml:space="preserve">Stabilisation and Association </w:t>
      </w:r>
      <w:r w:rsidR="006F71AF" w:rsidRPr="00FA21D7">
        <w:t>a</w:t>
      </w:r>
      <w:r w:rsidRPr="00FA21D7">
        <w:t>greements - Codification</w:t>
      </w:r>
      <w:bookmarkEnd w:id="23"/>
    </w:p>
    <w:p w:rsidR="006B0A6B" w:rsidRPr="006B0A6B" w:rsidRDefault="006B0A6B" w:rsidP="003C407E">
      <w:r>
        <w:t>The Council adopted</w:t>
      </w:r>
      <w:r w:rsidRPr="00137138">
        <w:t xml:space="preserve"> codified version</w:t>
      </w:r>
      <w:r>
        <w:t>s</w:t>
      </w:r>
      <w:r w:rsidRPr="00137138">
        <w:t xml:space="preserve"> of </w:t>
      </w:r>
      <w:r>
        <w:t xml:space="preserve">regulations related to Stabilisation and Association </w:t>
      </w:r>
      <w:r w:rsidR="003C407E">
        <w:t>a</w:t>
      </w:r>
      <w:r>
        <w:t>greements</w:t>
      </w:r>
      <w:r w:rsidR="00885D07">
        <w:t xml:space="preserve"> with </w:t>
      </w:r>
      <w:r w:rsidRPr="006B0A6B">
        <w:t>Albania (</w:t>
      </w:r>
      <w:hyperlink r:id="rId41" w:tooltip="http://data.consilium.europa.eu/doc/document/PE-16-2015-INIT/en/pdf" w:history="1">
        <w:r w:rsidR="006D0891">
          <w:rPr>
            <w:rStyle w:val="Hyperlink"/>
          </w:rPr>
          <w:t>PE-CONS 16/15</w:t>
        </w:r>
      </w:hyperlink>
      <w:r w:rsidRPr="006B0A6B">
        <w:t>)</w:t>
      </w:r>
      <w:r w:rsidR="00885D07">
        <w:t xml:space="preserve">, </w:t>
      </w:r>
      <w:r w:rsidRPr="006B0A6B">
        <w:t>Bosnia and Herzegovina (</w:t>
      </w:r>
      <w:hyperlink r:id="rId42" w:tooltip="http://data.consilium.europa.eu/doc/document/PE-17-2015-INIT/en/pdf" w:history="1">
        <w:r w:rsidR="006D0891">
          <w:rPr>
            <w:rStyle w:val="Hyperlink"/>
          </w:rPr>
          <w:t>PE-CONS 17/15</w:t>
        </w:r>
      </w:hyperlink>
      <w:r w:rsidRPr="006B0A6B">
        <w:t>)</w:t>
      </w:r>
      <w:r w:rsidR="00885D07">
        <w:t xml:space="preserve"> and </w:t>
      </w:r>
      <w:r w:rsidRPr="006B0A6B">
        <w:t xml:space="preserve">the </w:t>
      </w:r>
      <w:r w:rsidR="00197177">
        <w:t>f</w:t>
      </w:r>
      <w:r w:rsidRPr="006B0A6B">
        <w:t>ormer Yugoslav Republic of Macedonia (</w:t>
      </w:r>
      <w:hyperlink r:id="rId43" w:tooltip="http://data.consilium.europa.eu/doc/document/PE-18-2015-INIT/en/pdf" w:history="1">
        <w:r w:rsidR="006D0891">
          <w:rPr>
            <w:rStyle w:val="Hyperlink"/>
          </w:rPr>
          <w:t>PE-CONS 18/15</w:t>
        </w:r>
      </w:hyperlink>
      <w:r w:rsidRPr="006B0A6B">
        <w:t>)</w:t>
      </w:r>
      <w:r w:rsidR="00885D07">
        <w:t>.</w:t>
      </w:r>
    </w:p>
    <w:p w:rsidR="006B0A6B" w:rsidRPr="00877662" w:rsidRDefault="006B0A6B" w:rsidP="00197177">
      <w:r w:rsidRPr="00137138">
        <w:t>The new regulation</w:t>
      </w:r>
      <w:r>
        <w:t>s</w:t>
      </w:r>
      <w:r w:rsidRPr="00137138">
        <w:t xml:space="preserve"> replace the various acts incorporated in </w:t>
      </w:r>
      <w:r>
        <w:t xml:space="preserve">the </w:t>
      </w:r>
      <w:r w:rsidR="00197177">
        <w:t xml:space="preserve">original </w:t>
      </w:r>
      <w:r w:rsidRPr="00137138">
        <w:t>regulation</w:t>
      </w:r>
      <w:r>
        <w:t>s</w:t>
      </w:r>
      <w:r w:rsidRPr="00137138">
        <w:t>, while fully preserving their content.</w:t>
      </w:r>
    </w:p>
    <w:p w:rsidR="0053724C" w:rsidRPr="008F3E2E" w:rsidRDefault="0053724C" w:rsidP="0053724C">
      <w:pPr>
        <w:pStyle w:val="ItemApproved"/>
      </w:pPr>
      <w:r w:rsidRPr="008F3E2E">
        <w:t>JUSTICE AND HOME AFFAIRS</w:t>
      </w:r>
    </w:p>
    <w:p w:rsidR="0053724C" w:rsidRPr="008F3E2E" w:rsidRDefault="0053724C" w:rsidP="00631D9E">
      <w:pPr>
        <w:pStyle w:val="Sub-itemApproved"/>
      </w:pPr>
      <w:bookmarkStart w:id="24" w:name="_Toc421109935"/>
      <w:r w:rsidRPr="008F3E2E">
        <w:t>EU-US</w:t>
      </w:r>
      <w:r w:rsidR="00631D9E">
        <w:t>A</w:t>
      </w:r>
      <w:r w:rsidRPr="008F3E2E">
        <w:t xml:space="preserve"> Transatlantic cooperation</w:t>
      </w:r>
      <w:bookmarkEnd w:id="24"/>
    </w:p>
    <w:p w:rsidR="0053724C" w:rsidRPr="00D5059B" w:rsidRDefault="0053724C" w:rsidP="00197177">
      <w:r w:rsidRPr="00D5059B">
        <w:t xml:space="preserve">The Council noted the lines of approach of the </w:t>
      </w:r>
      <w:hyperlink r:id="rId44" w:history="1">
        <w:r w:rsidRPr="00D5059B">
          <w:rPr>
            <w:rStyle w:val="Hyperlink"/>
          </w:rPr>
          <w:t>draft renewed EU-US Statement Enhancing Transatlantic cooperation in the area of Justice, Freedom and Security</w:t>
        </w:r>
      </w:hyperlink>
      <w:r w:rsidRPr="00D5059B">
        <w:t xml:space="preserve"> and authorised the Presidency, with the Commission, to continue discussing </w:t>
      </w:r>
      <w:r w:rsidR="00197177" w:rsidRPr="00D5059B">
        <w:t xml:space="preserve">the text </w:t>
      </w:r>
      <w:r w:rsidRPr="00D5059B">
        <w:t>with the US on that basis, with a view to the adoption of the Statement at the next EU-US J</w:t>
      </w:r>
      <w:r w:rsidR="003C407E" w:rsidRPr="00D5059B">
        <w:t xml:space="preserve">ustice and </w:t>
      </w:r>
      <w:r w:rsidRPr="00D5059B">
        <w:t>H</w:t>
      </w:r>
      <w:r w:rsidR="003C407E" w:rsidRPr="00D5059B">
        <w:t xml:space="preserve">ome </w:t>
      </w:r>
      <w:r w:rsidRPr="00D5059B">
        <w:t>A</w:t>
      </w:r>
      <w:r w:rsidR="003C407E" w:rsidRPr="00D5059B">
        <w:t>ffairs</w:t>
      </w:r>
      <w:r w:rsidRPr="00D5059B">
        <w:t xml:space="preserve"> </w:t>
      </w:r>
      <w:r w:rsidR="003C407E" w:rsidRPr="00D5059B">
        <w:t>m</w:t>
      </w:r>
      <w:r w:rsidRPr="00D5059B">
        <w:t xml:space="preserve">inisterial meeting </w:t>
      </w:r>
      <w:r w:rsidR="003C407E" w:rsidRPr="00D5059B">
        <w:t xml:space="preserve">in </w:t>
      </w:r>
      <w:r w:rsidRPr="00D5059B">
        <w:t>Riga,</w:t>
      </w:r>
      <w:r w:rsidR="003C407E" w:rsidRPr="00D5059B">
        <w:t xml:space="preserve"> Latvia, on </w:t>
      </w:r>
      <w:r w:rsidRPr="00D5059B">
        <w:t>2-3 June 2015.</w:t>
      </w:r>
    </w:p>
    <w:p w:rsidR="00E20750" w:rsidRPr="008F3E2E" w:rsidRDefault="008F3E2E" w:rsidP="00E20750">
      <w:pPr>
        <w:pStyle w:val="ItemApproved"/>
      </w:pPr>
      <w:r>
        <w:br w:type="page"/>
      </w:r>
      <w:r w:rsidR="00E20750" w:rsidRPr="008F3E2E">
        <w:lastRenderedPageBreak/>
        <w:t>GENERAL AFFAIRS</w:t>
      </w:r>
    </w:p>
    <w:p w:rsidR="00E20750" w:rsidRPr="008F3E2E" w:rsidRDefault="00E20750" w:rsidP="00E20750">
      <w:pPr>
        <w:pStyle w:val="Sub-itemApproved"/>
      </w:pPr>
      <w:bookmarkStart w:id="25" w:name="_Toc421109937"/>
      <w:r w:rsidRPr="008F3E2E">
        <w:t>European citizens' initiative</w:t>
      </w:r>
      <w:bookmarkEnd w:id="25"/>
    </w:p>
    <w:p w:rsidR="00E20750" w:rsidRDefault="00E20750" w:rsidP="00E20750">
      <w:r w:rsidRPr="00AE4C6E">
        <w:t>The Council</w:t>
      </w:r>
      <w:r>
        <w:t xml:space="preserve"> decided not to object </w:t>
      </w:r>
      <w:r w:rsidR="009E5DE1">
        <w:t xml:space="preserve">to </w:t>
      </w:r>
      <w:r w:rsidRPr="00AE4C6E">
        <w:t xml:space="preserve">a </w:t>
      </w:r>
      <w:r>
        <w:t xml:space="preserve">Commission </w:t>
      </w:r>
      <w:r w:rsidRPr="00AE4C6E">
        <w:t>regulation</w:t>
      </w:r>
      <w:r>
        <w:t xml:space="preserve"> concerning certain technical amendments to regulation 211/2011 on the European citizens' initiative (</w:t>
      </w:r>
      <w:hyperlink r:id="rId45" w:tooltip="http://data.consilium.europa.eu/doc/document/ST-8120-2015-INIT/en/pdf" w:history="1">
        <w:r>
          <w:rPr>
            <w:rStyle w:val="Hyperlink"/>
          </w:rPr>
          <w:t>8120/15</w:t>
        </w:r>
      </w:hyperlink>
      <w:r>
        <w:t>).</w:t>
      </w:r>
    </w:p>
    <w:p w:rsidR="00E20750" w:rsidRPr="00877662" w:rsidRDefault="00E20750" w:rsidP="0057619A">
      <w:r w:rsidRPr="00AE4C6E">
        <w:t>The</w:t>
      </w:r>
      <w:r>
        <w:t xml:space="preserve"> </w:t>
      </w:r>
      <w:r w:rsidRPr="00AE4C6E">
        <w:t xml:space="preserve">regulation is a delegated act </w:t>
      </w:r>
      <w:r>
        <w:t>pursuant to ar</w:t>
      </w:r>
      <w:r w:rsidRPr="00AE4C6E">
        <w:t>ticle 290 of the Treaty on the Functioning of the EU. This means that now that the Council has given its consent, the act can enter into force unless Parliament objects.</w:t>
      </w:r>
    </w:p>
    <w:p w:rsidR="008F3E2E" w:rsidRPr="008F3E2E" w:rsidRDefault="00E20750" w:rsidP="008F3E2E">
      <w:pPr>
        <w:pStyle w:val="ItemApproved"/>
      </w:pPr>
      <w:r>
        <w:br w:type="page"/>
      </w:r>
      <w:r w:rsidR="008F3E2E" w:rsidRPr="008F3E2E">
        <w:lastRenderedPageBreak/>
        <w:t>TRANSPORT</w:t>
      </w:r>
    </w:p>
    <w:p w:rsidR="008F3E2E" w:rsidRPr="008F3E2E" w:rsidRDefault="008F3E2E" w:rsidP="008F3E2E">
      <w:pPr>
        <w:pStyle w:val="Sub-itemApproved"/>
      </w:pPr>
      <w:bookmarkStart w:id="26" w:name="_Toc421109939"/>
      <w:r w:rsidRPr="008F3E2E">
        <w:t>EU-wide real-time traffic information services</w:t>
      </w:r>
      <w:bookmarkEnd w:id="26"/>
    </w:p>
    <w:p w:rsidR="008F3E2E" w:rsidRDefault="008F3E2E" w:rsidP="006E6EED">
      <w:r>
        <w:t>The Council decided not to object to a corrigendum to the Commission delegated regulation on EU-wide real-time traffic information services. The Commission regulation supplements directive 2010/40/EU, which is aimed at speeding up</w:t>
      </w:r>
      <w:r w:rsidRPr="00B816CB">
        <w:t xml:space="preserve"> the deployment of </w:t>
      </w:r>
      <w:r>
        <w:t>i</w:t>
      </w:r>
      <w:r w:rsidRPr="00E253E6">
        <w:t xml:space="preserve">ntelligent </w:t>
      </w:r>
      <w:r>
        <w:t>t</w:t>
      </w:r>
      <w:r w:rsidRPr="00E253E6">
        <w:t xml:space="preserve">ransport </w:t>
      </w:r>
      <w:r>
        <w:t>s</w:t>
      </w:r>
      <w:r w:rsidRPr="00E253E6">
        <w:t xml:space="preserve">ystems </w:t>
      </w:r>
      <w:r w:rsidRPr="00B816CB">
        <w:t>across Europe</w:t>
      </w:r>
      <w:r>
        <w:t xml:space="preserve">. The corrigendum concerns only the inappropriate use of the word </w:t>
      </w:r>
      <w:r w:rsidR="003C562E">
        <w:t>'</w:t>
      </w:r>
      <w:r>
        <w:t>namely</w:t>
      </w:r>
      <w:r w:rsidR="003C562E">
        <w:t>'</w:t>
      </w:r>
      <w:r>
        <w:t xml:space="preserve"> </w:t>
      </w:r>
      <w:r w:rsidR="006E6EED">
        <w:t xml:space="preserve">with regard to </w:t>
      </w:r>
      <w:r>
        <w:t>some categories of data. As the change affects several language versions of the text, a new period f</w:t>
      </w:r>
      <w:r w:rsidR="006E6EED">
        <w:t>or</w:t>
      </w:r>
      <w:r>
        <w:t xml:space="preserve"> reactions from the Council and Parliament was launched by the Commission.</w:t>
      </w:r>
    </w:p>
    <w:p w:rsidR="008F3E2E" w:rsidRDefault="008F3E2E" w:rsidP="0057619A">
      <w:r>
        <w:t>The regulation as corrected is a delegated act pursuant to article 290 of the Treaty on the Functioning of the EU. This means that now that the Council has given its consent, the act can enter into force, unless Parliament objects.</w:t>
      </w:r>
    </w:p>
    <w:p w:rsidR="008F3E2E" w:rsidRDefault="00945035" w:rsidP="008F3E2E">
      <w:hyperlink r:id="rId46" w:history="1">
        <w:r w:rsidR="008F3E2E" w:rsidRPr="008F3E2E">
          <w:rPr>
            <w:rStyle w:val="Hyperlink"/>
          </w:rPr>
          <w:t>Corrigendum to Commission regulation on real-time traffic information services</w:t>
        </w:r>
      </w:hyperlink>
    </w:p>
    <w:p w:rsidR="008F3E2E" w:rsidRDefault="00945035" w:rsidP="008F3E2E">
      <w:hyperlink r:id="rId47" w:history="1">
        <w:r w:rsidR="008F3E2E" w:rsidRPr="008F3E2E">
          <w:rPr>
            <w:rStyle w:val="Hyperlink"/>
          </w:rPr>
          <w:t>Commission regulation on real-time traffic information services</w:t>
        </w:r>
      </w:hyperlink>
    </w:p>
    <w:p w:rsidR="008F3E2E" w:rsidRDefault="00945035" w:rsidP="008F3E2E">
      <w:hyperlink r:id="rId48" w:history="1">
        <w:r w:rsidR="008F3E2E" w:rsidRPr="008F3E2E">
          <w:rPr>
            <w:rStyle w:val="Hyperlink"/>
          </w:rPr>
          <w:t>Commission regulation on real-time traffic information services - data categories</w:t>
        </w:r>
      </w:hyperlink>
    </w:p>
    <w:p w:rsidR="008F3E2E" w:rsidRPr="008F3E2E" w:rsidRDefault="000367E6" w:rsidP="008F3E2E">
      <w:pPr>
        <w:pStyle w:val="ItemApproved"/>
      </w:pPr>
      <w:r>
        <w:br w:type="page"/>
      </w:r>
      <w:bookmarkStart w:id="27" w:name="ControlPages"/>
      <w:bookmarkEnd w:id="27"/>
      <w:r w:rsidR="008F3E2E" w:rsidRPr="008F3E2E">
        <w:lastRenderedPageBreak/>
        <w:t>AGRICULTURE</w:t>
      </w:r>
    </w:p>
    <w:p w:rsidR="008F3E2E" w:rsidRPr="008F3E2E" w:rsidRDefault="008F3E2E" w:rsidP="008F3E2E">
      <w:pPr>
        <w:pStyle w:val="Sub-itemApproved"/>
      </w:pPr>
      <w:bookmarkStart w:id="28" w:name="_Toc421109941"/>
      <w:r w:rsidRPr="008F3E2E">
        <w:t>Pesticides - Maximum residue levels</w:t>
      </w:r>
      <w:bookmarkEnd w:id="28"/>
    </w:p>
    <w:p w:rsidR="008F3E2E" w:rsidRDefault="008F3E2E" w:rsidP="008F3E2E">
      <w:r w:rsidRPr="003F24FA">
        <w:t>The Council decided not to oppose the adoption of</w:t>
      </w:r>
      <w:r>
        <w:t xml:space="preserve"> a Commission regulation </w:t>
      </w:r>
      <w:r w:rsidRPr="00E903A8">
        <w:t xml:space="preserve">amending </w:t>
      </w:r>
      <w:r>
        <w:t>a</w:t>
      </w:r>
      <w:r w:rsidRPr="00E903A8">
        <w:t>nnexes</w:t>
      </w:r>
      <w:r>
        <w:t> </w:t>
      </w:r>
      <w:r w:rsidRPr="00E903A8">
        <w:t xml:space="preserve">II and III to </w:t>
      </w:r>
      <w:r>
        <w:t>r</w:t>
      </w:r>
      <w:r w:rsidRPr="00E903A8">
        <w:t>egulation 396/2005 as regards maximum residue levels</w:t>
      </w:r>
      <w:r>
        <w:t xml:space="preserve"> (MRLs)</w:t>
      </w:r>
      <w:r w:rsidRPr="00E903A8">
        <w:t xml:space="preserve"> for difenoconazole, fluopicolide, fluopyram, isopyrazam and pendimethalin in or on certain products</w:t>
      </w:r>
      <w:r>
        <w:t xml:space="preserve"> (</w:t>
      </w:r>
      <w:hyperlink r:id="rId49" w:tooltip="http://data.consilium.europa.eu/doc/document/ST-8296-2015-INIT/en/pdf" w:history="1">
        <w:r>
          <w:rPr>
            <w:rStyle w:val="Hyperlink"/>
          </w:rPr>
          <w:t>8296/15</w:t>
        </w:r>
      </w:hyperlink>
      <w:r>
        <w:t>).</w:t>
      </w:r>
    </w:p>
    <w:p w:rsidR="008F3E2E" w:rsidRDefault="00942842" w:rsidP="00303247">
      <w:r>
        <w:t xml:space="preserve">It also </w:t>
      </w:r>
      <w:r w:rsidR="008F3E2E" w:rsidRPr="003F24FA">
        <w:t xml:space="preserve">decided not to oppose </w:t>
      </w:r>
      <w:r w:rsidR="008F3E2E">
        <w:t>amending a</w:t>
      </w:r>
      <w:r w:rsidR="008F3E2E" w:rsidRPr="00FC064F">
        <w:t xml:space="preserve">nnexes II, III and V to </w:t>
      </w:r>
      <w:r w:rsidR="008F3E2E">
        <w:t>r</w:t>
      </w:r>
      <w:r w:rsidR="008F3E2E" w:rsidRPr="00FC064F">
        <w:t xml:space="preserve">egulation 396/2005 as regards </w:t>
      </w:r>
      <w:r w:rsidR="00303247">
        <w:t>MRLs</w:t>
      </w:r>
      <w:r w:rsidR="008F3E2E" w:rsidRPr="00FC064F">
        <w:t xml:space="preserve"> for azoxystrobin, dimoxystrobin, fluroxypyr, methoxyfenozide, metrafenone, oxadiargyl and tribenuron in or on cert</w:t>
      </w:r>
      <w:r w:rsidR="008F3E2E">
        <w:t>ain products (</w:t>
      </w:r>
      <w:hyperlink r:id="rId50" w:tooltip="http://data.consilium.europa.eu/doc/document/ST-8160-2015-INIT/en/pdf" w:history="1">
        <w:r w:rsidR="008F3E2E">
          <w:rPr>
            <w:rStyle w:val="Hyperlink"/>
          </w:rPr>
          <w:t>8160/15</w:t>
        </w:r>
      </w:hyperlink>
      <w:r>
        <w:t>).</w:t>
      </w:r>
    </w:p>
    <w:p w:rsidR="008F3E2E" w:rsidRDefault="008F3E2E" w:rsidP="006E6EED">
      <w:r w:rsidRPr="00EC0845">
        <w:t xml:space="preserve">Regulation 396/2005 </w:t>
      </w:r>
      <w:r>
        <w:t>establishes the maximum pesticide residue</w:t>
      </w:r>
      <w:r w:rsidR="006E6EED">
        <w:t xml:space="preserve"> levels</w:t>
      </w:r>
      <w:r>
        <w:t xml:space="preserve"> </w:t>
      </w:r>
      <w:r w:rsidR="006E6EED">
        <w:t>(</w:t>
      </w:r>
      <w:r w:rsidRPr="008130B4">
        <w:t>MRLs</w:t>
      </w:r>
      <w:r w:rsidR="006E6EED">
        <w:t>)</w:t>
      </w:r>
      <w:r w:rsidRPr="008130B4">
        <w:t xml:space="preserve"> </w:t>
      </w:r>
      <w:r>
        <w:t xml:space="preserve">permitted in products of animal or vegetable origin intended for human or animal consumption. The MRLs include, on the one hand, levels which are specific to particular foodstuffs intended for human or animal consumption and, on the other, a general limit which applies where no specific level has been set. MRL applications are communicated to the European Food Safety Authority (EFSA) which issues a scientific opinion on each intended new MRL. Based on EFSA's opinion, the Commission proposes a regulation to establish a new MRL or to amend or remove an existing MRL and modifying the annexes </w:t>
      </w:r>
      <w:r w:rsidR="006E6EED">
        <w:t xml:space="preserve">to </w:t>
      </w:r>
      <w:r>
        <w:t>regulation 396/2005 accordingly.</w:t>
      </w:r>
    </w:p>
    <w:p w:rsidR="008F3E2E" w:rsidRPr="00A11134" w:rsidRDefault="008F3E2E" w:rsidP="00711E93">
      <w:r>
        <w:t>Th</w:t>
      </w:r>
      <w:r w:rsidR="00942842">
        <w:t xml:space="preserve">ese </w:t>
      </w:r>
      <w:r w:rsidRPr="003F24FA">
        <w:t>Commission regulation</w:t>
      </w:r>
      <w:r w:rsidR="00942842">
        <w:t>s</w:t>
      </w:r>
      <w:r w:rsidRPr="003F24FA">
        <w:t xml:space="preserve"> </w:t>
      </w:r>
      <w:r w:rsidR="00942842">
        <w:t xml:space="preserve">are </w:t>
      </w:r>
      <w:r w:rsidRPr="003F24FA">
        <w:t xml:space="preserve">subject to the regulatory procedure with scrutiny. This means that now that the Council has given its consent, the Commission </w:t>
      </w:r>
      <w:r w:rsidR="006E6EED">
        <w:t>can</w:t>
      </w:r>
      <w:r w:rsidR="006E6EED" w:rsidRPr="003F24FA">
        <w:t xml:space="preserve"> </w:t>
      </w:r>
      <w:r w:rsidRPr="003F24FA">
        <w:t>adopt the</w:t>
      </w:r>
      <w:r w:rsidR="00942842">
        <w:t>m</w:t>
      </w:r>
      <w:r w:rsidR="0057619A">
        <w:t>,</w:t>
      </w:r>
      <w:r w:rsidRPr="003F24FA">
        <w:t xml:space="preserve"> unless Parliament objects.</w:t>
      </w:r>
    </w:p>
    <w:p w:rsidR="00895676" w:rsidRPr="004A25A1" w:rsidRDefault="00895676" w:rsidP="004A25A1">
      <w:pPr>
        <w:pStyle w:val="FinalLine"/>
      </w:pPr>
      <w:bookmarkStart w:id="29" w:name="_GoBack"/>
      <w:bookmarkEnd w:id="29"/>
    </w:p>
    <w:sectPr w:rsidR="00895676" w:rsidRPr="004A25A1" w:rsidSect="00945035">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E90" w:rsidRDefault="00993E90">
      <w:pPr>
        <w:spacing w:before="0" w:after="0"/>
      </w:pPr>
      <w:r>
        <w:separator/>
      </w:r>
    </w:p>
  </w:endnote>
  <w:endnote w:type="continuationSeparator" w:id="0">
    <w:p w:rsidR="00993E90" w:rsidRDefault="00993E9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035" w:rsidRPr="00945035" w:rsidRDefault="00945035" w:rsidP="009450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945035" w:rsidRPr="007410E8" w:rsidTr="00945035">
      <w:trPr>
        <w:jc w:val="center"/>
      </w:trPr>
      <w:tc>
        <w:tcPr>
          <w:tcW w:w="2604" w:type="pct"/>
          <w:shd w:val="clear" w:color="auto" w:fill="auto"/>
        </w:tcPr>
        <w:p w:rsidR="00945035" w:rsidRPr="007410E8" w:rsidRDefault="00945035" w:rsidP="0035025C">
          <w:pPr>
            <w:pStyle w:val="FooterText"/>
            <w:rPr>
              <w:sz w:val="16"/>
              <w:szCs w:val="16"/>
            </w:rPr>
          </w:pPr>
          <w:bookmarkStart w:id="1" w:name="FOOTER_PR_STANDARD"/>
        </w:p>
      </w:tc>
      <w:tc>
        <w:tcPr>
          <w:tcW w:w="1319" w:type="pct"/>
          <w:shd w:val="clear" w:color="auto" w:fill="auto"/>
        </w:tcPr>
        <w:p w:rsidR="00945035" w:rsidRPr="007410E8" w:rsidRDefault="00945035" w:rsidP="0035025C">
          <w:pPr>
            <w:pStyle w:val="FooterText"/>
            <w:rPr>
              <w:sz w:val="16"/>
              <w:szCs w:val="16"/>
            </w:rPr>
          </w:pPr>
        </w:p>
      </w:tc>
      <w:tc>
        <w:tcPr>
          <w:tcW w:w="1077" w:type="pct"/>
          <w:shd w:val="clear" w:color="auto" w:fill="auto"/>
        </w:tcPr>
        <w:p w:rsidR="00945035" w:rsidRPr="007410E8" w:rsidRDefault="00945035" w:rsidP="0035025C">
          <w:pPr>
            <w:pStyle w:val="FooterText"/>
            <w:jc w:val="right"/>
            <w:rPr>
              <w:sz w:val="16"/>
              <w:szCs w:val="16"/>
            </w:rPr>
          </w:pPr>
        </w:p>
      </w:tc>
    </w:tr>
    <w:tr w:rsidR="00945035" w:rsidRPr="007410E8" w:rsidTr="00945035">
      <w:trPr>
        <w:jc w:val="center"/>
      </w:trPr>
      <w:tc>
        <w:tcPr>
          <w:tcW w:w="2604" w:type="pct"/>
          <w:shd w:val="clear" w:color="auto" w:fill="auto"/>
        </w:tcPr>
        <w:p w:rsidR="00945035" w:rsidRPr="007410E8" w:rsidRDefault="00945035" w:rsidP="0035025C">
          <w:pPr>
            <w:pStyle w:val="FooterText"/>
            <w:rPr>
              <w:sz w:val="16"/>
            </w:rPr>
          </w:pPr>
          <w:r>
            <w:t>9385/15</w:t>
          </w:r>
          <w:r w:rsidRPr="002511D8">
            <w:t xml:space="preserve"> </w:t>
          </w:r>
        </w:p>
      </w:tc>
      <w:tc>
        <w:tcPr>
          <w:tcW w:w="1319" w:type="pct"/>
          <w:shd w:val="clear" w:color="auto" w:fill="auto"/>
        </w:tcPr>
        <w:p w:rsidR="00945035" w:rsidRPr="007410E8" w:rsidRDefault="00945035" w:rsidP="0035025C">
          <w:pPr>
            <w:pStyle w:val="FooterText"/>
            <w:rPr>
              <w:sz w:val="16"/>
            </w:rPr>
          </w:pPr>
        </w:p>
      </w:tc>
      <w:tc>
        <w:tcPr>
          <w:tcW w:w="1077" w:type="pct"/>
          <w:shd w:val="clear" w:color="auto" w:fill="auto"/>
        </w:tcPr>
        <w:p w:rsidR="00945035" w:rsidRPr="007410E8" w:rsidRDefault="00945035" w:rsidP="0035025C">
          <w:pPr>
            <w:pStyle w:val="FooterText"/>
            <w:jc w:val="right"/>
            <w:rPr>
              <w:sz w:val="16"/>
            </w:rPr>
          </w:pPr>
          <w:r>
            <w:fldChar w:fldCharType="begin"/>
          </w:r>
          <w:r>
            <w:instrText xml:space="preserve"> PAGE  \* MERGEFORMAT </w:instrText>
          </w:r>
          <w:r>
            <w:fldChar w:fldCharType="separate"/>
          </w:r>
          <w:r>
            <w:rPr>
              <w:noProof/>
            </w:rPr>
            <w:t>19</w:t>
          </w:r>
          <w:r>
            <w:fldChar w:fldCharType="end"/>
          </w:r>
        </w:p>
      </w:tc>
    </w:tr>
    <w:tr w:rsidR="00945035" w:rsidRPr="007410E8" w:rsidTr="00945035">
      <w:trPr>
        <w:jc w:val="center"/>
      </w:trPr>
      <w:tc>
        <w:tcPr>
          <w:tcW w:w="2604" w:type="pct"/>
          <w:shd w:val="clear" w:color="auto" w:fill="auto"/>
        </w:tcPr>
        <w:p w:rsidR="00945035" w:rsidRPr="007410E8" w:rsidRDefault="00945035" w:rsidP="0035025C">
          <w:pPr>
            <w:pStyle w:val="FooterText"/>
            <w:rPr>
              <w:sz w:val="16"/>
            </w:rPr>
          </w:pPr>
        </w:p>
      </w:tc>
      <w:tc>
        <w:tcPr>
          <w:tcW w:w="1319" w:type="pct"/>
          <w:shd w:val="clear" w:color="auto" w:fill="auto"/>
        </w:tcPr>
        <w:p w:rsidR="00945035" w:rsidRPr="007410E8" w:rsidRDefault="00945035" w:rsidP="0035025C">
          <w:pPr>
            <w:pStyle w:val="FooterText"/>
            <w:rPr>
              <w:sz w:val="16"/>
            </w:rPr>
          </w:pPr>
        </w:p>
      </w:tc>
      <w:tc>
        <w:tcPr>
          <w:tcW w:w="1077" w:type="pct"/>
          <w:shd w:val="clear" w:color="auto" w:fill="auto"/>
        </w:tcPr>
        <w:p w:rsidR="00945035" w:rsidRPr="007410E8" w:rsidRDefault="00945035" w:rsidP="0035025C">
          <w:pPr>
            <w:pStyle w:val="FooterText"/>
            <w:jc w:val="right"/>
            <w:rPr>
              <w:sz w:val="16"/>
            </w:rPr>
          </w:pPr>
          <w:r>
            <w:rPr>
              <w:b/>
              <w:position w:val="-4"/>
              <w:sz w:val="36"/>
            </w:rPr>
            <w:t>EN</w:t>
          </w:r>
        </w:p>
      </w:tc>
    </w:tr>
    <w:bookmarkEnd w:id="1"/>
  </w:tbl>
  <w:p w:rsidR="00993E90" w:rsidRPr="00945035" w:rsidRDefault="00993E90" w:rsidP="00945035">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945035" w:rsidRPr="009C2FB3" w:rsidTr="00945035">
      <w:trPr>
        <w:jc w:val="center"/>
      </w:trPr>
      <w:tc>
        <w:tcPr>
          <w:tcW w:w="569" w:type="pct"/>
          <w:shd w:val="clear" w:color="auto" w:fill="auto"/>
        </w:tcPr>
        <w:p w:rsidR="00945035" w:rsidRPr="009C2FB3" w:rsidRDefault="00945035" w:rsidP="0035025C">
          <w:pPr>
            <w:pStyle w:val="FooterText"/>
          </w:pPr>
          <w:bookmarkStart w:id="2" w:name="FOOTER_PR_COVERPAGE"/>
        </w:p>
      </w:tc>
      <w:tc>
        <w:tcPr>
          <w:tcW w:w="3760" w:type="pct"/>
          <w:gridSpan w:val="3"/>
          <w:shd w:val="clear" w:color="auto" w:fill="auto"/>
          <w:noWrap/>
        </w:tcPr>
        <w:p w:rsidR="00945035" w:rsidRPr="00F37CD6" w:rsidRDefault="00945035"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w:t>
          </w:r>
        </w:p>
      </w:tc>
      <w:tc>
        <w:tcPr>
          <w:tcW w:w="670" w:type="pct"/>
          <w:shd w:val="clear" w:color="auto" w:fill="auto"/>
        </w:tcPr>
        <w:p w:rsidR="00945035" w:rsidRPr="009C2FB3" w:rsidRDefault="00945035" w:rsidP="0035025C">
          <w:pPr>
            <w:pStyle w:val="FooterText"/>
          </w:pPr>
        </w:p>
      </w:tc>
    </w:tr>
    <w:tr w:rsidR="00945035" w:rsidRPr="00945035" w:rsidTr="00945035">
      <w:trPr>
        <w:jc w:val="center"/>
      </w:trPr>
      <w:tc>
        <w:tcPr>
          <w:tcW w:w="5000" w:type="pct"/>
          <w:gridSpan w:val="5"/>
          <w:shd w:val="clear" w:color="auto" w:fill="auto"/>
        </w:tcPr>
        <w:p w:rsidR="00945035" w:rsidRPr="00945035" w:rsidRDefault="00945035" w:rsidP="0035025C">
          <w:pPr>
            <w:pStyle w:val="FooterAddressText"/>
            <w:rPr>
              <w:lang w:val="fr-BE"/>
            </w:rPr>
          </w:pPr>
        </w:p>
        <w:p w:rsidR="00945035" w:rsidRPr="00945035" w:rsidRDefault="00945035" w:rsidP="0035025C">
          <w:pPr>
            <w:pStyle w:val="FooterAddressText"/>
            <w:rPr>
              <w:lang w:val="fr-BE"/>
            </w:rPr>
          </w:pPr>
          <w:r w:rsidRPr="00945035">
            <w:rPr>
              <w:lang w:val="fr-BE"/>
            </w:rPr>
            <w:t>Rue de la Loi 175  B – 1048 BRUSSELS  Tel.: +32 (0)2 281 6319  Fax: +32 (0)2 281 8026</w:t>
          </w:r>
        </w:p>
      </w:tc>
    </w:tr>
    <w:tr w:rsidR="00945035" w:rsidRPr="00945035" w:rsidTr="00945035">
      <w:trPr>
        <w:jc w:val="center"/>
      </w:trPr>
      <w:tc>
        <w:tcPr>
          <w:tcW w:w="5000" w:type="pct"/>
          <w:gridSpan w:val="5"/>
          <w:shd w:val="clear" w:color="auto" w:fill="auto"/>
        </w:tcPr>
        <w:p w:rsidR="00945035" w:rsidRPr="00945035" w:rsidRDefault="00945035" w:rsidP="0035025C">
          <w:pPr>
            <w:pStyle w:val="FooterText"/>
            <w:jc w:val="center"/>
            <w:rPr>
              <w:sz w:val="20"/>
              <w:szCs w:val="20"/>
              <w:lang w:val="fr-BE"/>
            </w:rPr>
          </w:pPr>
          <w:hyperlink r:id="rId1" w:history="1">
            <w:r w:rsidRPr="00945035">
              <w:rPr>
                <w:rStyle w:val="Hyperlink"/>
                <w:sz w:val="20"/>
                <w:lang w:val="fr-BE"/>
              </w:rPr>
              <w:t>press.office@consilium.europa.eu</w:t>
            </w:r>
          </w:hyperlink>
          <w:r w:rsidRPr="00945035">
            <w:rPr>
              <w:sz w:val="20"/>
              <w:szCs w:val="20"/>
              <w:lang w:val="fr-BE"/>
            </w:rPr>
            <w:t xml:space="preserve">  </w:t>
          </w:r>
          <w:hyperlink r:id="rId2" w:history="1">
            <w:r w:rsidRPr="00945035">
              <w:rPr>
                <w:rStyle w:val="Hyperlink"/>
                <w:sz w:val="20"/>
                <w:lang w:val="fr-BE"/>
              </w:rPr>
              <w:t>http://www.consilium.europa.eu/press</w:t>
            </w:r>
          </w:hyperlink>
        </w:p>
      </w:tc>
    </w:tr>
    <w:tr w:rsidR="00945035" w:rsidRPr="007410E8" w:rsidTr="00945035">
      <w:trPr>
        <w:jc w:val="center"/>
      </w:trPr>
      <w:tc>
        <w:tcPr>
          <w:tcW w:w="2604" w:type="pct"/>
          <w:gridSpan w:val="2"/>
          <w:shd w:val="clear" w:color="auto" w:fill="auto"/>
        </w:tcPr>
        <w:p w:rsidR="00945035" w:rsidRPr="007410E8" w:rsidRDefault="00945035" w:rsidP="0035025C">
          <w:pPr>
            <w:pStyle w:val="FooterText"/>
            <w:spacing w:before="60"/>
            <w:rPr>
              <w:sz w:val="16"/>
            </w:rPr>
          </w:pPr>
          <w:r>
            <w:t>9385/15</w:t>
          </w:r>
          <w:r w:rsidRPr="002511D8">
            <w:t xml:space="preserve"> </w:t>
          </w:r>
        </w:p>
      </w:tc>
      <w:tc>
        <w:tcPr>
          <w:tcW w:w="1319" w:type="pct"/>
          <w:shd w:val="clear" w:color="auto" w:fill="auto"/>
        </w:tcPr>
        <w:p w:rsidR="00945035" w:rsidRPr="007410E8" w:rsidRDefault="00945035" w:rsidP="0035025C">
          <w:pPr>
            <w:pStyle w:val="FooterText"/>
            <w:spacing w:before="120"/>
            <w:rPr>
              <w:sz w:val="16"/>
            </w:rPr>
          </w:pPr>
        </w:p>
      </w:tc>
      <w:tc>
        <w:tcPr>
          <w:tcW w:w="1077" w:type="pct"/>
          <w:gridSpan w:val="2"/>
          <w:shd w:val="clear" w:color="auto" w:fill="auto"/>
        </w:tcPr>
        <w:p w:rsidR="00945035" w:rsidRPr="007410E8" w:rsidRDefault="00945035" w:rsidP="0035025C">
          <w:pPr>
            <w:pStyle w:val="FooterText"/>
            <w:spacing w:before="60"/>
            <w:jc w:val="right"/>
            <w:rPr>
              <w:sz w:val="16"/>
            </w:rPr>
          </w:pPr>
          <w:r>
            <w:fldChar w:fldCharType="begin"/>
          </w:r>
          <w:r>
            <w:instrText xml:space="preserve"> PAGE  \* MERGEFORMAT </w:instrText>
          </w:r>
          <w:r>
            <w:fldChar w:fldCharType="separate"/>
          </w:r>
          <w:r>
            <w:rPr>
              <w:noProof/>
            </w:rPr>
            <w:t>1</w:t>
          </w:r>
          <w:r>
            <w:fldChar w:fldCharType="end"/>
          </w:r>
        </w:p>
      </w:tc>
    </w:tr>
    <w:tr w:rsidR="00945035" w:rsidRPr="007410E8" w:rsidTr="00945035">
      <w:trPr>
        <w:jc w:val="center"/>
      </w:trPr>
      <w:tc>
        <w:tcPr>
          <w:tcW w:w="2604" w:type="pct"/>
          <w:gridSpan w:val="2"/>
          <w:shd w:val="clear" w:color="auto" w:fill="auto"/>
        </w:tcPr>
        <w:p w:rsidR="00945035" w:rsidRPr="007410E8" w:rsidRDefault="00945035" w:rsidP="0035025C">
          <w:pPr>
            <w:pStyle w:val="FooterText"/>
            <w:rPr>
              <w:sz w:val="16"/>
            </w:rPr>
          </w:pPr>
        </w:p>
      </w:tc>
      <w:tc>
        <w:tcPr>
          <w:tcW w:w="1319" w:type="pct"/>
          <w:shd w:val="clear" w:color="auto" w:fill="auto"/>
        </w:tcPr>
        <w:p w:rsidR="00945035" w:rsidRPr="007410E8" w:rsidRDefault="00945035" w:rsidP="0035025C">
          <w:pPr>
            <w:pStyle w:val="FooterText"/>
            <w:rPr>
              <w:sz w:val="16"/>
            </w:rPr>
          </w:pPr>
        </w:p>
      </w:tc>
      <w:tc>
        <w:tcPr>
          <w:tcW w:w="1077" w:type="pct"/>
          <w:gridSpan w:val="2"/>
          <w:shd w:val="clear" w:color="auto" w:fill="auto"/>
        </w:tcPr>
        <w:p w:rsidR="00945035" w:rsidRPr="007410E8" w:rsidRDefault="00945035" w:rsidP="0035025C">
          <w:pPr>
            <w:pStyle w:val="FooterText"/>
            <w:jc w:val="right"/>
            <w:rPr>
              <w:sz w:val="16"/>
            </w:rPr>
          </w:pPr>
          <w:r>
            <w:rPr>
              <w:b/>
              <w:position w:val="-4"/>
              <w:sz w:val="36"/>
            </w:rPr>
            <w:t>EN</w:t>
          </w:r>
        </w:p>
      </w:tc>
    </w:tr>
    <w:bookmarkEnd w:id="2"/>
  </w:tbl>
  <w:p w:rsidR="00993E90" w:rsidRPr="00945035" w:rsidRDefault="00993E90" w:rsidP="00945035">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945035" w:rsidRPr="007410E8" w:rsidTr="00945035">
      <w:trPr>
        <w:jc w:val="center"/>
      </w:trPr>
      <w:tc>
        <w:tcPr>
          <w:tcW w:w="5000" w:type="pct"/>
          <w:gridSpan w:val="3"/>
          <w:shd w:val="clear" w:color="auto" w:fill="auto"/>
        </w:tcPr>
        <w:p w:rsidR="00945035" w:rsidRPr="007410E8" w:rsidRDefault="00945035" w:rsidP="0035025C">
          <w:pPr>
            <w:pStyle w:val="FooterText"/>
            <w:tabs>
              <w:tab w:val="left" w:pos="285"/>
              <w:tab w:val="left" w:pos="585"/>
            </w:tabs>
            <w:ind w:left="540" w:hanging="540"/>
            <w:rPr>
              <w:sz w:val="21"/>
              <w:szCs w:val="21"/>
            </w:rPr>
          </w:pPr>
          <w:bookmarkStart w:id="4"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Where declarations, conclusions or resolutions have been formally adopted by the Council, this is indicated in the heading for the item concerned and the text is placed between quotation marks.</w:t>
          </w:r>
        </w:p>
        <w:p w:rsidR="00945035" w:rsidRPr="007410E8" w:rsidRDefault="00945035"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Documents for which references are given in the text are available on the Council's Internet site (http://www.consilium.europa.eu).</w:t>
          </w:r>
        </w:p>
        <w:p w:rsidR="00945035" w:rsidRPr="007410E8" w:rsidRDefault="00945035"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Acts adopted with statements for the Council minutes which may be released to the public are indicated by an asterisk; these statements are available on the Council's Internet site or may be obtained from the Press Office.</w:t>
          </w:r>
        </w:p>
        <w:p w:rsidR="00945035" w:rsidRPr="007410E8" w:rsidRDefault="00945035" w:rsidP="0035025C">
          <w:pPr>
            <w:pStyle w:val="FooterText"/>
            <w:tabs>
              <w:tab w:val="left" w:pos="285"/>
              <w:tab w:val="left" w:pos="585"/>
            </w:tabs>
            <w:rPr>
              <w:sz w:val="21"/>
              <w:szCs w:val="21"/>
            </w:rPr>
          </w:pPr>
        </w:p>
      </w:tc>
    </w:tr>
    <w:tr w:rsidR="00945035" w:rsidRPr="007410E8" w:rsidTr="00945035">
      <w:trPr>
        <w:jc w:val="center"/>
      </w:trPr>
      <w:tc>
        <w:tcPr>
          <w:tcW w:w="2604" w:type="pct"/>
          <w:shd w:val="clear" w:color="auto" w:fill="auto"/>
        </w:tcPr>
        <w:p w:rsidR="00945035" w:rsidRPr="007410E8" w:rsidRDefault="00945035" w:rsidP="0035025C">
          <w:pPr>
            <w:pStyle w:val="FooterText"/>
            <w:rPr>
              <w:sz w:val="16"/>
            </w:rPr>
          </w:pPr>
          <w:r>
            <w:t>9385/15</w:t>
          </w:r>
          <w:r w:rsidRPr="002511D8">
            <w:t xml:space="preserve"> </w:t>
          </w:r>
        </w:p>
      </w:tc>
      <w:tc>
        <w:tcPr>
          <w:tcW w:w="1319" w:type="pct"/>
          <w:shd w:val="clear" w:color="auto" w:fill="auto"/>
        </w:tcPr>
        <w:p w:rsidR="00945035" w:rsidRPr="007410E8" w:rsidRDefault="00945035" w:rsidP="0035025C">
          <w:pPr>
            <w:pStyle w:val="FooterText"/>
            <w:rPr>
              <w:sz w:val="16"/>
            </w:rPr>
          </w:pPr>
        </w:p>
      </w:tc>
      <w:tc>
        <w:tcPr>
          <w:tcW w:w="1077" w:type="pct"/>
          <w:shd w:val="clear" w:color="auto" w:fill="auto"/>
        </w:tcPr>
        <w:p w:rsidR="00945035" w:rsidRPr="007410E8" w:rsidRDefault="00945035" w:rsidP="0035025C">
          <w:pPr>
            <w:pStyle w:val="FooterText"/>
            <w:jc w:val="right"/>
            <w:rPr>
              <w:sz w:val="16"/>
            </w:rPr>
          </w:pPr>
          <w:r>
            <w:fldChar w:fldCharType="begin"/>
          </w:r>
          <w:r>
            <w:instrText xml:space="preserve"> PAGE  \* MERGEFORMAT </w:instrText>
          </w:r>
          <w:r>
            <w:fldChar w:fldCharType="separate"/>
          </w:r>
          <w:r>
            <w:rPr>
              <w:noProof/>
            </w:rPr>
            <w:t>2</w:t>
          </w:r>
          <w:r>
            <w:fldChar w:fldCharType="end"/>
          </w:r>
        </w:p>
      </w:tc>
    </w:tr>
    <w:tr w:rsidR="00945035" w:rsidRPr="007410E8" w:rsidTr="00945035">
      <w:trPr>
        <w:jc w:val="center"/>
      </w:trPr>
      <w:tc>
        <w:tcPr>
          <w:tcW w:w="2604" w:type="pct"/>
          <w:shd w:val="clear" w:color="auto" w:fill="auto"/>
        </w:tcPr>
        <w:p w:rsidR="00945035" w:rsidRPr="007410E8" w:rsidRDefault="00945035" w:rsidP="0035025C">
          <w:pPr>
            <w:pStyle w:val="FooterText"/>
            <w:rPr>
              <w:sz w:val="16"/>
            </w:rPr>
          </w:pPr>
        </w:p>
      </w:tc>
      <w:tc>
        <w:tcPr>
          <w:tcW w:w="1319" w:type="pct"/>
          <w:shd w:val="clear" w:color="auto" w:fill="auto"/>
        </w:tcPr>
        <w:p w:rsidR="00945035" w:rsidRPr="007410E8" w:rsidRDefault="00945035" w:rsidP="0035025C">
          <w:pPr>
            <w:pStyle w:val="FooterText"/>
            <w:rPr>
              <w:sz w:val="16"/>
            </w:rPr>
          </w:pPr>
        </w:p>
      </w:tc>
      <w:tc>
        <w:tcPr>
          <w:tcW w:w="1077" w:type="pct"/>
          <w:shd w:val="clear" w:color="auto" w:fill="auto"/>
        </w:tcPr>
        <w:p w:rsidR="00945035" w:rsidRPr="007410E8" w:rsidRDefault="00945035" w:rsidP="0035025C">
          <w:pPr>
            <w:pStyle w:val="FooterText"/>
            <w:jc w:val="right"/>
            <w:rPr>
              <w:sz w:val="16"/>
            </w:rPr>
          </w:pPr>
          <w:r>
            <w:rPr>
              <w:b/>
              <w:position w:val="-4"/>
              <w:sz w:val="36"/>
            </w:rPr>
            <w:t>EN</w:t>
          </w:r>
        </w:p>
      </w:tc>
    </w:tr>
    <w:bookmarkEnd w:id="4"/>
  </w:tbl>
  <w:p w:rsidR="00993E90" w:rsidRPr="00945035" w:rsidRDefault="00993E90" w:rsidP="00945035">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E90" w:rsidRDefault="00993E90">
      <w:pPr>
        <w:spacing w:before="0" w:after="0"/>
      </w:pPr>
      <w:r>
        <w:separator/>
      </w:r>
    </w:p>
  </w:footnote>
  <w:footnote w:type="continuationSeparator" w:id="0">
    <w:p w:rsidR="00993E90" w:rsidRDefault="00993E90">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035" w:rsidRPr="00945035" w:rsidRDefault="00945035" w:rsidP="009450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035" w:rsidRPr="00945035" w:rsidRDefault="00945035" w:rsidP="00945035">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035" w:rsidRPr="00945035" w:rsidRDefault="00945035" w:rsidP="00945035">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945035" w:rsidRPr="007410E8" w:rsidTr="00945035">
      <w:trPr>
        <w:jc w:val="center"/>
      </w:trPr>
      <w:tc>
        <w:tcPr>
          <w:tcW w:w="2500" w:type="pct"/>
          <w:shd w:val="clear" w:color="auto" w:fill="auto"/>
        </w:tcPr>
        <w:p w:rsidR="00945035" w:rsidRPr="007410E8" w:rsidRDefault="00945035" w:rsidP="0035025C">
          <w:pPr>
            <w:pStyle w:val="HeaderText"/>
            <w:rPr>
              <w:b/>
              <w:i/>
              <w:sz w:val="16"/>
              <w:u w:val="single"/>
            </w:rPr>
          </w:pPr>
          <w:bookmarkStart w:id="3" w:name="HEADER_PRMEET"/>
        </w:p>
      </w:tc>
      <w:tc>
        <w:tcPr>
          <w:tcW w:w="2500" w:type="pct"/>
          <w:shd w:val="clear" w:color="auto" w:fill="auto"/>
        </w:tcPr>
        <w:p w:rsidR="00945035" w:rsidRPr="007410E8" w:rsidRDefault="00945035" w:rsidP="00945035">
          <w:pPr>
            <w:pStyle w:val="HeaderText"/>
            <w:jc w:val="right"/>
            <w:rPr>
              <w:sz w:val="16"/>
            </w:rPr>
          </w:pPr>
          <w:r w:rsidRPr="00945035">
            <w:t>28 and 29 May 2015</w:t>
          </w:r>
        </w:p>
      </w:tc>
    </w:tr>
    <w:bookmarkEnd w:id="3"/>
  </w:tbl>
  <w:p w:rsidR="00993E90" w:rsidRPr="00945035" w:rsidRDefault="00993E90" w:rsidP="00945035">
    <w:pPr>
      <w:pStyle w:val="HeaderCounci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945035" w:rsidRPr="007410E8" w:rsidTr="00945035">
      <w:trPr>
        <w:jc w:val="center"/>
      </w:trPr>
      <w:tc>
        <w:tcPr>
          <w:tcW w:w="2500" w:type="pct"/>
          <w:shd w:val="clear" w:color="auto" w:fill="auto"/>
        </w:tcPr>
        <w:p w:rsidR="00945035" w:rsidRPr="007410E8" w:rsidRDefault="00945035" w:rsidP="0035025C">
          <w:pPr>
            <w:pStyle w:val="HeaderText"/>
            <w:rPr>
              <w:b/>
              <w:i/>
              <w:sz w:val="16"/>
              <w:u w:val="single"/>
            </w:rPr>
          </w:pPr>
        </w:p>
      </w:tc>
      <w:tc>
        <w:tcPr>
          <w:tcW w:w="2500" w:type="pct"/>
          <w:shd w:val="clear" w:color="auto" w:fill="auto"/>
        </w:tcPr>
        <w:p w:rsidR="00945035" w:rsidRPr="007410E8" w:rsidRDefault="00945035" w:rsidP="00945035">
          <w:pPr>
            <w:pStyle w:val="HeaderText"/>
            <w:jc w:val="right"/>
            <w:rPr>
              <w:sz w:val="16"/>
            </w:rPr>
          </w:pPr>
          <w:r w:rsidRPr="00945035">
            <w:t>28 and 29 May 2015</w:t>
          </w:r>
        </w:p>
      </w:tc>
    </w:tr>
  </w:tbl>
  <w:p w:rsidR="00993E90" w:rsidRPr="00945035" w:rsidRDefault="00993E90" w:rsidP="00945035">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
    <w:nsid w:val="03366666"/>
    <w:multiLevelType w:val="multilevel"/>
    <w:tmpl w:val="504A8816"/>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D286F62"/>
    <w:multiLevelType w:val="multilevel"/>
    <w:tmpl w:val="87740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4">
    <w:nsid w:val="0ECF4EB5"/>
    <w:multiLevelType w:val="multilevel"/>
    <w:tmpl w:val="08B2DAEC"/>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12956FE"/>
    <w:multiLevelType w:val="hybridMultilevel"/>
    <w:tmpl w:val="079673F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23622A6E"/>
    <w:multiLevelType w:val="hybridMultilevel"/>
    <w:tmpl w:val="D26E7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8660902"/>
    <w:multiLevelType w:val="singleLevel"/>
    <w:tmpl w:val="8B3C05B8"/>
    <w:name w:val="Tiret 0"/>
    <w:lvl w:ilvl="0">
      <w:start w:val="1"/>
      <w:numFmt w:val="bullet"/>
      <w:lvlRestart w:val="0"/>
      <w:pStyle w:val="Tiret0"/>
      <w:lvlText w:val="–"/>
      <w:lvlJc w:val="left"/>
      <w:pPr>
        <w:tabs>
          <w:tab w:val="num" w:pos="850"/>
        </w:tabs>
        <w:ind w:left="850" w:hanging="850"/>
      </w:pPr>
    </w:lvl>
  </w:abstractNum>
  <w:abstractNum w:abstractNumId="10">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11">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12">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13">
    <w:nsid w:val="3DD67A2F"/>
    <w:multiLevelType w:val="multilevel"/>
    <w:tmpl w:val="48F687E2"/>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5">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16">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19">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num w:numId="1">
    <w:abstractNumId w:val="9"/>
  </w:num>
  <w:num w:numId="2">
    <w:abstractNumId w:val="18"/>
  </w:num>
  <w:num w:numId="3">
    <w:abstractNumId w:val="11"/>
  </w:num>
  <w:num w:numId="4">
    <w:abstractNumId w:val="10"/>
  </w:num>
  <w:num w:numId="5">
    <w:abstractNumId w:val="3"/>
  </w:num>
  <w:num w:numId="6">
    <w:abstractNumId w:val="19"/>
  </w:num>
  <w:num w:numId="7">
    <w:abstractNumId w:val="5"/>
  </w:num>
  <w:num w:numId="8">
    <w:abstractNumId w:val="6"/>
  </w:num>
  <w:num w:numId="9">
    <w:abstractNumId w:val="17"/>
  </w:num>
  <w:num w:numId="10">
    <w:abstractNumId w:val="14"/>
  </w:num>
  <w:num w:numId="11">
    <w:abstractNumId w:val="0"/>
  </w:num>
  <w:num w:numId="12">
    <w:abstractNumId w:val="20"/>
  </w:num>
  <w:num w:numId="13">
    <w:abstractNumId w:val="16"/>
  </w:num>
  <w:num w:numId="14">
    <w:abstractNumId w:val="15"/>
  </w:num>
  <w:num w:numId="15">
    <w:abstractNumId w:val="12"/>
  </w:num>
  <w:num w:numId="16">
    <w:abstractNumId w:val="8"/>
  </w:num>
  <w:num w:numId="17">
    <w:abstractNumId w:val="13"/>
  </w:num>
  <w:num w:numId="18">
    <w:abstractNumId w:val="7"/>
  </w:num>
  <w:num w:numId="19">
    <w:abstractNumId w:val="2"/>
  </w:num>
  <w:num w:numId="20">
    <w:abstractNumId w:val="15"/>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Template"/>
    <w:docVar w:name="Council" w:val="true"/>
    <w:docVar w:name="DocuWriteMetaData" w:val="&lt;metadataset docuwriteversion=&quot;3.6.6&quot; technicalblockguid=&quot;1b22f590-c74c-4a7b-b835-784b5be1e339&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0&quot; text=&quot;OUTCOME OF THE COUNCIL MEETING&quot; /&gt;_x000d__x000a_    &lt;/basicdatatype&gt;_x000d__x000a_  &lt;/metadata&gt;_x000d__x000a_  &lt;metadata key=&quot;md_HeadingText&quot;&gt;_x000d__x000a_    &lt;headingtext text=&quot;OUTCOME OF THE COUNCIL MEETING&quot;&gt;_x000d__x000a_      &lt;formattedtext&gt;_x000d__x000a_        &lt;xaml text=&quot;OUTCOME OF THE COUNCIL MEETING&quot;&gt;&amp;lt;FlowDocument xmlns=&quot;http://schemas.microsoft.com/winfx/2006/xaml/presentation&quot;&amp;gt;&amp;lt;Paragraph&amp;gt;OUTCOME OF THE COUNCIL MEETING&amp;lt;/Paragraph&amp;gt;&amp;lt;/FlowDocument&amp;gt;&lt;/xaml&gt;_x000d__x000a_      &lt;/formattedtext&gt;_x000d__x000a_    &lt;/headingtext&gt;_x000d__x000a_  &lt;/metadata&gt;_x000d__x000a_  &lt;metadata key=&quot;md_DocumentGroup&quot;&gt;_x000d__x000a_    &lt;basicdatatype&gt;_x000d__x000a_      &lt;document_group key=&quot;dg_04&quot; text=&quot;Press Releas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quot; /&gt;_x000d__x000a_    &lt;/basicdatatype&gt;_x000d__x000a_  &lt;/metadata&gt;_x000d__x000a_  &lt;metadata key=&quot;md_DocumentDate&quot;&gt;_x000d__x000a_    &lt;text&gt;&lt;/text&gt;_x000d__x000a_  &lt;/metadata&gt;_x000d__x000a_  &lt;metadata key=&quot;md_Prefix&quot;&gt;_x000d__x000a_    &lt;text&gt;&lt;/text&gt;_x000d__x000a_  &lt;/metadata&gt;_x000d__x000a_  &lt;metadata key=&quot;md_DocumentNumber&quot;&gt;_x000d__x000a_    &lt;text&gt;9385&lt;/text&gt;_x000d__x000a_  &lt;/metadata&gt;_x000d__x000a_  &lt;metadata key=&quot;md_YearDocumentNumber&quot;&gt;_x000d__x000a_    &lt;text&gt;201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quot; /&gt;_x000d__x000a_    &lt;/basicdatatype&gt;_x000d__x000a_  &lt;/metadata&gt;_x000d__x000a_  &lt;metadata key=&quot;md_SubjectCodes&quot;&gt;_x000d__x000a_    &lt;textlist&gt;_x000d__x000a_      &lt;text&gt;PRESSE 37&lt;/text&gt;_x000d__x000a_      &lt;text&gt;PR CO 29&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gt;_x000d__x000a_    &lt;presidents&gt;_x000d__x000a_      &lt;president title=&quot;Minister for Economics&quot; name=&quot;Dana Reizniece-Ozola&quot; text=&quot;Dana Reizniece-Ozola, Minister for Economics&quot; genderKeyBds=&quot;gend_02&quot; /&gt;_x000d__x000a_      &lt;president title=&quot;Minister for Education and Science&amp;#xD;&amp;#xA;of Latvia&quot; name=&quot;M&amp;#257;r&amp;#299;te Seile&quot; text=&quot;M&amp;#257;r&amp;#299;te Seile, Minister for Education and Science of Latvia&quot; genderKeyBds=&quot;gend_02&quot; /&gt;_x000d__x000a_    &lt;/presidents&gt;_x000d__x000a_  &lt;/metadata&gt;_x000d__x000a_  &lt;metadata key=&quot;md_MeetingNumber&quot;&gt;_x000d__x000a_    &lt;text&gt;3392&lt;/text&gt;_x000d__x000a_  &lt;/metadata&gt;_x000d__x000a_  &lt;metadata key=&quot;md_CouncilConfiguration&quot;&gt;_x000d__x000a_    &lt;basicdatatype&gt;_x000d__x000a_      &lt;configuration key=&quot;cc_06&quot; text=&quot;Competitiveness (Internal Market, Industry, Research and Space)&quot; /&gt;_x000d__x000a_    &lt;/basicdatatype&gt;_x000d__x000a_  &lt;/metadata&gt;_x000d__x000a_  &lt;metadata key=&quot;md_CouncilIssue&quot;&gt;_x000d__x000a_    &lt;text&gt;&lt;/text&gt;_x000d__x000a_  &lt;/metadata&gt;_x000d__x000a_  &lt;metadata key=&quot;md_PhoneNumber&quot;&gt;_x000d__x000a_    &lt;text&gt;&lt;/text&gt;_x000d__x000a_  &lt;/metadata&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 /&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gt;_x000d__x000a_    &lt;meetings&gt;_x000d__x000a_      &lt;meeting date=&quot;2015-05-28&quot;&gt;_x000d__x000a_        &lt;meetinglocation&gt;_x000d__x000a_          &lt;basicdatatype&gt;_x000d__x000a_            &lt;location key=&quot;loc_01&quot; text=&quot;Brussels&quot; /&gt;_x000d__x000a_          &lt;/basicdatatype&gt;_x000d__x000a_        &lt;/meetinglocation&gt;_x000d__x000a_      &lt;/meeting&gt;_x000d__x000a_      &lt;meeting date=&quot;2015-05-29&quot;&gt;_x000d__x000a_        &lt;meetinglocation&gt;_x000d__x000a_          &lt;basicdatatype&gt;_x000d__x000a_            &lt;location key=&quot;loc_01&quot; text=&quot;Brussels&quot; /&gt;_x000d__x000a_          &lt;/basicdatatype&gt;_x000d__x000a_        &lt;/meetinglocation&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DW_PRMEET"/>
    <w:docVar w:name="LW_DocType" w:val="DW_PRMEET"/>
    <w:docVar w:name="VSSDB_IniPath" w:val="\\at100\user\wovo\SEILEG\vss\srcsafe.ini"/>
    <w:docVar w:name="VSSDB_ProjectPath" w:val="$/DocuWrite/DOT/DW_PRMEET"/>
  </w:docVars>
  <w:rsids>
    <w:rsidRoot w:val="004A25A1"/>
    <w:rsid w:val="00004D4C"/>
    <w:rsid w:val="00005C6C"/>
    <w:rsid w:val="00014478"/>
    <w:rsid w:val="00035E1C"/>
    <w:rsid w:val="000367E6"/>
    <w:rsid w:val="00043001"/>
    <w:rsid w:val="0007729C"/>
    <w:rsid w:val="00081FA0"/>
    <w:rsid w:val="000868D3"/>
    <w:rsid w:val="00097226"/>
    <w:rsid w:val="000A21A6"/>
    <w:rsid w:val="000A63B0"/>
    <w:rsid w:val="000C28B2"/>
    <w:rsid w:val="00112293"/>
    <w:rsid w:val="001825EB"/>
    <w:rsid w:val="00197177"/>
    <w:rsid w:val="001E5DEF"/>
    <w:rsid w:val="002A698F"/>
    <w:rsid w:val="002F7068"/>
    <w:rsid w:val="00303247"/>
    <w:rsid w:val="00305C26"/>
    <w:rsid w:val="00322F20"/>
    <w:rsid w:val="003306F1"/>
    <w:rsid w:val="00347BF8"/>
    <w:rsid w:val="003530E7"/>
    <w:rsid w:val="00364FD7"/>
    <w:rsid w:val="00386422"/>
    <w:rsid w:val="003946C8"/>
    <w:rsid w:val="003C407E"/>
    <w:rsid w:val="003C562E"/>
    <w:rsid w:val="003D036A"/>
    <w:rsid w:val="00474611"/>
    <w:rsid w:val="004A25A1"/>
    <w:rsid w:val="004B48AF"/>
    <w:rsid w:val="00530F86"/>
    <w:rsid w:val="0053724C"/>
    <w:rsid w:val="00546259"/>
    <w:rsid w:val="00546CEA"/>
    <w:rsid w:val="00547BFF"/>
    <w:rsid w:val="005510DD"/>
    <w:rsid w:val="0057619A"/>
    <w:rsid w:val="005957E4"/>
    <w:rsid w:val="00595D7C"/>
    <w:rsid w:val="005B446F"/>
    <w:rsid w:val="005C0C7B"/>
    <w:rsid w:val="005E2386"/>
    <w:rsid w:val="005F2ED8"/>
    <w:rsid w:val="006227F5"/>
    <w:rsid w:val="00631D9E"/>
    <w:rsid w:val="00666CB5"/>
    <w:rsid w:val="006A56D8"/>
    <w:rsid w:val="006A6266"/>
    <w:rsid w:val="006B0A6B"/>
    <w:rsid w:val="006D0891"/>
    <w:rsid w:val="006E2F9D"/>
    <w:rsid w:val="006E6EED"/>
    <w:rsid w:val="006F2E77"/>
    <w:rsid w:val="006F4E9F"/>
    <w:rsid w:val="006F71AF"/>
    <w:rsid w:val="00700647"/>
    <w:rsid w:val="007071E6"/>
    <w:rsid w:val="00711E93"/>
    <w:rsid w:val="007C3D1D"/>
    <w:rsid w:val="007C7D04"/>
    <w:rsid w:val="007D3356"/>
    <w:rsid w:val="007D3E8B"/>
    <w:rsid w:val="008241C5"/>
    <w:rsid w:val="00875179"/>
    <w:rsid w:val="008774FD"/>
    <w:rsid w:val="00883578"/>
    <w:rsid w:val="00885D07"/>
    <w:rsid w:val="00895676"/>
    <w:rsid w:val="008B2D30"/>
    <w:rsid w:val="008F3E2E"/>
    <w:rsid w:val="00916D7A"/>
    <w:rsid w:val="00926EAF"/>
    <w:rsid w:val="0093143B"/>
    <w:rsid w:val="00931EDF"/>
    <w:rsid w:val="00942842"/>
    <w:rsid w:val="00943670"/>
    <w:rsid w:val="00945035"/>
    <w:rsid w:val="00992C21"/>
    <w:rsid w:val="00993E90"/>
    <w:rsid w:val="00994490"/>
    <w:rsid w:val="009945F7"/>
    <w:rsid w:val="009E5BD0"/>
    <w:rsid w:val="009E5DE1"/>
    <w:rsid w:val="009F69CC"/>
    <w:rsid w:val="00A223B5"/>
    <w:rsid w:val="00A33747"/>
    <w:rsid w:val="00A36655"/>
    <w:rsid w:val="00A53EED"/>
    <w:rsid w:val="00A67613"/>
    <w:rsid w:val="00A75EC9"/>
    <w:rsid w:val="00A76023"/>
    <w:rsid w:val="00A76CDC"/>
    <w:rsid w:val="00AC2F63"/>
    <w:rsid w:val="00AD4F63"/>
    <w:rsid w:val="00AE53AB"/>
    <w:rsid w:val="00B03546"/>
    <w:rsid w:val="00B2409F"/>
    <w:rsid w:val="00B25A5E"/>
    <w:rsid w:val="00B34272"/>
    <w:rsid w:val="00B40A9D"/>
    <w:rsid w:val="00B466AE"/>
    <w:rsid w:val="00B57086"/>
    <w:rsid w:val="00B70754"/>
    <w:rsid w:val="00B83408"/>
    <w:rsid w:val="00B8517D"/>
    <w:rsid w:val="00BB5BA0"/>
    <w:rsid w:val="00BC1FB9"/>
    <w:rsid w:val="00BD4545"/>
    <w:rsid w:val="00BD54A3"/>
    <w:rsid w:val="00BE2CA6"/>
    <w:rsid w:val="00C341F5"/>
    <w:rsid w:val="00C57AAC"/>
    <w:rsid w:val="00C7258D"/>
    <w:rsid w:val="00CA0D26"/>
    <w:rsid w:val="00CA6CE5"/>
    <w:rsid w:val="00CD5634"/>
    <w:rsid w:val="00CE3096"/>
    <w:rsid w:val="00D25771"/>
    <w:rsid w:val="00D45C7C"/>
    <w:rsid w:val="00D5059B"/>
    <w:rsid w:val="00D552E0"/>
    <w:rsid w:val="00D82C56"/>
    <w:rsid w:val="00D8553A"/>
    <w:rsid w:val="00DD60AC"/>
    <w:rsid w:val="00E20750"/>
    <w:rsid w:val="00E220AA"/>
    <w:rsid w:val="00E25DAF"/>
    <w:rsid w:val="00E37C99"/>
    <w:rsid w:val="00E43284"/>
    <w:rsid w:val="00E51E1C"/>
    <w:rsid w:val="00E737DC"/>
    <w:rsid w:val="00E745C3"/>
    <w:rsid w:val="00EC67D3"/>
    <w:rsid w:val="00EF037C"/>
    <w:rsid w:val="00EF4D1E"/>
    <w:rsid w:val="00F6279D"/>
    <w:rsid w:val="00FA21D7"/>
    <w:rsid w:val="00FA6058"/>
    <w:rsid w:val="00FC632C"/>
    <w:rsid w:val="00FC71B0"/>
    <w:rsid w:val="00FC7382"/>
    <w:rsid w:val="00FE5FD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val="en-GB" w:eastAsia="en-US"/>
    </w:rPr>
  </w:style>
  <w:style w:type="paragraph" w:styleId="Heading1">
    <w:name w:val="heading 1"/>
    <w:basedOn w:val="Normal"/>
    <w:next w:val="Text1"/>
    <w:uiPriority w:val="99"/>
    <w:qFormat/>
    <w:rsid w:val="00A76CDC"/>
    <w:pPr>
      <w:keepNext/>
      <w:numPr>
        <w:numId w:val="7"/>
      </w:numPr>
      <w:spacing w:before="360"/>
      <w:outlineLvl w:val="0"/>
    </w:pPr>
    <w:rPr>
      <w:b/>
      <w:bCs/>
      <w:smallCaps/>
      <w:szCs w:val="32"/>
    </w:rPr>
  </w:style>
  <w:style w:type="paragraph" w:styleId="Heading2">
    <w:name w:val="heading 2"/>
    <w:basedOn w:val="Normal"/>
    <w:next w:val="Text1"/>
    <w:link w:val="Heading2Char"/>
    <w:qFormat/>
    <w:rsid w:val="00A76CDC"/>
    <w:pPr>
      <w:keepNext/>
      <w:numPr>
        <w:ilvl w:val="1"/>
        <w:numId w:val="7"/>
      </w:numPr>
      <w:outlineLvl w:val="1"/>
    </w:pPr>
    <w:rPr>
      <w:b/>
      <w:bCs/>
      <w:iCs/>
      <w:szCs w:val="28"/>
    </w:rPr>
  </w:style>
  <w:style w:type="paragraph" w:styleId="Heading3">
    <w:name w:val="heading 3"/>
    <w:basedOn w:val="Normal"/>
    <w:next w:val="Text1"/>
    <w:qFormat/>
    <w:rsid w:val="00A76CDC"/>
    <w:pPr>
      <w:keepNext/>
      <w:numPr>
        <w:ilvl w:val="2"/>
        <w:numId w:val="7"/>
      </w:numPr>
      <w:outlineLvl w:val="2"/>
    </w:pPr>
    <w:rPr>
      <w:bCs/>
      <w:i/>
      <w:szCs w:val="26"/>
    </w:rPr>
  </w:style>
  <w:style w:type="paragraph" w:styleId="Heading4">
    <w:name w:val="heading 4"/>
    <w:basedOn w:val="Normal"/>
    <w:next w:val="Text1"/>
    <w:qFormat/>
    <w:rsid w:val="00A76CDC"/>
    <w:pPr>
      <w:keepNext/>
      <w:numPr>
        <w:ilvl w:val="3"/>
        <w:numId w:val="7"/>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uiPriority w:val="39"/>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15"/>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4"/>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1"/>
      </w:numPr>
    </w:pPr>
  </w:style>
  <w:style w:type="paragraph" w:customStyle="1" w:styleId="Tiret1">
    <w:name w:val="Tiret 1"/>
    <w:basedOn w:val="Normal"/>
    <w:rsid w:val="00A76CDC"/>
    <w:pPr>
      <w:numPr>
        <w:numId w:val="2"/>
      </w:numPr>
      <w:outlineLvl w:val="0"/>
    </w:pPr>
  </w:style>
  <w:style w:type="paragraph" w:customStyle="1" w:styleId="Tiret2">
    <w:name w:val="Tiret 2"/>
    <w:basedOn w:val="Normal"/>
    <w:rsid w:val="00A76CDC"/>
    <w:pPr>
      <w:numPr>
        <w:numId w:val="3"/>
      </w:numPr>
      <w:outlineLvl w:val="1"/>
    </w:pPr>
  </w:style>
  <w:style w:type="paragraph" w:customStyle="1" w:styleId="Tiret3">
    <w:name w:val="Tiret 3"/>
    <w:basedOn w:val="Normal"/>
    <w:rsid w:val="00A76CDC"/>
    <w:pPr>
      <w:numPr>
        <w:numId w:val="4"/>
      </w:numPr>
      <w:outlineLvl w:val="2"/>
    </w:pPr>
  </w:style>
  <w:style w:type="paragraph" w:customStyle="1" w:styleId="Tiret4">
    <w:name w:val="Tiret 4"/>
    <w:basedOn w:val="Normal"/>
    <w:rsid w:val="00A76CDC"/>
    <w:pPr>
      <w:numPr>
        <w:numId w:val="5"/>
      </w:numPr>
      <w:outlineLvl w:val="3"/>
    </w:pPr>
  </w:style>
  <w:style w:type="paragraph" w:customStyle="1" w:styleId="NumPar1">
    <w:name w:val="NumPar 1"/>
    <w:basedOn w:val="Normal"/>
    <w:next w:val="Text1"/>
    <w:rsid w:val="00A76CDC"/>
    <w:pPr>
      <w:numPr>
        <w:numId w:val="6"/>
      </w:numPr>
      <w:outlineLvl w:val="0"/>
    </w:pPr>
  </w:style>
  <w:style w:type="paragraph" w:customStyle="1" w:styleId="NumPar2">
    <w:name w:val="NumPar 2"/>
    <w:basedOn w:val="Normal"/>
    <w:next w:val="Text1"/>
    <w:rsid w:val="00A76CDC"/>
    <w:pPr>
      <w:numPr>
        <w:ilvl w:val="1"/>
        <w:numId w:val="6"/>
      </w:numPr>
      <w:outlineLvl w:val="1"/>
    </w:pPr>
  </w:style>
  <w:style w:type="paragraph" w:customStyle="1" w:styleId="NumPar3">
    <w:name w:val="NumPar 3"/>
    <w:basedOn w:val="Normal"/>
    <w:next w:val="Text1"/>
    <w:rsid w:val="00A76CDC"/>
    <w:pPr>
      <w:numPr>
        <w:ilvl w:val="2"/>
        <w:numId w:val="6"/>
      </w:numPr>
      <w:outlineLvl w:val="2"/>
    </w:pPr>
  </w:style>
  <w:style w:type="paragraph" w:customStyle="1" w:styleId="NumPar4">
    <w:name w:val="NumPar 4"/>
    <w:basedOn w:val="Normal"/>
    <w:next w:val="Text1"/>
    <w:rsid w:val="00A76CDC"/>
    <w:pPr>
      <w:numPr>
        <w:ilvl w:val="3"/>
        <w:numId w:val="6"/>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8"/>
      </w:numPr>
    </w:pPr>
  </w:style>
  <w:style w:type="paragraph" w:customStyle="1" w:styleId="Point1number">
    <w:name w:val="Point 1 (number)"/>
    <w:basedOn w:val="Normal"/>
    <w:rsid w:val="00A76CDC"/>
    <w:pPr>
      <w:numPr>
        <w:ilvl w:val="2"/>
        <w:numId w:val="8"/>
      </w:numPr>
      <w:outlineLvl w:val="0"/>
    </w:pPr>
  </w:style>
  <w:style w:type="paragraph" w:customStyle="1" w:styleId="Point2number">
    <w:name w:val="Point 2 (number)"/>
    <w:basedOn w:val="Normal"/>
    <w:rsid w:val="00A76CDC"/>
    <w:pPr>
      <w:numPr>
        <w:ilvl w:val="4"/>
        <w:numId w:val="8"/>
      </w:numPr>
      <w:outlineLvl w:val="1"/>
    </w:pPr>
  </w:style>
  <w:style w:type="paragraph" w:customStyle="1" w:styleId="Point3number">
    <w:name w:val="Point 3 (number)"/>
    <w:basedOn w:val="Normal"/>
    <w:rsid w:val="00A76CDC"/>
    <w:pPr>
      <w:numPr>
        <w:ilvl w:val="6"/>
        <w:numId w:val="8"/>
      </w:numPr>
      <w:outlineLvl w:val="2"/>
    </w:pPr>
  </w:style>
  <w:style w:type="paragraph" w:customStyle="1" w:styleId="Point0letter">
    <w:name w:val="Point 0 (letter)"/>
    <w:basedOn w:val="Normal"/>
    <w:rsid w:val="00A76CDC"/>
    <w:pPr>
      <w:numPr>
        <w:ilvl w:val="1"/>
        <w:numId w:val="8"/>
      </w:numPr>
    </w:pPr>
  </w:style>
  <w:style w:type="paragraph" w:customStyle="1" w:styleId="Point1letter">
    <w:name w:val="Point 1 (letter)"/>
    <w:basedOn w:val="Normal"/>
    <w:rsid w:val="00A76CDC"/>
    <w:pPr>
      <w:numPr>
        <w:ilvl w:val="3"/>
        <w:numId w:val="8"/>
      </w:numPr>
      <w:outlineLvl w:val="0"/>
    </w:pPr>
  </w:style>
  <w:style w:type="paragraph" w:customStyle="1" w:styleId="Point2letter">
    <w:name w:val="Point 2 (letter)"/>
    <w:basedOn w:val="Normal"/>
    <w:rsid w:val="00A76CDC"/>
    <w:pPr>
      <w:numPr>
        <w:ilvl w:val="5"/>
        <w:numId w:val="8"/>
      </w:numPr>
      <w:outlineLvl w:val="1"/>
    </w:pPr>
  </w:style>
  <w:style w:type="paragraph" w:customStyle="1" w:styleId="Point3letter">
    <w:name w:val="Point 3 (letter)"/>
    <w:basedOn w:val="Normal"/>
    <w:rsid w:val="00A76CDC"/>
    <w:pPr>
      <w:numPr>
        <w:ilvl w:val="7"/>
        <w:numId w:val="8"/>
      </w:numPr>
      <w:outlineLvl w:val="2"/>
    </w:pPr>
  </w:style>
  <w:style w:type="paragraph" w:customStyle="1" w:styleId="Point4letter">
    <w:name w:val="Point 4 (letter)"/>
    <w:basedOn w:val="Normal"/>
    <w:rsid w:val="00A76CDC"/>
    <w:pPr>
      <w:numPr>
        <w:ilvl w:val="8"/>
        <w:numId w:val="8"/>
      </w:numPr>
      <w:outlineLvl w:val="3"/>
    </w:pPr>
  </w:style>
  <w:style w:type="paragraph" w:customStyle="1" w:styleId="Bullet0">
    <w:name w:val="Bullet 0"/>
    <w:basedOn w:val="Normal"/>
    <w:rsid w:val="00A76CDC"/>
    <w:pPr>
      <w:numPr>
        <w:numId w:val="9"/>
      </w:numPr>
    </w:pPr>
  </w:style>
  <w:style w:type="paragraph" w:customStyle="1" w:styleId="Bullet1">
    <w:name w:val="Bullet 1"/>
    <w:basedOn w:val="Normal"/>
    <w:rsid w:val="00A76CDC"/>
    <w:pPr>
      <w:numPr>
        <w:numId w:val="10"/>
      </w:numPr>
      <w:outlineLvl w:val="0"/>
    </w:pPr>
  </w:style>
  <w:style w:type="paragraph" w:customStyle="1" w:styleId="Bullet2">
    <w:name w:val="Bullet 2"/>
    <w:basedOn w:val="Normal"/>
    <w:rsid w:val="00A76CDC"/>
    <w:pPr>
      <w:numPr>
        <w:numId w:val="11"/>
      </w:numPr>
      <w:outlineLvl w:val="1"/>
    </w:pPr>
  </w:style>
  <w:style w:type="paragraph" w:customStyle="1" w:styleId="Bullet3">
    <w:name w:val="Bullet 3"/>
    <w:basedOn w:val="Normal"/>
    <w:rsid w:val="00A76CDC"/>
    <w:pPr>
      <w:numPr>
        <w:numId w:val="12"/>
      </w:numPr>
      <w:outlineLvl w:val="2"/>
    </w:pPr>
  </w:style>
  <w:style w:type="paragraph" w:customStyle="1" w:styleId="Bullet4">
    <w:name w:val="Bullet 4"/>
    <w:basedOn w:val="Normal"/>
    <w:rsid w:val="00A76CDC"/>
    <w:pPr>
      <w:numPr>
        <w:numId w:val="13"/>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link w:val="TechnicalBlockChar"/>
    <w:rsid w:val="00D5059B"/>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 w:type="paragraph" w:customStyle="1" w:styleId="HeaderCouncilLarge">
    <w:name w:val="Header Council Large"/>
    <w:basedOn w:val="Normal"/>
    <w:link w:val="HeaderCouncilLargeChar"/>
    <w:rsid w:val="004A25A1"/>
    <w:pPr>
      <w:spacing w:before="0" w:after="440"/>
      <w:ind w:left="-1134" w:right="-1134"/>
    </w:pPr>
    <w:rPr>
      <w:sz w:val="2"/>
    </w:rPr>
  </w:style>
  <w:style w:type="character" w:customStyle="1" w:styleId="TechnicalBlockChar">
    <w:name w:val="Technical Block Char"/>
    <w:basedOn w:val="DefaultParagraphFont"/>
    <w:link w:val="TechnicalBlock"/>
    <w:rsid w:val="004A25A1"/>
    <w:rPr>
      <w:sz w:val="24"/>
      <w:szCs w:val="24"/>
      <w:lang w:val="en-GB" w:eastAsia="en-US"/>
    </w:rPr>
  </w:style>
  <w:style w:type="character" w:customStyle="1" w:styleId="HeaderCouncilLargeChar">
    <w:name w:val="Header Council Large Char"/>
    <w:basedOn w:val="TechnicalBlockChar"/>
    <w:link w:val="HeaderCouncilLarge"/>
    <w:rsid w:val="004A25A1"/>
    <w:rPr>
      <w:sz w:val="2"/>
      <w:szCs w:val="24"/>
      <w:lang w:val="en-GB" w:eastAsia="en-US"/>
    </w:rPr>
  </w:style>
  <w:style w:type="paragraph" w:customStyle="1" w:styleId="FooterText">
    <w:name w:val="Footer Text"/>
    <w:basedOn w:val="Normal"/>
    <w:rsid w:val="004A25A1"/>
    <w:pPr>
      <w:spacing w:before="0" w:after="0"/>
    </w:pPr>
  </w:style>
  <w:style w:type="paragraph" w:customStyle="1" w:styleId="FooterAddressText">
    <w:name w:val="Footer Address Text"/>
    <w:basedOn w:val="FooterText"/>
    <w:qFormat/>
    <w:rsid w:val="004A25A1"/>
    <w:pPr>
      <w:jc w:val="center"/>
    </w:pPr>
    <w:rPr>
      <w:spacing w:val="10"/>
      <w:sz w:val="16"/>
      <w:szCs w:val="16"/>
    </w:rPr>
  </w:style>
  <w:style w:type="character" w:styleId="Hyperlink">
    <w:name w:val="Hyperlink"/>
    <w:basedOn w:val="DefaultParagraphFont"/>
    <w:uiPriority w:val="99"/>
    <w:unhideWhenUsed/>
    <w:qFormat/>
    <w:rsid w:val="004A25A1"/>
    <w:rPr>
      <w:color w:val="0000FF" w:themeColor="hyperlink"/>
      <w:u w:val="single"/>
    </w:rPr>
  </w:style>
  <w:style w:type="paragraph" w:customStyle="1" w:styleId="HeaderText">
    <w:name w:val="Header Text"/>
    <w:basedOn w:val="Normal"/>
    <w:rsid w:val="004A25A1"/>
    <w:pPr>
      <w:spacing w:before="0" w:after="0"/>
    </w:pPr>
  </w:style>
  <w:style w:type="paragraph" w:styleId="ListParagraph">
    <w:name w:val="List Paragraph"/>
    <w:basedOn w:val="Normal"/>
    <w:uiPriority w:val="34"/>
    <w:qFormat/>
    <w:rsid w:val="006B0A6B"/>
    <w:pPr>
      <w:spacing w:before="0" w:after="0" w:line="360" w:lineRule="auto"/>
      <w:ind w:left="720"/>
      <w:contextualSpacing/>
    </w:pPr>
    <w:rPr>
      <w:rFonts w:eastAsiaTheme="minorHAnsi" w:cstheme="minorBidi"/>
      <w:szCs w:val="22"/>
      <w:lang w:val="en-US"/>
    </w:rPr>
  </w:style>
  <w:style w:type="character" w:customStyle="1" w:styleId="Heading2Char">
    <w:name w:val="Heading 2 Char"/>
    <w:link w:val="Heading2"/>
    <w:rsid w:val="0093143B"/>
    <w:rPr>
      <w:b/>
      <w:bCs/>
      <w:iCs/>
      <w:sz w:val="24"/>
      <w:szCs w:val="28"/>
      <w:lang w:val="en-GB" w:eastAsia="en-US"/>
    </w:rPr>
  </w:style>
  <w:style w:type="character" w:styleId="FollowedHyperlink">
    <w:name w:val="FollowedHyperlink"/>
    <w:basedOn w:val="DefaultParagraphFont"/>
    <w:uiPriority w:val="99"/>
    <w:semiHidden/>
    <w:unhideWhenUsed/>
    <w:rsid w:val="00BD4545"/>
    <w:rPr>
      <w:color w:val="800080" w:themeColor="followedHyperlink"/>
      <w:u w:val="single"/>
    </w:rPr>
  </w:style>
  <w:style w:type="paragraph" w:styleId="NormalWeb">
    <w:name w:val="Normal (Web)"/>
    <w:basedOn w:val="Normal"/>
    <w:uiPriority w:val="99"/>
    <w:semiHidden/>
    <w:unhideWhenUsed/>
    <w:rsid w:val="006F2E77"/>
    <w:pPr>
      <w:spacing w:before="100" w:beforeAutospacing="1" w:after="300"/>
    </w:pPr>
    <w:rPr>
      <w:lang w:eastAsia="en-GB"/>
    </w:rPr>
  </w:style>
  <w:style w:type="character" w:styleId="Strong">
    <w:name w:val="Strong"/>
    <w:basedOn w:val="DefaultParagraphFont"/>
    <w:uiPriority w:val="22"/>
    <w:qFormat/>
    <w:rsid w:val="006F2E77"/>
    <w:rPr>
      <w:b/>
      <w:bCs/>
    </w:rPr>
  </w:style>
  <w:style w:type="character" w:styleId="CommentReference">
    <w:name w:val="annotation reference"/>
    <w:basedOn w:val="DefaultParagraphFont"/>
    <w:uiPriority w:val="99"/>
    <w:semiHidden/>
    <w:unhideWhenUsed/>
    <w:rsid w:val="00386422"/>
    <w:rPr>
      <w:sz w:val="16"/>
      <w:szCs w:val="16"/>
    </w:rPr>
  </w:style>
  <w:style w:type="paragraph" w:styleId="CommentText">
    <w:name w:val="annotation text"/>
    <w:basedOn w:val="Normal"/>
    <w:link w:val="CommentTextChar"/>
    <w:uiPriority w:val="99"/>
    <w:semiHidden/>
    <w:unhideWhenUsed/>
    <w:rsid w:val="00386422"/>
    <w:rPr>
      <w:sz w:val="20"/>
      <w:szCs w:val="20"/>
    </w:rPr>
  </w:style>
  <w:style w:type="character" w:customStyle="1" w:styleId="CommentTextChar">
    <w:name w:val="Comment Text Char"/>
    <w:basedOn w:val="DefaultParagraphFont"/>
    <w:link w:val="CommentText"/>
    <w:uiPriority w:val="99"/>
    <w:semiHidden/>
    <w:rsid w:val="00386422"/>
    <w:rPr>
      <w:lang w:val="en-GB" w:eastAsia="en-US"/>
    </w:rPr>
  </w:style>
  <w:style w:type="paragraph" w:styleId="CommentSubject">
    <w:name w:val="annotation subject"/>
    <w:basedOn w:val="CommentText"/>
    <w:next w:val="CommentText"/>
    <w:link w:val="CommentSubjectChar"/>
    <w:uiPriority w:val="99"/>
    <w:semiHidden/>
    <w:unhideWhenUsed/>
    <w:rsid w:val="00386422"/>
    <w:rPr>
      <w:b/>
      <w:bCs/>
    </w:rPr>
  </w:style>
  <w:style w:type="character" w:customStyle="1" w:styleId="CommentSubjectChar">
    <w:name w:val="Comment Subject Char"/>
    <w:basedOn w:val="CommentTextChar"/>
    <w:link w:val="CommentSubject"/>
    <w:uiPriority w:val="99"/>
    <w:semiHidden/>
    <w:rsid w:val="00386422"/>
    <w:rPr>
      <w:b/>
      <w:bCs/>
      <w:lang w:val="en-GB" w:eastAsia="en-US"/>
    </w:rPr>
  </w:style>
  <w:style w:type="paragraph" w:styleId="BalloonText">
    <w:name w:val="Balloon Text"/>
    <w:basedOn w:val="Normal"/>
    <w:link w:val="BalloonTextChar"/>
    <w:uiPriority w:val="99"/>
    <w:semiHidden/>
    <w:unhideWhenUsed/>
    <w:rsid w:val="006A626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266"/>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val="en-GB" w:eastAsia="en-US"/>
    </w:rPr>
  </w:style>
  <w:style w:type="paragraph" w:styleId="Heading1">
    <w:name w:val="heading 1"/>
    <w:basedOn w:val="Normal"/>
    <w:next w:val="Text1"/>
    <w:uiPriority w:val="99"/>
    <w:qFormat/>
    <w:rsid w:val="00A76CDC"/>
    <w:pPr>
      <w:keepNext/>
      <w:numPr>
        <w:numId w:val="7"/>
      </w:numPr>
      <w:spacing w:before="360"/>
      <w:outlineLvl w:val="0"/>
    </w:pPr>
    <w:rPr>
      <w:b/>
      <w:bCs/>
      <w:smallCaps/>
      <w:szCs w:val="32"/>
    </w:rPr>
  </w:style>
  <w:style w:type="paragraph" w:styleId="Heading2">
    <w:name w:val="heading 2"/>
    <w:basedOn w:val="Normal"/>
    <w:next w:val="Text1"/>
    <w:link w:val="Heading2Char"/>
    <w:qFormat/>
    <w:rsid w:val="00A76CDC"/>
    <w:pPr>
      <w:keepNext/>
      <w:numPr>
        <w:ilvl w:val="1"/>
        <w:numId w:val="7"/>
      </w:numPr>
      <w:outlineLvl w:val="1"/>
    </w:pPr>
    <w:rPr>
      <w:b/>
      <w:bCs/>
      <w:iCs/>
      <w:szCs w:val="28"/>
    </w:rPr>
  </w:style>
  <w:style w:type="paragraph" w:styleId="Heading3">
    <w:name w:val="heading 3"/>
    <w:basedOn w:val="Normal"/>
    <w:next w:val="Text1"/>
    <w:qFormat/>
    <w:rsid w:val="00A76CDC"/>
    <w:pPr>
      <w:keepNext/>
      <w:numPr>
        <w:ilvl w:val="2"/>
        <w:numId w:val="7"/>
      </w:numPr>
      <w:outlineLvl w:val="2"/>
    </w:pPr>
    <w:rPr>
      <w:bCs/>
      <w:i/>
      <w:szCs w:val="26"/>
    </w:rPr>
  </w:style>
  <w:style w:type="paragraph" w:styleId="Heading4">
    <w:name w:val="heading 4"/>
    <w:basedOn w:val="Normal"/>
    <w:next w:val="Text1"/>
    <w:qFormat/>
    <w:rsid w:val="00A76CDC"/>
    <w:pPr>
      <w:keepNext/>
      <w:numPr>
        <w:ilvl w:val="3"/>
        <w:numId w:val="7"/>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uiPriority w:val="39"/>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15"/>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4"/>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1"/>
      </w:numPr>
    </w:pPr>
  </w:style>
  <w:style w:type="paragraph" w:customStyle="1" w:styleId="Tiret1">
    <w:name w:val="Tiret 1"/>
    <w:basedOn w:val="Normal"/>
    <w:rsid w:val="00A76CDC"/>
    <w:pPr>
      <w:numPr>
        <w:numId w:val="2"/>
      </w:numPr>
      <w:outlineLvl w:val="0"/>
    </w:pPr>
  </w:style>
  <w:style w:type="paragraph" w:customStyle="1" w:styleId="Tiret2">
    <w:name w:val="Tiret 2"/>
    <w:basedOn w:val="Normal"/>
    <w:rsid w:val="00A76CDC"/>
    <w:pPr>
      <w:numPr>
        <w:numId w:val="3"/>
      </w:numPr>
      <w:outlineLvl w:val="1"/>
    </w:pPr>
  </w:style>
  <w:style w:type="paragraph" w:customStyle="1" w:styleId="Tiret3">
    <w:name w:val="Tiret 3"/>
    <w:basedOn w:val="Normal"/>
    <w:rsid w:val="00A76CDC"/>
    <w:pPr>
      <w:numPr>
        <w:numId w:val="4"/>
      </w:numPr>
      <w:outlineLvl w:val="2"/>
    </w:pPr>
  </w:style>
  <w:style w:type="paragraph" w:customStyle="1" w:styleId="Tiret4">
    <w:name w:val="Tiret 4"/>
    <w:basedOn w:val="Normal"/>
    <w:rsid w:val="00A76CDC"/>
    <w:pPr>
      <w:numPr>
        <w:numId w:val="5"/>
      </w:numPr>
      <w:outlineLvl w:val="3"/>
    </w:pPr>
  </w:style>
  <w:style w:type="paragraph" w:customStyle="1" w:styleId="NumPar1">
    <w:name w:val="NumPar 1"/>
    <w:basedOn w:val="Normal"/>
    <w:next w:val="Text1"/>
    <w:rsid w:val="00A76CDC"/>
    <w:pPr>
      <w:numPr>
        <w:numId w:val="6"/>
      </w:numPr>
      <w:outlineLvl w:val="0"/>
    </w:pPr>
  </w:style>
  <w:style w:type="paragraph" w:customStyle="1" w:styleId="NumPar2">
    <w:name w:val="NumPar 2"/>
    <w:basedOn w:val="Normal"/>
    <w:next w:val="Text1"/>
    <w:rsid w:val="00A76CDC"/>
    <w:pPr>
      <w:numPr>
        <w:ilvl w:val="1"/>
        <w:numId w:val="6"/>
      </w:numPr>
      <w:outlineLvl w:val="1"/>
    </w:pPr>
  </w:style>
  <w:style w:type="paragraph" w:customStyle="1" w:styleId="NumPar3">
    <w:name w:val="NumPar 3"/>
    <w:basedOn w:val="Normal"/>
    <w:next w:val="Text1"/>
    <w:rsid w:val="00A76CDC"/>
    <w:pPr>
      <w:numPr>
        <w:ilvl w:val="2"/>
        <w:numId w:val="6"/>
      </w:numPr>
      <w:outlineLvl w:val="2"/>
    </w:pPr>
  </w:style>
  <w:style w:type="paragraph" w:customStyle="1" w:styleId="NumPar4">
    <w:name w:val="NumPar 4"/>
    <w:basedOn w:val="Normal"/>
    <w:next w:val="Text1"/>
    <w:rsid w:val="00A76CDC"/>
    <w:pPr>
      <w:numPr>
        <w:ilvl w:val="3"/>
        <w:numId w:val="6"/>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8"/>
      </w:numPr>
    </w:pPr>
  </w:style>
  <w:style w:type="paragraph" w:customStyle="1" w:styleId="Point1number">
    <w:name w:val="Point 1 (number)"/>
    <w:basedOn w:val="Normal"/>
    <w:rsid w:val="00A76CDC"/>
    <w:pPr>
      <w:numPr>
        <w:ilvl w:val="2"/>
        <w:numId w:val="8"/>
      </w:numPr>
      <w:outlineLvl w:val="0"/>
    </w:pPr>
  </w:style>
  <w:style w:type="paragraph" w:customStyle="1" w:styleId="Point2number">
    <w:name w:val="Point 2 (number)"/>
    <w:basedOn w:val="Normal"/>
    <w:rsid w:val="00A76CDC"/>
    <w:pPr>
      <w:numPr>
        <w:ilvl w:val="4"/>
        <w:numId w:val="8"/>
      </w:numPr>
      <w:outlineLvl w:val="1"/>
    </w:pPr>
  </w:style>
  <w:style w:type="paragraph" w:customStyle="1" w:styleId="Point3number">
    <w:name w:val="Point 3 (number)"/>
    <w:basedOn w:val="Normal"/>
    <w:rsid w:val="00A76CDC"/>
    <w:pPr>
      <w:numPr>
        <w:ilvl w:val="6"/>
        <w:numId w:val="8"/>
      </w:numPr>
      <w:outlineLvl w:val="2"/>
    </w:pPr>
  </w:style>
  <w:style w:type="paragraph" w:customStyle="1" w:styleId="Point0letter">
    <w:name w:val="Point 0 (letter)"/>
    <w:basedOn w:val="Normal"/>
    <w:rsid w:val="00A76CDC"/>
    <w:pPr>
      <w:numPr>
        <w:ilvl w:val="1"/>
        <w:numId w:val="8"/>
      </w:numPr>
    </w:pPr>
  </w:style>
  <w:style w:type="paragraph" w:customStyle="1" w:styleId="Point1letter">
    <w:name w:val="Point 1 (letter)"/>
    <w:basedOn w:val="Normal"/>
    <w:rsid w:val="00A76CDC"/>
    <w:pPr>
      <w:numPr>
        <w:ilvl w:val="3"/>
        <w:numId w:val="8"/>
      </w:numPr>
      <w:outlineLvl w:val="0"/>
    </w:pPr>
  </w:style>
  <w:style w:type="paragraph" w:customStyle="1" w:styleId="Point2letter">
    <w:name w:val="Point 2 (letter)"/>
    <w:basedOn w:val="Normal"/>
    <w:rsid w:val="00A76CDC"/>
    <w:pPr>
      <w:numPr>
        <w:ilvl w:val="5"/>
        <w:numId w:val="8"/>
      </w:numPr>
      <w:outlineLvl w:val="1"/>
    </w:pPr>
  </w:style>
  <w:style w:type="paragraph" w:customStyle="1" w:styleId="Point3letter">
    <w:name w:val="Point 3 (letter)"/>
    <w:basedOn w:val="Normal"/>
    <w:rsid w:val="00A76CDC"/>
    <w:pPr>
      <w:numPr>
        <w:ilvl w:val="7"/>
        <w:numId w:val="8"/>
      </w:numPr>
      <w:outlineLvl w:val="2"/>
    </w:pPr>
  </w:style>
  <w:style w:type="paragraph" w:customStyle="1" w:styleId="Point4letter">
    <w:name w:val="Point 4 (letter)"/>
    <w:basedOn w:val="Normal"/>
    <w:rsid w:val="00A76CDC"/>
    <w:pPr>
      <w:numPr>
        <w:ilvl w:val="8"/>
        <w:numId w:val="8"/>
      </w:numPr>
      <w:outlineLvl w:val="3"/>
    </w:pPr>
  </w:style>
  <w:style w:type="paragraph" w:customStyle="1" w:styleId="Bullet0">
    <w:name w:val="Bullet 0"/>
    <w:basedOn w:val="Normal"/>
    <w:rsid w:val="00A76CDC"/>
    <w:pPr>
      <w:numPr>
        <w:numId w:val="9"/>
      </w:numPr>
    </w:pPr>
  </w:style>
  <w:style w:type="paragraph" w:customStyle="1" w:styleId="Bullet1">
    <w:name w:val="Bullet 1"/>
    <w:basedOn w:val="Normal"/>
    <w:rsid w:val="00A76CDC"/>
    <w:pPr>
      <w:numPr>
        <w:numId w:val="10"/>
      </w:numPr>
      <w:outlineLvl w:val="0"/>
    </w:pPr>
  </w:style>
  <w:style w:type="paragraph" w:customStyle="1" w:styleId="Bullet2">
    <w:name w:val="Bullet 2"/>
    <w:basedOn w:val="Normal"/>
    <w:rsid w:val="00A76CDC"/>
    <w:pPr>
      <w:numPr>
        <w:numId w:val="11"/>
      </w:numPr>
      <w:outlineLvl w:val="1"/>
    </w:pPr>
  </w:style>
  <w:style w:type="paragraph" w:customStyle="1" w:styleId="Bullet3">
    <w:name w:val="Bullet 3"/>
    <w:basedOn w:val="Normal"/>
    <w:rsid w:val="00A76CDC"/>
    <w:pPr>
      <w:numPr>
        <w:numId w:val="12"/>
      </w:numPr>
      <w:outlineLvl w:val="2"/>
    </w:pPr>
  </w:style>
  <w:style w:type="paragraph" w:customStyle="1" w:styleId="Bullet4">
    <w:name w:val="Bullet 4"/>
    <w:basedOn w:val="Normal"/>
    <w:rsid w:val="00A76CDC"/>
    <w:pPr>
      <w:numPr>
        <w:numId w:val="13"/>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link w:val="TechnicalBlockChar"/>
    <w:rsid w:val="00D5059B"/>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 w:type="paragraph" w:customStyle="1" w:styleId="HeaderCouncilLarge">
    <w:name w:val="Header Council Large"/>
    <w:basedOn w:val="Normal"/>
    <w:link w:val="HeaderCouncilLargeChar"/>
    <w:rsid w:val="004A25A1"/>
    <w:pPr>
      <w:spacing w:before="0" w:after="440"/>
      <w:ind w:left="-1134" w:right="-1134"/>
    </w:pPr>
    <w:rPr>
      <w:sz w:val="2"/>
    </w:rPr>
  </w:style>
  <w:style w:type="character" w:customStyle="1" w:styleId="TechnicalBlockChar">
    <w:name w:val="Technical Block Char"/>
    <w:basedOn w:val="DefaultParagraphFont"/>
    <w:link w:val="TechnicalBlock"/>
    <w:rsid w:val="004A25A1"/>
    <w:rPr>
      <w:sz w:val="24"/>
      <w:szCs w:val="24"/>
      <w:lang w:val="en-GB" w:eastAsia="en-US"/>
    </w:rPr>
  </w:style>
  <w:style w:type="character" w:customStyle="1" w:styleId="HeaderCouncilLargeChar">
    <w:name w:val="Header Council Large Char"/>
    <w:basedOn w:val="TechnicalBlockChar"/>
    <w:link w:val="HeaderCouncilLarge"/>
    <w:rsid w:val="004A25A1"/>
    <w:rPr>
      <w:sz w:val="2"/>
      <w:szCs w:val="24"/>
      <w:lang w:val="en-GB" w:eastAsia="en-US"/>
    </w:rPr>
  </w:style>
  <w:style w:type="paragraph" w:customStyle="1" w:styleId="FooterText">
    <w:name w:val="Footer Text"/>
    <w:basedOn w:val="Normal"/>
    <w:rsid w:val="004A25A1"/>
    <w:pPr>
      <w:spacing w:before="0" w:after="0"/>
    </w:pPr>
  </w:style>
  <w:style w:type="paragraph" w:customStyle="1" w:styleId="FooterAddressText">
    <w:name w:val="Footer Address Text"/>
    <w:basedOn w:val="FooterText"/>
    <w:qFormat/>
    <w:rsid w:val="004A25A1"/>
    <w:pPr>
      <w:jc w:val="center"/>
    </w:pPr>
    <w:rPr>
      <w:spacing w:val="10"/>
      <w:sz w:val="16"/>
      <w:szCs w:val="16"/>
    </w:rPr>
  </w:style>
  <w:style w:type="character" w:styleId="Hyperlink">
    <w:name w:val="Hyperlink"/>
    <w:basedOn w:val="DefaultParagraphFont"/>
    <w:uiPriority w:val="99"/>
    <w:unhideWhenUsed/>
    <w:qFormat/>
    <w:rsid w:val="004A25A1"/>
    <w:rPr>
      <w:color w:val="0000FF" w:themeColor="hyperlink"/>
      <w:u w:val="single"/>
    </w:rPr>
  </w:style>
  <w:style w:type="paragraph" w:customStyle="1" w:styleId="HeaderText">
    <w:name w:val="Header Text"/>
    <w:basedOn w:val="Normal"/>
    <w:rsid w:val="004A25A1"/>
    <w:pPr>
      <w:spacing w:before="0" w:after="0"/>
    </w:pPr>
  </w:style>
  <w:style w:type="paragraph" w:styleId="ListParagraph">
    <w:name w:val="List Paragraph"/>
    <w:basedOn w:val="Normal"/>
    <w:uiPriority w:val="34"/>
    <w:qFormat/>
    <w:rsid w:val="006B0A6B"/>
    <w:pPr>
      <w:spacing w:before="0" w:after="0" w:line="360" w:lineRule="auto"/>
      <w:ind w:left="720"/>
      <w:contextualSpacing/>
    </w:pPr>
    <w:rPr>
      <w:rFonts w:eastAsiaTheme="minorHAnsi" w:cstheme="minorBidi"/>
      <w:szCs w:val="22"/>
      <w:lang w:val="en-US"/>
    </w:rPr>
  </w:style>
  <w:style w:type="character" w:customStyle="1" w:styleId="Heading2Char">
    <w:name w:val="Heading 2 Char"/>
    <w:link w:val="Heading2"/>
    <w:rsid w:val="0093143B"/>
    <w:rPr>
      <w:b/>
      <w:bCs/>
      <w:iCs/>
      <w:sz w:val="24"/>
      <w:szCs w:val="28"/>
      <w:lang w:val="en-GB" w:eastAsia="en-US"/>
    </w:rPr>
  </w:style>
  <w:style w:type="character" w:styleId="FollowedHyperlink">
    <w:name w:val="FollowedHyperlink"/>
    <w:basedOn w:val="DefaultParagraphFont"/>
    <w:uiPriority w:val="99"/>
    <w:semiHidden/>
    <w:unhideWhenUsed/>
    <w:rsid w:val="00BD4545"/>
    <w:rPr>
      <w:color w:val="800080" w:themeColor="followedHyperlink"/>
      <w:u w:val="single"/>
    </w:rPr>
  </w:style>
  <w:style w:type="paragraph" w:styleId="NormalWeb">
    <w:name w:val="Normal (Web)"/>
    <w:basedOn w:val="Normal"/>
    <w:uiPriority w:val="99"/>
    <w:semiHidden/>
    <w:unhideWhenUsed/>
    <w:rsid w:val="006F2E77"/>
    <w:pPr>
      <w:spacing w:before="100" w:beforeAutospacing="1" w:after="300"/>
    </w:pPr>
    <w:rPr>
      <w:lang w:eastAsia="en-GB"/>
    </w:rPr>
  </w:style>
  <w:style w:type="character" w:styleId="Strong">
    <w:name w:val="Strong"/>
    <w:basedOn w:val="DefaultParagraphFont"/>
    <w:uiPriority w:val="22"/>
    <w:qFormat/>
    <w:rsid w:val="006F2E77"/>
    <w:rPr>
      <w:b/>
      <w:bCs/>
    </w:rPr>
  </w:style>
  <w:style w:type="character" w:styleId="CommentReference">
    <w:name w:val="annotation reference"/>
    <w:basedOn w:val="DefaultParagraphFont"/>
    <w:uiPriority w:val="99"/>
    <w:semiHidden/>
    <w:unhideWhenUsed/>
    <w:rsid w:val="00386422"/>
    <w:rPr>
      <w:sz w:val="16"/>
      <w:szCs w:val="16"/>
    </w:rPr>
  </w:style>
  <w:style w:type="paragraph" w:styleId="CommentText">
    <w:name w:val="annotation text"/>
    <w:basedOn w:val="Normal"/>
    <w:link w:val="CommentTextChar"/>
    <w:uiPriority w:val="99"/>
    <w:semiHidden/>
    <w:unhideWhenUsed/>
    <w:rsid w:val="00386422"/>
    <w:rPr>
      <w:sz w:val="20"/>
      <w:szCs w:val="20"/>
    </w:rPr>
  </w:style>
  <w:style w:type="character" w:customStyle="1" w:styleId="CommentTextChar">
    <w:name w:val="Comment Text Char"/>
    <w:basedOn w:val="DefaultParagraphFont"/>
    <w:link w:val="CommentText"/>
    <w:uiPriority w:val="99"/>
    <w:semiHidden/>
    <w:rsid w:val="00386422"/>
    <w:rPr>
      <w:lang w:val="en-GB" w:eastAsia="en-US"/>
    </w:rPr>
  </w:style>
  <w:style w:type="paragraph" w:styleId="CommentSubject">
    <w:name w:val="annotation subject"/>
    <w:basedOn w:val="CommentText"/>
    <w:next w:val="CommentText"/>
    <w:link w:val="CommentSubjectChar"/>
    <w:uiPriority w:val="99"/>
    <w:semiHidden/>
    <w:unhideWhenUsed/>
    <w:rsid w:val="00386422"/>
    <w:rPr>
      <w:b/>
      <w:bCs/>
    </w:rPr>
  </w:style>
  <w:style w:type="character" w:customStyle="1" w:styleId="CommentSubjectChar">
    <w:name w:val="Comment Subject Char"/>
    <w:basedOn w:val="CommentTextChar"/>
    <w:link w:val="CommentSubject"/>
    <w:uiPriority w:val="99"/>
    <w:semiHidden/>
    <w:rsid w:val="00386422"/>
    <w:rPr>
      <w:b/>
      <w:bCs/>
      <w:lang w:val="en-GB" w:eastAsia="en-US"/>
    </w:rPr>
  </w:style>
  <w:style w:type="paragraph" w:styleId="BalloonText">
    <w:name w:val="Balloon Text"/>
    <w:basedOn w:val="Normal"/>
    <w:link w:val="BalloonTextChar"/>
    <w:uiPriority w:val="99"/>
    <w:semiHidden/>
    <w:unhideWhenUsed/>
    <w:rsid w:val="006A626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266"/>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564740">
      <w:bodyDiv w:val="1"/>
      <w:marLeft w:val="0"/>
      <w:marRight w:val="0"/>
      <w:marTop w:val="0"/>
      <w:marBottom w:val="0"/>
      <w:divBdr>
        <w:top w:val="none" w:sz="0" w:space="0" w:color="auto"/>
        <w:left w:val="none" w:sz="0" w:space="0" w:color="auto"/>
        <w:bottom w:val="none" w:sz="0" w:space="0" w:color="auto"/>
        <w:right w:val="none" w:sz="0" w:space="0" w:color="auto"/>
      </w:divBdr>
      <w:divsChild>
        <w:div w:id="1208377809">
          <w:marLeft w:val="0"/>
          <w:marRight w:val="0"/>
          <w:marTop w:val="0"/>
          <w:marBottom w:val="0"/>
          <w:divBdr>
            <w:top w:val="none" w:sz="0" w:space="0" w:color="auto"/>
            <w:left w:val="none" w:sz="0" w:space="0" w:color="auto"/>
            <w:bottom w:val="none" w:sz="0" w:space="0" w:color="auto"/>
            <w:right w:val="none" w:sz="0" w:space="0" w:color="auto"/>
          </w:divBdr>
          <w:divsChild>
            <w:div w:id="1672177243">
              <w:marLeft w:val="0"/>
              <w:marRight w:val="0"/>
              <w:marTop w:val="0"/>
              <w:marBottom w:val="0"/>
              <w:divBdr>
                <w:top w:val="none" w:sz="0" w:space="0" w:color="auto"/>
                <w:left w:val="none" w:sz="0" w:space="0" w:color="auto"/>
                <w:bottom w:val="none" w:sz="0" w:space="0" w:color="auto"/>
                <w:right w:val="none" w:sz="0" w:space="0" w:color="auto"/>
              </w:divBdr>
              <w:divsChild>
                <w:div w:id="964043120">
                  <w:marLeft w:val="0"/>
                  <w:marRight w:val="0"/>
                  <w:marTop w:val="0"/>
                  <w:marBottom w:val="0"/>
                  <w:divBdr>
                    <w:top w:val="none" w:sz="0" w:space="0" w:color="auto"/>
                    <w:left w:val="none" w:sz="0" w:space="0" w:color="auto"/>
                    <w:bottom w:val="none" w:sz="0" w:space="0" w:color="auto"/>
                    <w:right w:val="none" w:sz="0" w:space="0" w:color="auto"/>
                  </w:divBdr>
                  <w:divsChild>
                    <w:div w:id="1192844332">
                      <w:marLeft w:val="0"/>
                      <w:marRight w:val="0"/>
                      <w:marTop w:val="0"/>
                      <w:marBottom w:val="0"/>
                      <w:divBdr>
                        <w:top w:val="none" w:sz="0" w:space="0" w:color="auto"/>
                        <w:left w:val="none" w:sz="0" w:space="0" w:color="auto"/>
                        <w:bottom w:val="none" w:sz="0" w:space="0" w:color="auto"/>
                        <w:right w:val="none" w:sz="0" w:space="0" w:color="auto"/>
                      </w:divBdr>
                      <w:divsChild>
                        <w:div w:id="113529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146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data.consilium.europa.eu/doc/document/ST-9340-2015-INIT/en/pdf" TargetMode="External"/><Relationship Id="rId26" Type="http://schemas.openxmlformats.org/officeDocument/2006/relationships/hyperlink" Target="http://data.consilium.europa.eu/doc/document/ST-9351-2015-INIT/en/pdf" TargetMode="External"/><Relationship Id="rId39" Type="http://schemas.openxmlformats.org/officeDocument/2006/relationships/hyperlink" Target="http://data.consilium.europa.eu/doc/document/ST-8778-2015-INIT/en/pdf" TargetMode="External"/><Relationship Id="rId3" Type="http://schemas.microsoft.com/office/2007/relationships/stylesWithEffects" Target="stylesWithEffects.xml"/><Relationship Id="rId21" Type="http://schemas.openxmlformats.org/officeDocument/2006/relationships/hyperlink" Target="http://www.consilium.europa.eu/en/press/press-releases/2015/05/28-compet-travel-package/" TargetMode="External"/><Relationship Id="rId34" Type="http://schemas.openxmlformats.org/officeDocument/2006/relationships/hyperlink" Target="http://data.consilium.europa.eu/doc/document/ST-9107-2015-INIT/en/pdf" TargetMode="External"/><Relationship Id="rId42" Type="http://schemas.openxmlformats.org/officeDocument/2006/relationships/hyperlink" Target="http://data.consilium.europa.eu/doc/document/PE-17-2015-INIT/en/pdf" TargetMode="External"/><Relationship Id="rId47" Type="http://schemas.openxmlformats.org/officeDocument/2006/relationships/hyperlink" Target="http://data.consilium.europa.eu/doc/document/ST-17094-2014-INIT/en/pdf" TargetMode="External"/><Relationship Id="rId50" Type="http://schemas.openxmlformats.org/officeDocument/2006/relationships/hyperlink" Target="http://data.consilium.europa.eu/doc/document/ST-8160-2015-INIT/en/pdf"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http://data.consilium.europa.eu/doc/document/ST-1208-2015-INIT/en/pdf" TargetMode="External"/><Relationship Id="rId33" Type="http://schemas.openxmlformats.org/officeDocument/2006/relationships/hyperlink" Target="http://www.consilium.europa.eu/en/press/press-releases/2015/04/21-trade-marks-reform-presidency-secures-provisional-agreement/" TargetMode="External"/><Relationship Id="rId38" Type="http://schemas.openxmlformats.org/officeDocument/2006/relationships/hyperlink" Target="http://www.eu2015lu.eu/" TargetMode="External"/><Relationship Id="rId46" Type="http://schemas.openxmlformats.org/officeDocument/2006/relationships/hyperlink" Target="http://data.consilium.europa.eu/doc/document/ST-17094-2014-COR-1/en/pdf" TargetMode="Externa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yperlink" Target="http://data.consilium.europa.eu/doc/document/ST-6715-2015-INIT/en/pdf" TargetMode="External"/><Relationship Id="rId29" Type="http://schemas.openxmlformats.org/officeDocument/2006/relationships/hyperlink" Target="http://ec.europa.eu/research/innovation-union/index_en.cfm?pg=intro" TargetMode="External"/><Relationship Id="rId41" Type="http://schemas.openxmlformats.org/officeDocument/2006/relationships/hyperlink" Target="http://data.consilium.europa.eu/doc/document/PE-16-2015-INIT/en/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consilium.europa.eu/en/press/press-releases/2015/05/28-29-compet-single-member-private-companies/" TargetMode="External"/><Relationship Id="rId32" Type="http://schemas.openxmlformats.org/officeDocument/2006/relationships/hyperlink" Target="http://data.consilium.europa.eu/doc/document/ST-6409-2015-INIT/en/pdf" TargetMode="External"/><Relationship Id="rId37" Type="http://schemas.openxmlformats.org/officeDocument/2006/relationships/hyperlink" Target="http://data.consilium.europa.eu/doc/document/ST-8061-2015-INIT/en/pdf" TargetMode="External"/><Relationship Id="rId40" Type="http://schemas.openxmlformats.org/officeDocument/2006/relationships/hyperlink" Target="http://data.consilium.europa.eu/doc/document/PE-14-2015-INIT/en/pdf" TargetMode="External"/><Relationship Id="rId45" Type="http://schemas.openxmlformats.org/officeDocument/2006/relationships/hyperlink" Target="http://data.consilium.europa.eu/doc/document/ST-8120-2015-INIT/en/pdf"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data.consilium.europa.eu/doc/document/ST-9050-2015-INIT/en/pdf" TargetMode="External"/><Relationship Id="rId28" Type="http://schemas.openxmlformats.org/officeDocument/2006/relationships/hyperlink" Target="http://data.consilium.europa.eu/doc/document/ST-9342-2015-INIT/en/pdf" TargetMode="External"/><Relationship Id="rId36" Type="http://schemas.openxmlformats.org/officeDocument/2006/relationships/hyperlink" Target="http://eeas.europa.eu/csdp/documents/pdf/report-ahead_european-defence-agency.pdf" TargetMode="External"/><Relationship Id="rId49" Type="http://schemas.openxmlformats.org/officeDocument/2006/relationships/hyperlink" Target="http://data.consilium.europa.eu/doc/document/ST-8296-2015-INIT/en/pdf" TargetMode="External"/><Relationship Id="rId10" Type="http://schemas.openxmlformats.org/officeDocument/2006/relationships/header" Target="header2.xml"/><Relationship Id="rId19" Type="http://schemas.openxmlformats.org/officeDocument/2006/relationships/hyperlink" Target="http://data.consilium.europa.eu/doc/document/ST-8672-2015-INIT/en/pdf" TargetMode="External"/><Relationship Id="rId31" Type="http://schemas.openxmlformats.org/officeDocument/2006/relationships/hyperlink" Target="http://ec.europa.eu/research/consultations/science-2.0/science_2_0_final_report.pdf" TargetMode="External"/><Relationship Id="rId44" Type="http://schemas.openxmlformats.org/officeDocument/2006/relationships/hyperlink" Target="http://data.consilium.europa.eu/doc/document/ST-8674-2015-INIT/en/pdf"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ec.europa.eu/DocsRoom/documents/10125/attachments/1/translations/en/renditions/native" TargetMode="External"/><Relationship Id="rId27" Type="http://schemas.openxmlformats.org/officeDocument/2006/relationships/hyperlink" Target="http://www.consilium.europa.eu/uedocs/cms_data/docs/pressdata/en/intm/141120.pdf" TargetMode="External"/><Relationship Id="rId30" Type="http://schemas.openxmlformats.org/officeDocument/2006/relationships/hyperlink" Target="http://data.consilium.europa.eu/doc/document/ST-9360-2015-INIT/en/pdf" TargetMode="External"/><Relationship Id="rId35" Type="http://schemas.openxmlformats.org/officeDocument/2006/relationships/hyperlink" Target="http://ec.europa.eu/growth/sectors/defence/files/communication-implementation-report_en.pdf" TargetMode="External"/><Relationship Id="rId43" Type="http://schemas.openxmlformats.org/officeDocument/2006/relationships/hyperlink" Target="http://data.consilium.europa.eu/doc/document/PE-18-2015-INIT/en/pdf" TargetMode="External"/><Relationship Id="rId48" Type="http://schemas.openxmlformats.org/officeDocument/2006/relationships/hyperlink" Target="http://data.consilium.europa.eu/doc/document/ST-17094-2014-ADD-1/en/pdf" TargetMode="External"/><Relationship Id="rId8" Type="http://schemas.openxmlformats.org/officeDocument/2006/relationships/image" Target="media/image1.emf"/><Relationship Id="rId51"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DW_PRMEET.dotm</Template>
  <TotalTime>28</TotalTime>
  <Pages>19</Pages>
  <Words>3910</Words>
  <Characters>22292</Characters>
  <Application>Microsoft Office Word</Application>
  <DocSecurity>0</DocSecurity>
  <Lines>412</Lines>
  <Paragraphs>242</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25960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KUKULSKIS Vladas</dc:creator>
  <cp:lastModifiedBy>ARTO HIJOS Maria Jose</cp:lastModifiedBy>
  <cp:revision>17</cp:revision>
  <cp:lastPrinted>2015-09-07T15:00:00Z</cp:lastPrinted>
  <dcterms:created xsi:type="dcterms:W3CDTF">2015-06-04T13:28:00Z</dcterms:created>
  <dcterms:modified xsi:type="dcterms:W3CDTF">2015-09-07T15:00:00Z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3.5.3, Build 20150508</vt:lpwstr>
  </property>
  <property fmtid="{D5CDD505-2E9C-101B-9397-08002B2CF9AE}" pid="4" name="Last edited using">
    <vt:lpwstr>DocuWrite 3.6.6, Build 20150723</vt:lpwstr>
  </property>
  <property fmtid="{D5CDD505-2E9C-101B-9397-08002B2CF9AE}" pid="5" name="SkipControlLengthPage">
    <vt:lpwstr> p.2</vt:lpwstr>
  </property>
</Properties>
</file>