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2E6" w:rsidRPr="00613C7B" w:rsidRDefault="00613C7B" w:rsidP="00613C7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5c982a9-9666-4f9e-bdbc-06238cf341b0_0" style="width:573.75pt;height:437.25pt">
            <v:imagedata r:id="rId8" o:title=""/>
          </v:shape>
        </w:pict>
      </w:r>
      <w:bookmarkEnd w:id="0"/>
    </w:p>
    <w:p w:rsidR="00E0108A" w:rsidRPr="00612514" w:rsidRDefault="00E0108A" w:rsidP="00E0108A">
      <w:pPr>
        <w:pStyle w:val="TechnicalBlock"/>
        <w:ind w:left="-1134" w:right="-1134"/>
        <w:sectPr w:rsidR="00E0108A" w:rsidRPr="00612514" w:rsidSect="00613C7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9A56FC" w:rsidRPr="00612514" w:rsidRDefault="00237579" w:rsidP="00237579">
      <w:pPr>
        <w:pStyle w:val="TOCHeading"/>
      </w:pPr>
      <w:r w:rsidRPr="00612514">
        <w:lastRenderedPageBreak/>
        <w:t>CONTENTS</w:t>
      </w:r>
      <w:r w:rsidRPr="00612514">
        <w:rPr>
          <w:vertAlign w:val="superscript"/>
        </w:rPr>
        <w:t>1</w:t>
      </w:r>
    </w:p>
    <w:p w:rsidR="00237579" w:rsidRPr="00612514" w:rsidRDefault="00237579" w:rsidP="00237579">
      <w:pPr>
        <w:pStyle w:val="TOC5"/>
      </w:pPr>
      <w:r w:rsidRPr="00612514">
        <w:t>ITEMS DEBATED</w:t>
      </w:r>
    </w:p>
    <w:p w:rsidR="00237579" w:rsidRPr="00612514" w:rsidRDefault="00237579" w:rsidP="00237579">
      <w:pPr>
        <w:pStyle w:val="TOC6"/>
        <w:rPr>
          <w:rFonts w:asciiTheme="minorHAnsi" w:eastAsiaTheme="minorEastAsia" w:hAnsiTheme="minorHAnsi" w:cstheme="minorBidi"/>
          <w:noProof/>
          <w:sz w:val="22"/>
          <w:szCs w:val="22"/>
          <w:lang w:eastAsia="en-GB"/>
        </w:rPr>
      </w:pPr>
      <w:r w:rsidRPr="00612514">
        <w:rPr>
          <w:noProof/>
        </w:rPr>
        <w:t>JUSTICE</w:t>
      </w:r>
      <w:r w:rsidRPr="00612514">
        <w:rPr>
          <w:noProof/>
        </w:rPr>
        <w:tab/>
      </w:r>
      <w:r w:rsidRPr="00612514">
        <w:rPr>
          <w:noProof/>
        </w:rPr>
        <w:fldChar w:fldCharType="begin"/>
      </w:r>
      <w:r w:rsidRPr="00612514">
        <w:rPr>
          <w:noProof/>
        </w:rPr>
        <w:instrText xml:space="preserve"> PAGEREF \h _Toc422247034 \* MERGEFORMAT </w:instrText>
      </w:r>
      <w:r w:rsidRPr="00612514">
        <w:rPr>
          <w:noProof/>
        </w:rPr>
      </w:r>
      <w:r w:rsidRPr="00612514">
        <w:rPr>
          <w:noProof/>
        </w:rPr>
        <w:fldChar w:fldCharType="separate"/>
      </w:r>
      <w:r w:rsidR="00613C7B">
        <w:rPr>
          <w:noProof/>
        </w:rPr>
        <w:t>3</w:t>
      </w:r>
      <w:r w:rsidRPr="00612514">
        <w:rPr>
          <w:noProof/>
        </w:rPr>
        <w:fldChar w:fldCharType="end"/>
      </w:r>
    </w:p>
    <w:p w:rsidR="00237579" w:rsidRPr="00612514" w:rsidRDefault="00237579" w:rsidP="00237579">
      <w:pPr>
        <w:pStyle w:val="TOC6"/>
        <w:rPr>
          <w:rFonts w:asciiTheme="minorHAnsi" w:eastAsiaTheme="minorEastAsia" w:hAnsiTheme="minorHAnsi" w:cstheme="minorBidi"/>
          <w:noProof/>
          <w:sz w:val="22"/>
          <w:szCs w:val="22"/>
          <w:lang w:eastAsia="en-GB"/>
        </w:rPr>
      </w:pPr>
      <w:r w:rsidRPr="00612514">
        <w:rPr>
          <w:noProof/>
        </w:rPr>
        <w:t>Data protection</w:t>
      </w:r>
      <w:r w:rsidRPr="00612514">
        <w:rPr>
          <w:noProof/>
        </w:rPr>
        <w:tab/>
      </w:r>
      <w:r w:rsidRPr="00612514">
        <w:rPr>
          <w:noProof/>
        </w:rPr>
        <w:fldChar w:fldCharType="begin"/>
      </w:r>
      <w:r w:rsidRPr="00612514">
        <w:rPr>
          <w:noProof/>
        </w:rPr>
        <w:instrText xml:space="preserve"> PAGEREF \h _Toc422247035 \* MERGEFORMAT </w:instrText>
      </w:r>
      <w:r w:rsidRPr="00612514">
        <w:rPr>
          <w:noProof/>
        </w:rPr>
      </w:r>
      <w:r w:rsidRPr="00612514">
        <w:rPr>
          <w:noProof/>
        </w:rPr>
        <w:fldChar w:fldCharType="separate"/>
      </w:r>
      <w:r w:rsidR="00613C7B">
        <w:rPr>
          <w:noProof/>
        </w:rPr>
        <w:t>3</w:t>
      </w:r>
      <w:r w:rsidRPr="00612514">
        <w:rPr>
          <w:noProof/>
        </w:rPr>
        <w:fldChar w:fldCharType="end"/>
      </w:r>
    </w:p>
    <w:p w:rsidR="00237579" w:rsidRPr="00612514" w:rsidRDefault="00237579" w:rsidP="00237579">
      <w:pPr>
        <w:pStyle w:val="TOC6"/>
        <w:rPr>
          <w:rFonts w:asciiTheme="minorHAnsi" w:eastAsiaTheme="minorEastAsia" w:hAnsiTheme="minorHAnsi" w:cstheme="minorBidi"/>
          <w:noProof/>
          <w:sz w:val="22"/>
          <w:szCs w:val="22"/>
          <w:lang w:eastAsia="en-GB"/>
        </w:rPr>
      </w:pPr>
      <w:r w:rsidRPr="00612514">
        <w:rPr>
          <w:noProof/>
        </w:rPr>
        <w:t>Free movement of public documents</w:t>
      </w:r>
      <w:r w:rsidRPr="00612514">
        <w:rPr>
          <w:noProof/>
        </w:rPr>
        <w:tab/>
      </w:r>
      <w:r w:rsidRPr="00612514">
        <w:rPr>
          <w:noProof/>
        </w:rPr>
        <w:fldChar w:fldCharType="begin"/>
      </w:r>
      <w:r w:rsidRPr="00612514">
        <w:rPr>
          <w:noProof/>
        </w:rPr>
        <w:instrText xml:space="preserve"> PAGEREF \h _Toc422247036 \* MERGEFORMAT </w:instrText>
      </w:r>
      <w:r w:rsidRPr="00612514">
        <w:rPr>
          <w:noProof/>
        </w:rPr>
      </w:r>
      <w:r w:rsidRPr="00612514">
        <w:rPr>
          <w:noProof/>
        </w:rPr>
        <w:fldChar w:fldCharType="separate"/>
      </w:r>
      <w:r w:rsidR="00613C7B">
        <w:rPr>
          <w:noProof/>
        </w:rPr>
        <w:t>4</w:t>
      </w:r>
      <w:r w:rsidRPr="00612514">
        <w:rPr>
          <w:noProof/>
        </w:rPr>
        <w:fldChar w:fldCharType="end"/>
      </w:r>
    </w:p>
    <w:p w:rsidR="00237579" w:rsidRPr="00612514" w:rsidRDefault="00237579" w:rsidP="00237579">
      <w:pPr>
        <w:pStyle w:val="TOC6"/>
        <w:rPr>
          <w:rFonts w:asciiTheme="minorHAnsi" w:eastAsiaTheme="minorEastAsia" w:hAnsiTheme="minorHAnsi" w:cstheme="minorBidi"/>
          <w:noProof/>
          <w:sz w:val="22"/>
          <w:szCs w:val="22"/>
          <w:lang w:eastAsia="en-GB"/>
        </w:rPr>
      </w:pPr>
      <w:r w:rsidRPr="00612514">
        <w:rPr>
          <w:noProof/>
        </w:rPr>
        <w:t>European Public Prosecutor’s Office</w:t>
      </w:r>
      <w:r w:rsidRPr="00612514">
        <w:rPr>
          <w:noProof/>
        </w:rPr>
        <w:tab/>
      </w:r>
      <w:r w:rsidRPr="00612514">
        <w:rPr>
          <w:noProof/>
        </w:rPr>
        <w:fldChar w:fldCharType="begin"/>
      </w:r>
      <w:r w:rsidRPr="00612514">
        <w:rPr>
          <w:noProof/>
        </w:rPr>
        <w:instrText xml:space="preserve"> PAGEREF \h _Toc422247037 \* MERGEFORMAT </w:instrText>
      </w:r>
      <w:r w:rsidRPr="00612514">
        <w:rPr>
          <w:noProof/>
        </w:rPr>
      </w:r>
      <w:r w:rsidRPr="00612514">
        <w:rPr>
          <w:noProof/>
        </w:rPr>
        <w:fldChar w:fldCharType="separate"/>
      </w:r>
      <w:r w:rsidR="00613C7B">
        <w:rPr>
          <w:noProof/>
        </w:rPr>
        <w:t>5</w:t>
      </w:r>
      <w:r w:rsidRPr="00612514">
        <w:rPr>
          <w:noProof/>
        </w:rPr>
        <w:fldChar w:fldCharType="end"/>
      </w:r>
    </w:p>
    <w:p w:rsidR="00237579" w:rsidRPr="00612514" w:rsidRDefault="00237579" w:rsidP="00237579">
      <w:pPr>
        <w:pStyle w:val="TOC6"/>
        <w:rPr>
          <w:rFonts w:asciiTheme="minorHAnsi" w:eastAsiaTheme="minorEastAsia" w:hAnsiTheme="minorHAnsi" w:cstheme="minorBidi"/>
          <w:noProof/>
          <w:sz w:val="22"/>
          <w:szCs w:val="22"/>
          <w:lang w:eastAsia="en-GB"/>
        </w:rPr>
      </w:pPr>
      <w:r w:rsidRPr="00612514">
        <w:rPr>
          <w:noProof/>
        </w:rPr>
        <w:t>HOME AFFAIRS</w:t>
      </w:r>
      <w:r w:rsidRPr="00612514">
        <w:rPr>
          <w:noProof/>
        </w:rPr>
        <w:tab/>
      </w:r>
      <w:r w:rsidRPr="00612514">
        <w:rPr>
          <w:noProof/>
        </w:rPr>
        <w:fldChar w:fldCharType="begin"/>
      </w:r>
      <w:r w:rsidRPr="00612514">
        <w:rPr>
          <w:noProof/>
        </w:rPr>
        <w:instrText xml:space="preserve"> PAGEREF \h _Toc422247038 \* MERGEFORMAT </w:instrText>
      </w:r>
      <w:r w:rsidRPr="00612514">
        <w:rPr>
          <w:noProof/>
        </w:rPr>
      </w:r>
      <w:r w:rsidRPr="00612514">
        <w:rPr>
          <w:noProof/>
        </w:rPr>
        <w:fldChar w:fldCharType="separate"/>
      </w:r>
      <w:r w:rsidR="00613C7B">
        <w:rPr>
          <w:noProof/>
        </w:rPr>
        <w:t>6</w:t>
      </w:r>
      <w:r w:rsidRPr="00612514">
        <w:rPr>
          <w:noProof/>
        </w:rPr>
        <w:fldChar w:fldCharType="end"/>
      </w:r>
    </w:p>
    <w:p w:rsidR="00237579" w:rsidRPr="00612514" w:rsidRDefault="00237579" w:rsidP="00237579">
      <w:pPr>
        <w:pStyle w:val="TOC6"/>
        <w:rPr>
          <w:rFonts w:asciiTheme="minorHAnsi" w:eastAsiaTheme="minorEastAsia" w:hAnsiTheme="minorHAnsi" w:cstheme="minorBidi"/>
          <w:noProof/>
          <w:sz w:val="22"/>
          <w:szCs w:val="22"/>
          <w:lang w:eastAsia="en-GB"/>
        </w:rPr>
      </w:pPr>
      <w:r w:rsidRPr="00612514">
        <w:rPr>
          <w:noProof/>
        </w:rPr>
        <w:t>Migratory issues</w:t>
      </w:r>
      <w:r w:rsidRPr="00612514">
        <w:rPr>
          <w:noProof/>
        </w:rPr>
        <w:tab/>
      </w:r>
      <w:r w:rsidRPr="00612514">
        <w:rPr>
          <w:noProof/>
        </w:rPr>
        <w:fldChar w:fldCharType="begin"/>
      </w:r>
      <w:r w:rsidRPr="00612514">
        <w:rPr>
          <w:noProof/>
        </w:rPr>
        <w:instrText xml:space="preserve"> PAGEREF \h _Toc422247039 \* MERGEFORMAT </w:instrText>
      </w:r>
      <w:r w:rsidRPr="00612514">
        <w:rPr>
          <w:noProof/>
        </w:rPr>
      </w:r>
      <w:r w:rsidRPr="00612514">
        <w:rPr>
          <w:noProof/>
        </w:rPr>
        <w:fldChar w:fldCharType="separate"/>
      </w:r>
      <w:r w:rsidR="00613C7B">
        <w:rPr>
          <w:noProof/>
        </w:rPr>
        <w:t>6</w:t>
      </w:r>
      <w:r w:rsidRPr="00612514">
        <w:rPr>
          <w:noProof/>
        </w:rPr>
        <w:fldChar w:fldCharType="end"/>
      </w:r>
    </w:p>
    <w:p w:rsidR="00237579" w:rsidRPr="00612514" w:rsidRDefault="00237579" w:rsidP="00237579">
      <w:pPr>
        <w:pStyle w:val="TOC6"/>
        <w:rPr>
          <w:rFonts w:asciiTheme="minorHAnsi" w:eastAsiaTheme="minorEastAsia" w:hAnsiTheme="minorHAnsi" w:cstheme="minorBidi"/>
          <w:noProof/>
          <w:sz w:val="22"/>
          <w:szCs w:val="22"/>
          <w:lang w:eastAsia="en-GB"/>
        </w:rPr>
      </w:pPr>
      <w:r w:rsidRPr="00612514">
        <w:rPr>
          <w:noProof/>
        </w:rPr>
        <w:t>Fight against terrorism</w:t>
      </w:r>
      <w:r w:rsidRPr="00612514">
        <w:rPr>
          <w:noProof/>
        </w:rPr>
        <w:tab/>
      </w:r>
      <w:r w:rsidRPr="00612514">
        <w:rPr>
          <w:noProof/>
        </w:rPr>
        <w:fldChar w:fldCharType="begin"/>
      </w:r>
      <w:r w:rsidRPr="00612514">
        <w:rPr>
          <w:noProof/>
        </w:rPr>
        <w:instrText xml:space="preserve"> PAGEREF \h _Toc422247040 \* MERGEFORMAT </w:instrText>
      </w:r>
      <w:r w:rsidRPr="00612514">
        <w:rPr>
          <w:noProof/>
        </w:rPr>
      </w:r>
      <w:r w:rsidRPr="00612514">
        <w:rPr>
          <w:noProof/>
        </w:rPr>
        <w:fldChar w:fldCharType="separate"/>
      </w:r>
      <w:r w:rsidR="00613C7B">
        <w:rPr>
          <w:noProof/>
        </w:rPr>
        <w:t>7</w:t>
      </w:r>
      <w:r w:rsidRPr="00612514">
        <w:rPr>
          <w:noProof/>
        </w:rPr>
        <w:fldChar w:fldCharType="end"/>
      </w:r>
    </w:p>
    <w:p w:rsidR="00237579" w:rsidRPr="00612514" w:rsidRDefault="00237579" w:rsidP="00237579">
      <w:pPr>
        <w:pStyle w:val="TOC6"/>
        <w:rPr>
          <w:rFonts w:asciiTheme="minorHAnsi" w:eastAsiaTheme="minorEastAsia" w:hAnsiTheme="minorHAnsi" w:cstheme="minorBidi"/>
          <w:noProof/>
          <w:sz w:val="22"/>
          <w:szCs w:val="22"/>
          <w:lang w:eastAsia="en-GB"/>
        </w:rPr>
      </w:pPr>
      <w:r w:rsidRPr="00612514">
        <w:rPr>
          <w:noProof/>
        </w:rPr>
        <w:t>Renewed European Union Internal Security Strategy</w:t>
      </w:r>
      <w:r w:rsidRPr="00612514">
        <w:rPr>
          <w:noProof/>
        </w:rPr>
        <w:tab/>
      </w:r>
      <w:r w:rsidRPr="00612514">
        <w:rPr>
          <w:noProof/>
        </w:rPr>
        <w:fldChar w:fldCharType="begin"/>
      </w:r>
      <w:r w:rsidRPr="00612514">
        <w:rPr>
          <w:noProof/>
        </w:rPr>
        <w:instrText xml:space="preserve"> PAGEREF \h _Toc422247041 \* MERGEFORMAT </w:instrText>
      </w:r>
      <w:r w:rsidRPr="00612514">
        <w:rPr>
          <w:noProof/>
        </w:rPr>
      </w:r>
      <w:r w:rsidRPr="00612514">
        <w:rPr>
          <w:noProof/>
        </w:rPr>
        <w:fldChar w:fldCharType="separate"/>
      </w:r>
      <w:r w:rsidR="00613C7B">
        <w:rPr>
          <w:noProof/>
        </w:rPr>
        <w:t>8</w:t>
      </w:r>
      <w:r w:rsidRPr="00612514">
        <w:rPr>
          <w:noProof/>
        </w:rPr>
        <w:fldChar w:fldCharType="end"/>
      </w:r>
    </w:p>
    <w:p w:rsidR="00237579" w:rsidRPr="00612514" w:rsidRDefault="00237579" w:rsidP="00237579">
      <w:pPr>
        <w:pStyle w:val="TOC6"/>
      </w:pPr>
      <w:r w:rsidRPr="00612514">
        <w:rPr>
          <w:noProof/>
        </w:rPr>
        <w:t>Any other business</w:t>
      </w:r>
      <w:r w:rsidRPr="00612514">
        <w:rPr>
          <w:noProof/>
        </w:rPr>
        <w:tab/>
      </w:r>
      <w:r w:rsidRPr="00612514">
        <w:rPr>
          <w:noProof/>
        </w:rPr>
        <w:fldChar w:fldCharType="begin"/>
      </w:r>
      <w:r w:rsidRPr="00612514">
        <w:rPr>
          <w:noProof/>
        </w:rPr>
        <w:instrText xml:space="preserve"> PAGEREF \h _Toc422247042 \* MERGEFORMAT </w:instrText>
      </w:r>
      <w:r w:rsidRPr="00612514">
        <w:rPr>
          <w:noProof/>
        </w:rPr>
      </w:r>
      <w:r w:rsidRPr="00612514">
        <w:rPr>
          <w:noProof/>
        </w:rPr>
        <w:fldChar w:fldCharType="separate"/>
      </w:r>
      <w:r w:rsidR="00613C7B">
        <w:rPr>
          <w:noProof/>
        </w:rPr>
        <w:t>9</w:t>
      </w:r>
      <w:r w:rsidRPr="00612514">
        <w:rPr>
          <w:noProof/>
        </w:rPr>
        <w:fldChar w:fldCharType="end"/>
      </w:r>
    </w:p>
    <w:p w:rsidR="00237579" w:rsidRPr="00612514" w:rsidRDefault="00237579" w:rsidP="00237579">
      <w:pPr>
        <w:pStyle w:val="TOC5"/>
      </w:pPr>
      <w:r w:rsidRPr="00612514">
        <w:t>OTHER ITEMS APPROVED</w:t>
      </w:r>
    </w:p>
    <w:p w:rsidR="00237579" w:rsidRPr="00612514" w:rsidRDefault="00237579" w:rsidP="00237579">
      <w:pPr>
        <w:pStyle w:val="TOC8"/>
        <w:rPr>
          <w:rFonts w:asciiTheme="minorHAnsi" w:eastAsiaTheme="minorEastAsia" w:hAnsiTheme="minorHAnsi" w:cstheme="minorBidi"/>
          <w:i w:val="0"/>
          <w:noProof/>
          <w:sz w:val="22"/>
          <w:szCs w:val="22"/>
          <w:lang w:eastAsia="en-GB"/>
        </w:rPr>
      </w:pPr>
      <w:r w:rsidRPr="00612514">
        <w:rPr>
          <w:noProof/>
        </w:rPr>
        <w:t>JUSTICE AND HOME AFFAIRS</w:t>
      </w:r>
    </w:p>
    <w:p w:rsidR="00237579" w:rsidRPr="00612514" w:rsidRDefault="00237579" w:rsidP="00237579">
      <w:pPr>
        <w:pStyle w:val="TOC9"/>
        <w:keepNext/>
        <w:rPr>
          <w:rFonts w:asciiTheme="minorHAnsi" w:eastAsiaTheme="minorEastAsia" w:hAnsiTheme="minorHAnsi" w:cstheme="minorBidi"/>
          <w:noProof/>
          <w:sz w:val="22"/>
          <w:szCs w:val="22"/>
          <w:lang w:eastAsia="en-GB"/>
        </w:rPr>
      </w:pPr>
      <w:r w:rsidRPr="00612514">
        <w:rPr>
          <w:noProof/>
        </w:rPr>
        <w:t>e-Justice</w:t>
      </w:r>
      <w:r w:rsidRPr="00612514">
        <w:rPr>
          <w:noProof/>
        </w:rPr>
        <w:tab/>
      </w:r>
      <w:r w:rsidRPr="00612514">
        <w:rPr>
          <w:noProof/>
        </w:rPr>
        <w:fldChar w:fldCharType="begin"/>
      </w:r>
      <w:r w:rsidRPr="00612514">
        <w:rPr>
          <w:noProof/>
        </w:rPr>
        <w:instrText xml:space="preserve"> PAGEREF \h _Toc422247044 \* MERGEFORMAT </w:instrText>
      </w:r>
      <w:r w:rsidRPr="00612514">
        <w:rPr>
          <w:noProof/>
        </w:rPr>
      </w:r>
      <w:r w:rsidRPr="00612514">
        <w:rPr>
          <w:noProof/>
        </w:rPr>
        <w:fldChar w:fldCharType="separate"/>
      </w:r>
      <w:r w:rsidR="00613C7B">
        <w:rPr>
          <w:noProof/>
        </w:rPr>
        <w:t>11</w:t>
      </w:r>
      <w:r w:rsidRPr="00612514">
        <w:rPr>
          <w:noProof/>
        </w:rPr>
        <w:fldChar w:fldCharType="end"/>
      </w:r>
    </w:p>
    <w:p w:rsidR="00237579" w:rsidRPr="00612514" w:rsidRDefault="00237579" w:rsidP="00237579">
      <w:pPr>
        <w:pStyle w:val="TOC9"/>
        <w:keepNext/>
        <w:rPr>
          <w:rFonts w:asciiTheme="minorHAnsi" w:eastAsiaTheme="minorEastAsia" w:hAnsiTheme="minorHAnsi" w:cstheme="minorBidi"/>
          <w:noProof/>
          <w:sz w:val="22"/>
          <w:szCs w:val="22"/>
          <w:lang w:eastAsia="en-GB"/>
        </w:rPr>
      </w:pPr>
      <w:r w:rsidRPr="00612514">
        <w:rPr>
          <w:noProof/>
        </w:rPr>
        <w:t>e-Justice - cross-border videoconferencing</w:t>
      </w:r>
      <w:r w:rsidRPr="00612514">
        <w:rPr>
          <w:noProof/>
        </w:rPr>
        <w:tab/>
      </w:r>
      <w:r w:rsidRPr="00612514">
        <w:rPr>
          <w:noProof/>
        </w:rPr>
        <w:fldChar w:fldCharType="begin"/>
      </w:r>
      <w:r w:rsidRPr="00612514">
        <w:rPr>
          <w:noProof/>
        </w:rPr>
        <w:instrText xml:space="preserve"> PAGEREF \h _Toc422247045 \* MERGEFORMAT </w:instrText>
      </w:r>
      <w:r w:rsidRPr="00612514">
        <w:rPr>
          <w:noProof/>
        </w:rPr>
      </w:r>
      <w:r w:rsidRPr="00612514">
        <w:rPr>
          <w:noProof/>
        </w:rPr>
        <w:fldChar w:fldCharType="separate"/>
      </w:r>
      <w:r w:rsidR="00613C7B">
        <w:rPr>
          <w:noProof/>
        </w:rPr>
        <w:t>11</w:t>
      </w:r>
      <w:r w:rsidRPr="00612514">
        <w:rPr>
          <w:noProof/>
        </w:rPr>
        <w:fldChar w:fldCharType="end"/>
      </w:r>
    </w:p>
    <w:p w:rsidR="00237579" w:rsidRPr="00612514" w:rsidRDefault="00237579" w:rsidP="00237579">
      <w:pPr>
        <w:pStyle w:val="TOC9"/>
        <w:keepNext/>
        <w:rPr>
          <w:rFonts w:asciiTheme="minorHAnsi" w:eastAsiaTheme="minorEastAsia" w:hAnsiTheme="minorHAnsi" w:cstheme="minorBidi"/>
          <w:noProof/>
          <w:sz w:val="22"/>
          <w:szCs w:val="22"/>
          <w:lang w:eastAsia="en-GB"/>
        </w:rPr>
      </w:pPr>
      <w:r w:rsidRPr="00612514">
        <w:rPr>
          <w:noProof/>
        </w:rPr>
        <w:t>Genocide, crimes against humanity and war crimes</w:t>
      </w:r>
      <w:r w:rsidRPr="00612514">
        <w:rPr>
          <w:noProof/>
        </w:rPr>
        <w:tab/>
      </w:r>
      <w:r w:rsidRPr="00612514">
        <w:rPr>
          <w:noProof/>
        </w:rPr>
        <w:fldChar w:fldCharType="begin"/>
      </w:r>
      <w:r w:rsidRPr="00612514">
        <w:rPr>
          <w:noProof/>
        </w:rPr>
        <w:instrText xml:space="preserve"> PAGEREF \h _Toc422247046 \* MERGEFORMAT </w:instrText>
      </w:r>
      <w:r w:rsidRPr="00612514">
        <w:rPr>
          <w:noProof/>
        </w:rPr>
      </w:r>
      <w:r w:rsidRPr="00612514">
        <w:rPr>
          <w:noProof/>
        </w:rPr>
        <w:fldChar w:fldCharType="separate"/>
      </w:r>
      <w:r w:rsidR="00613C7B">
        <w:rPr>
          <w:noProof/>
        </w:rPr>
        <w:t>11</w:t>
      </w:r>
      <w:r w:rsidRPr="00612514">
        <w:rPr>
          <w:noProof/>
        </w:rPr>
        <w:fldChar w:fldCharType="end"/>
      </w:r>
    </w:p>
    <w:p w:rsidR="00237579" w:rsidRPr="00612514" w:rsidRDefault="00237579" w:rsidP="00237579">
      <w:pPr>
        <w:pStyle w:val="TOC9"/>
        <w:keepNext/>
        <w:rPr>
          <w:rFonts w:asciiTheme="minorHAnsi" w:eastAsiaTheme="minorEastAsia" w:hAnsiTheme="minorHAnsi" w:cstheme="minorBidi"/>
          <w:noProof/>
          <w:sz w:val="22"/>
          <w:szCs w:val="22"/>
          <w:lang w:eastAsia="en-GB"/>
        </w:rPr>
      </w:pPr>
      <w:r w:rsidRPr="00612514">
        <w:rPr>
          <w:noProof/>
        </w:rPr>
        <w:t>Europol - General report 2014</w:t>
      </w:r>
      <w:r w:rsidRPr="00612514">
        <w:rPr>
          <w:noProof/>
        </w:rPr>
        <w:tab/>
      </w:r>
      <w:r w:rsidRPr="00612514">
        <w:rPr>
          <w:noProof/>
        </w:rPr>
        <w:fldChar w:fldCharType="begin"/>
      </w:r>
      <w:r w:rsidRPr="00612514">
        <w:rPr>
          <w:noProof/>
        </w:rPr>
        <w:instrText xml:space="preserve"> PAGEREF \h _Toc422247047 \* MERGEFORMAT </w:instrText>
      </w:r>
      <w:r w:rsidRPr="00612514">
        <w:rPr>
          <w:noProof/>
        </w:rPr>
      </w:r>
      <w:r w:rsidRPr="00612514">
        <w:rPr>
          <w:noProof/>
        </w:rPr>
        <w:fldChar w:fldCharType="separate"/>
      </w:r>
      <w:r w:rsidR="00613C7B">
        <w:rPr>
          <w:noProof/>
        </w:rPr>
        <w:t>11</w:t>
      </w:r>
      <w:r w:rsidRPr="00612514">
        <w:rPr>
          <w:noProof/>
        </w:rPr>
        <w:fldChar w:fldCharType="end"/>
      </w:r>
    </w:p>
    <w:p w:rsidR="00237579" w:rsidRPr="00612514" w:rsidRDefault="00237579" w:rsidP="00237579">
      <w:pPr>
        <w:pStyle w:val="TOC9"/>
        <w:keepNext/>
        <w:rPr>
          <w:rFonts w:asciiTheme="minorHAnsi" w:eastAsiaTheme="minorEastAsia" w:hAnsiTheme="minorHAnsi" w:cstheme="minorBidi"/>
          <w:noProof/>
          <w:sz w:val="22"/>
          <w:szCs w:val="22"/>
          <w:lang w:eastAsia="en-GB"/>
        </w:rPr>
      </w:pPr>
      <w:r w:rsidRPr="00612514">
        <w:rPr>
          <w:noProof/>
        </w:rPr>
        <w:t>Protection against theft</w:t>
      </w:r>
      <w:r w:rsidRPr="00612514">
        <w:rPr>
          <w:noProof/>
        </w:rPr>
        <w:tab/>
      </w:r>
      <w:r w:rsidRPr="00612514">
        <w:rPr>
          <w:noProof/>
        </w:rPr>
        <w:fldChar w:fldCharType="begin"/>
      </w:r>
      <w:r w:rsidRPr="00612514">
        <w:rPr>
          <w:noProof/>
        </w:rPr>
        <w:instrText xml:space="preserve"> PAGEREF \h _Toc422247048 \* MERGEFORMAT </w:instrText>
      </w:r>
      <w:r w:rsidRPr="00612514">
        <w:rPr>
          <w:noProof/>
        </w:rPr>
      </w:r>
      <w:r w:rsidRPr="00612514">
        <w:rPr>
          <w:noProof/>
        </w:rPr>
        <w:fldChar w:fldCharType="separate"/>
      </w:r>
      <w:r w:rsidR="00613C7B">
        <w:rPr>
          <w:noProof/>
        </w:rPr>
        <w:t>11</w:t>
      </w:r>
      <w:r w:rsidRPr="00612514">
        <w:rPr>
          <w:noProof/>
        </w:rPr>
        <w:fldChar w:fldCharType="end"/>
      </w:r>
    </w:p>
    <w:p w:rsidR="00237579" w:rsidRPr="00612514" w:rsidRDefault="00237579" w:rsidP="00237579">
      <w:pPr>
        <w:pStyle w:val="TOC9"/>
        <w:keepNext/>
        <w:rPr>
          <w:rFonts w:asciiTheme="minorHAnsi" w:eastAsiaTheme="minorEastAsia" w:hAnsiTheme="minorHAnsi" w:cstheme="minorBidi"/>
          <w:noProof/>
          <w:sz w:val="22"/>
          <w:szCs w:val="22"/>
          <w:lang w:eastAsia="en-GB"/>
        </w:rPr>
      </w:pPr>
      <w:r w:rsidRPr="00612514">
        <w:rPr>
          <w:noProof/>
        </w:rPr>
        <w:t>Hague Convention on the Civil Aspects of International Child Abduction</w:t>
      </w:r>
      <w:r w:rsidRPr="00612514">
        <w:rPr>
          <w:noProof/>
        </w:rPr>
        <w:tab/>
      </w:r>
      <w:r w:rsidRPr="00612514">
        <w:rPr>
          <w:noProof/>
        </w:rPr>
        <w:fldChar w:fldCharType="begin"/>
      </w:r>
      <w:r w:rsidRPr="00612514">
        <w:rPr>
          <w:noProof/>
        </w:rPr>
        <w:instrText xml:space="preserve"> PAGEREF \h _Toc422247049 \* MERGEFORMAT </w:instrText>
      </w:r>
      <w:r w:rsidRPr="00612514">
        <w:rPr>
          <w:noProof/>
        </w:rPr>
      </w:r>
      <w:r w:rsidRPr="00612514">
        <w:rPr>
          <w:noProof/>
        </w:rPr>
        <w:fldChar w:fldCharType="separate"/>
      </w:r>
      <w:r w:rsidR="00613C7B">
        <w:rPr>
          <w:noProof/>
        </w:rPr>
        <w:t>12</w:t>
      </w:r>
      <w:r w:rsidRPr="00612514">
        <w:rPr>
          <w:noProof/>
        </w:rPr>
        <w:fldChar w:fldCharType="end"/>
      </w:r>
    </w:p>
    <w:p w:rsidR="00237579" w:rsidRPr="00612514" w:rsidRDefault="00237579" w:rsidP="00237579">
      <w:pPr>
        <w:pStyle w:val="TOC9"/>
      </w:pPr>
      <w:r w:rsidRPr="00612514">
        <w:rPr>
          <w:noProof/>
        </w:rPr>
        <w:t>Mobility Partnership EU-Belarus</w:t>
      </w:r>
      <w:r w:rsidRPr="00612514">
        <w:rPr>
          <w:noProof/>
        </w:rPr>
        <w:tab/>
      </w:r>
      <w:r w:rsidRPr="00612514">
        <w:rPr>
          <w:noProof/>
        </w:rPr>
        <w:fldChar w:fldCharType="begin"/>
      </w:r>
      <w:r w:rsidRPr="00612514">
        <w:rPr>
          <w:noProof/>
        </w:rPr>
        <w:instrText xml:space="preserve"> PAGEREF \h _Toc422247050 \* MERGEFORMAT </w:instrText>
      </w:r>
      <w:r w:rsidRPr="00612514">
        <w:rPr>
          <w:noProof/>
        </w:rPr>
      </w:r>
      <w:r w:rsidRPr="00612514">
        <w:rPr>
          <w:noProof/>
        </w:rPr>
        <w:fldChar w:fldCharType="separate"/>
      </w:r>
      <w:r w:rsidR="00613C7B">
        <w:rPr>
          <w:noProof/>
        </w:rPr>
        <w:t>12</w:t>
      </w:r>
      <w:r w:rsidRPr="00612514">
        <w:rPr>
          <w:noProof/>
        </w:rPr>
        <w:fldChar w:fldCharType="end"/>
      </w:r>
    </w:p>
    <w:p w:rsidR="00237579" w:rsidRPr="00612514" w:rsidRDefault="00237579" w:rsidP="00E0108A">
      <w:pPr>
        <w:sectPr w:rsidR="00237579" w:rsidRPr="00612514" w:rsidSect="00613C7B">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E0108A" w:rsidRPr="00612514" w:rsidRDefault="00E0108A" w:rsidP="00E0108A">
      <w:pPr>
        <w:pStyle w:val="ItemsDebatedHeading"/>
      </w:pPr>
      <w:r w:rsidRPr="00612514">
        <w:lastRenderedPageBreak/>
        <w:t>ITEMS DEBATED</w:t>
      </w:r>
    </w:p>
    <w:p w:rsidR="00A74671" w:rsidRPr="00612514" w:rsidRDefault="00A74671" w:rsidP="009B1563">
      <w:pPr>
        <w:pStyle w:val="ItemDebated"/>
      </w:pPr>
      <w:bookmarkStart w:id="5" w:name="_Toc422247034"/>
      <w:r w:rsidRPr="00612514">
        <w:t>JUSTICE</w:t>
      </w:r>
      <w:bookmarkEnd w:id="5"/>
    </w:p>
    <w:p w:rsidR="009B1563" w:rsidRPr="00612514" w:rsidRDefault="009B1563" w:rsidP="009B1563">
      <w:pPr>
        <w:pStyle w:val="ItemDebated"/>
      </w:pPr>
      <w:bookmarkStart w:id="6" w:name="_Toc422247035"/>
      <w:r w:rsidRPr="00612514">
        <w:t>Data protection</w:t>
      </w:r>
      <w:bookmarkEnd w:id="6"/>
    </w:p>
    <w:p w:rsidR="009B1563" w:rsidRPr="00612514" w:rsidRDefault="009B1563" w:rsidP="009B1563">
      <w:pPr>
        <w:rPr>
          <w:rFonts w:asciiTheme="majorBidi" w:hAnsiTheme="majorBidi" w:cstheme="majorBidi"/>
          <w:lang w:eastAsia="en-GB"/>
        </w:rPr>
      </w:pPr>
      <w:r w:rsidRPr="00612514">
        <w:rPr>
          <w:rFonts w:asciiTheme="majorBidi" w:hAnsiTheme="majorBidi" w:cstheme="majorBidi"/>
          <w:lang w:eastAsia="en-GB"/>
        </w:rPr>
        <w:t xml:space="preserve">The Council reached a </w:t>
      </w:r>
      <w:r w:rsidRPr="00612514">
        <w:rPr>
          <w:rFonts w:asciiTheme="majorBidi" w:hAnsiTheme="majorBidi" w:cstheme="majorBidi"/>
          <w:bCs/>
          <w:lang w:eastAsia="en-GB"/>
        </w:rPr>
        <w:t>general approach</w:t>
      </w:r>
      <w:r w:rsidRPr="00612514">
        <w:rPr>
          <w:rFonts w:asciiTheme="majorBidi" w:hAnsiTheme="majorBidi" w:cstheme="majorBidi"/>
          <w:lang w:eastAsia="en-GB"/>
        </w:rPr>
        <w:t xml:space="preserve"> on the </w:t>
      </w:r>
      <w:r w:rsidRPr="00612514">
        <w:rPr>
          <w:rFonts w:asciiTheme="majorBidi" w:hAnsiTheme="majorBidi" w:cstheme="majorBidi"/>
          <w:bCs/>
          <w:lang w:eastAsia="en-GB"/>
        </w:rPr>
        <w:t>general data protection regulation</w:t>
      </w:r>
      <w:r w:rsidRPr="00612514">
        <w:rPr>
          <w:rFonts w:asciiTheme="majorBidi" w:hAnsiTheme="majorBidi" w:cstheme="majorBidi"/>
          <w:lang w:eastAsia="en-GB"/>
        </w:rPr>
        <w:t xml:space="preserve"> that establishes rules adapted to the digital era. The twin aims of this regulation are to enhance the level of personal data protection for individuals and to increase business opportunities in the Digital Single Market.</w:t>
      </w:r>
    </w:p>
    <w:p w:rsidR="009B1563" w:rsidRPr="00612514" w:rsidRDefault="009B1563" w:rsidP="009B1563">
      <w:pPr>
        <w:rPr>
          <w:rFonts w:asciiTheme="majorBidi" w:eastAsiaTheme="minorHAnsi" w:hAnsiTheme="majorBidi" w:cstheme="majorBidi"/>
          <w:i/>
          <w:iCs/>
        </w:rPr>
      </w:pPr>
      <w:r w:rsidRPr="00612514">
        <w:rPr>
          <w:rFonts w:asciiTheme="majorBidi" w:hAnsiTheme="majorBidi" w:cstheme="majorBidi"/>
          <w:lang w:eastAsia="en-GB"/>
        </w:rPr>
        <w:t xml:space="preserve">A general approach means that the Council has a political agreement on the basis of which it can now begin negotiations with the European Parliament with a view to reaching overall agreement on new EU data protection rules. A </w:t>
      </w:r>
      <w:r w:rsidRPr="00612514">
        <w:rPr>
          <w:rFonts w:asciiTheme="majorBidi" w:hAnsiTheme="majorBidi" w:cstheme="majorBidi"/>
          <w:bCs/>
          <w:lang w:eastAsia="en-GB"/>
        </w:rPr>
        <w:t>first trilogue</w:t>
      </w:r>
      <w:r w:rsidRPr="00612514">
        <w:rPr>
          <w:rFonts w:asciiTheme="majorBidi" w:hAnsiTheme="majorBidi" w:cstheme="majorBidi"/>
          <w:lang w:eastAsia="en-GB"/>
        </w:rPr>
        <w:t xml:space="preserve"> with the Parliament is planned for </w:t>
      </w:r>
      <w:r w:rsidRPr="00612514">
        <w:rPr>
          <w:rFonts w:asciiTheme="majorBidi" w:hAnsiTheme="majorBidi" w:cstheme="majorBidi"/>
          <w:bCs/>
          <w:lang w:eastAsia="en-GB"/>
        </w:rPr>
        <w:t>24 June 2015</w:t>
      </w:r>
      <w:r w:rsidRPr="00612514">
        <w:rPr>
          <w:rFonts w:asciiTheme="majorBidi" w:hAnsiTheme="majorBidi" w:cstheme="majorBidi"/>
          <w:lang w:eastAsia="en-GB"/>
        </w:rPr>
        <w:t>.</w:t>
      </w:r>
    </w:p>
    <w:p w:rsidR="009B1563" w:rsidRPr="00612514" w:rsidRDefault="009B1563" w:rsidP="00CB71A1">
      <w:pPr>
        <w:rPr>
          <w:rFonts w:asciiTheme="majorBidi" w:eastAsiaTheme="minorHAnsi" w:hAnsiTheme="majorBidi" w:cstheme="majorBidi"/>
        </w:rPr>
      </w:pPr>
      <w:r w:rsidRPr="00612514">
        <w:rPr>
          <w:rFonts w:asciiTheme="majorBidi" w:hAnsiTheme="majorBidi" w:cstheme="majorBidi"/>
        </w:rPr>
        <w:t xml:space="preserve">The incoming Luxembourg </w:t>
      </w:r>
      <w:r w:rsidR="00CB71A1">
        <w:rPr>
          <w:rFonts w:asciiTheme="majorBidi" w:hAnsiTheme="majorBidi" w:cstheme="majorBidi"/>
        </w:rPr>
        <w:t>p</w:t>
      </w:r>
      <w:r w:rsidRPr="00612514">
        <w:rPr>
          <w:rFonts w:asciiTheme="majorBidi" w:hAnsiTheme="majorBidi" w:cstheme="majorBidi"/>
        </w:rPr>
        <w:t>residency indicated that, in parallel to the negotiations on the regulation, work on the data protection directive in the law enforcement area would be accelerated with the aim to find a general approach in October.</w:t>
      </w:r>
    </w:p>
    <w:p w:rsidR="0075434C" w:rsidRDefault="009B1563" w:rsidP="0075434C">
      <w:pPr>
        <w:rPr>
          <w:rStyle w:val="Hyperlink"/>
          <w:rFonts w:asciiTheme="majorBidi" w:hAnsiTheme="majorBidi" w:cstheme="majorBidi"/>
        </w:rPr>
      </w:pPr>
      <w:r w:rsidRPr="00612514">
        <w:rPr>
          <w:rFonts w:asciiTheme="majorBidi" w:hAnsiTheme="majorBidi" w:cstheme="majorBidi"/>
        </w:rPr>
        <w:t xml:space="preserve">For more information see </w:t>
      </w:r>
      <w:hyperlink r:id="rId18" w:history="1">
        <w:r w:rsidRPr="00612514">
          <w:rPr>
            <w:rStyle w:val="Hyperlink"/>
            <w:rFonts w:asciiTheme="majorBidi" w:hAnsiTheme="majorBidi" w:cstheme="majorBidi"/>
          </w:rPr>
          <w:t>press release</w:t>
        </w:r>
      </w:hyperlink>
    </w:p>
    <w:p w:rsidR="0075434C" w:rsidRPr="0075434C" w:rsidRDefault="00613C7B" w:rsidP="0075434C">
      <w:pPr>
        <w:rPr>
          <w:rFonts w:asciiTheme="majorBidi" w:hAnsiTheme="majorBidi" w:cstheme="majorBidi"/>
          <w:color w:val="0000FF" w:themeColor="hyperlink"/>
          <w:u w:val="single"/>
        </w:rPr>
      </w:pPr>
      <w:hyperlink r:id="rId19" w:tooltip="Data protection reform" w:history="1">
        <w:r w:rsidR="0075434C" w:rsidRPr="0075434C">
          <w:rPr>
            <w:rStyle w:val="Hyperlink"/>
            <w:rFonts w:cstheme="minorBidi"/>
            <w:szCs w:val="22"/>
          </w:rPr>
          <w:t>Data protection reform</w:t>
        </w:r>
      </w:hyperlink>
    </w:p>
    <w:p w:rsidR="0075434C" w:rsidRPr="00612514" w:rsidRDefault="0075434C" w:rsidP="009B1563">
      <w:pPr>
        <w:rPr>
          <w:rFonts w:cstheme="minorBidi"/>
          <w:szCs w:val="22"/>
        </w:rPr>
      </w:pPr>
    </w:p>
    <w:p w:rsidR="009B1563" w:rsidRPr="00612514" w:rsidRDefault="009B1563" w:rsidP="009B1563">
      <w:pPr>
        <w:pStyle w:val="ItemDebated"/>
      </w:pPr>
      <w:r w:rsidRPr="00612514">
        <w:br w:type="page"/>
      </w:r>
      <w:bookmarkStart w:id="7" w:name="_Toc422247036"/>
      <w:r w:rsidRPr="00612514">
        <w:t>Free movement of public documents</w:t>
      </w:r>
      <w:bookmarkEnd w:id="7"/>
    </w:p>
    <w:p w:rsidR="009B1563" w:rsidRPr="00612514" w:rsidRDefault="009B1563" w:rsidP="009B1563">
      <w:r w:rsidRPr="00612514">
        <w:t xml:space="preserve">The Council reached a </w:t>
      </w:r>
      <w:hyperlink r:id="rId20" w:history="1">
        <w:r w:rsidRPr="00612514">
          <w:rPr>
            <w:rStyle w:val="Hyperlink"/>
          </w:rPr>
          <w:t>general approach</w:t>
        </w:r>
      </w:hyperlink>
      <w:r w:rsidRPr="00612514">
        <w:t xml:space="preserve"> on the draft regulation on promoting the free movement of citizens and businesses by simplifying the requirements for presenting certain public documents in the European Union. This general approach will constitute the basis for negotiations with the European Parliament with a view to reaching overall agreement on the final text of the future regulation.</w:t>
      </w:r>
    </w:p>
    <w:p w:rsidR="009B1563" w:rsidRPr="00612514" w:rsidRDefault="009B1563" w:rsidP="009B1563">
      <w:r w:rsidRPr="00612514">
        <w:t>The proposed regulation, as amended by the Council, aims at simplifying the procedures for cross-border use of public documents related to civil status matters between the member states, i.e. allowing for circulation of such documents without the requirement of legalisation or similar formality, thereby contributing towards the creation of a citizens' Europe.</w:t>
      </w:r>
    </w:p>
    <w:p w:rsidR="009B1563" w:rsidRPr="00612514" w:rsidRDefault="009B1563" w:rsidP="009B1563">
      <w:pPr>
        <w:pStyle w:val="ItemDebated"/>
      </w:pPr>
      <w:r w:rsidRPr="00612514">
        <w:br w:type="page"/>
      </w:r>
      <w:bookmarkStart w:id="8" w:name="_Toc422247037"/>
      <w:r w:rsidRPr="00612514">
        <w:t>European Public Prosecutor’s Office</w:t>
      </w:r>
      <w:bookmarkEnd w:id="8"/>
    </w:p>
    <w:p w:rsidR="009B1563" w:rsidRPr="00612514" w:rsidRDefault="009B1563" w:rsidP="009F4139">
      <w:r w:rsidRPr="00612514">
        <w:t>The Council</w:t>
      </w:r>
      <w:r w:rsidR="009F4139">
        <w:t xml:space="preserve"> broadly</w:t>
      </w:r>
      <w:r w:rsidRPr="00612514">
        <w:t xml:space="preserve"> expressed conceptual support </w:t>
      </w:r>
      <w:r w:rsidR="0063101F">
        <w:t>for</w:t>
      </w:r>
      <w:r w:rsidRPr="00612514">
        <w:t xml:space="preserve"> the </w:t>
      </w:r>
      <w:hyperlink r:id="rId21" w:history="1">
        <w:r w:rsidRPr="00612514">
          <w:rPr>
            <w:rStyle w:val="Hyperlink"/>
          </w:rPr>
          <w:t>text</w:t>
        </w:r>
      </w:hyperlink>
      <w:r w:rsidRPr="00612514">
        <w:t xml:space="preserve"> of the first 16 articles on the proposal regarding the setting up of a European Public Prosecutor's Office (EPPO). These articles include the most important provisions of the </w:t>
      </w:r>
      <w:r w:rsidR="0063101F">
        <w:t>r</w:t>
      </w:r>
      <w:r w:rsidRPr="00612514">
        <w:t>egulation, namely all the rules on the organisation and the functioning of the Office.</w:t>
      </w:r>
    </w:p>
    <w:p w:rsidR="009B1563" w:rsidRPr="00612514" w:rsidRDefault="009B1563" w:rsidP="009B1563">
      <w:pPr>
        <w:rPr>
          <w:b/>
          <w:bCs/>
          <w:szCs w:val="28"/>
        </w:rPr>
      </w:pPr>
      <w:r w:rsidRPr="00612514">
        <w:t>Moreover, the Council welcomed the advances made on the other articles (articles 17 to 33) which have been discussed during the Latvian presidency but on which more work is still needed at expert level.</w:t>
      </w:r>
    </w:p>
    <w:p w:rsidR="009B1563" w:rsidRPr="00612514" w:rsidRDefault="009B1563" w:rsidP="009B1563">
      <w:pPr>
        <w:rPr>
          <w:szCs w:val="22"/>
        </w:rPr>
      </w:pPr>
      <w:r w:rsidRPr="00612514">
        <w:t>The proposed regulation aims to help combat crimes against the Union's financial interests by introducing a European Public Prosecutor's Office with competence in that area. The legal basis and the rules for setting up the EPPO are laid down in article 86 of the Treaty on the Functioning of the European Union (TFEU). The proposed regulation will be adopted in accordance with a special legislative procedure: the Council will decide unanimously after obtaining the consent of the European Parliament.</w:t>
      </w:r>
    </w:p>
    <w:p w:rsidR="00A74671" w:rsidRPr="00612514" w:rsidRDefault="00CB783F" w:rsidP="00A74671">
      <w:pPr>
        <w:pStyle w:val="ItemDebated"/>
      </w:pPr>
      <w:r w:rsidRPr="00612514">
        <w:br w:type="page"/>
      </w:r>
      <w:bookmarkStart w:id="9" w:name="_Toc422247038"/>
      <w:r w:rsidR="00A74671" w:rsidRPr="00612514">
        <w:t>HOME AFFAIRS</w:t>
      </w:r>
      <w:bookmarkEnd w:id="9"/>
    </w:p>
    <w:p w:rsidR="0000359F" w:rsidRPr="00612514" w:rsidRDefault="0000359F" w:rsidP="005679B4">
      <w:pPr>
        <w:pStyle w:val="ItemDebated"/>
      </w:pPr>
      <w:bookmarkStart w:id="10" w:name="_Toc422247039"/>
      <w:r w:rsidRPr="00612514">
        <w:t>Migratory issues</w:t>
      </w:r>
      <w:bookmarkEnd w:id="10"/>
    </w:p>
    <w:p w:rsidR="0000359F" w:rsidRPr="00612514" w:rsidRDefault="0000359F" w:rsidP="0000359F">
      <w:r w:rsidRPr="00612514">
        <w:t>The Council discussed the different aspects of the Agenda on Migration and its implementation package. Most delegations welcomed its comprehensive and cross-cutting nature, as well as its mix of immediate actions to address the current crises and the proposed long-term measures that should lead to the establishment of a true European migration policy.</w:t>
      </w:r>
    </w:p>
    <w:p w:rsidR="0000359F" w:rsidRPr="00612514" w:rsidRDefault="0000359F">
      <w:r w:rsidRPr="00612514">
        <w:t xml:space="preserve">As regards the concrete proposal on relocation, </w:t>
      </w:r>
      <w:r w:rsidR="0063101F">
        <w:t>m</w:t>
      </w:r>
      <w:r w:rsidRPr="00612514">
        <w:t xml:space="preserve">inisters stressed that on the basis of the principle of solidarity they </w:t>
      </w:r>
      <w:r w:rsidR="0063101F">
        <w:t>were</w:t>
      </w:r>
      <w:r w:rsidRPr="00612514">
        <w:t xml:space="preserve"> all ready to make an effort to help member states under a particular migratory pressure. Several delegations stressed the necessity to strike the right balance between solidarity and responsibility.</w:t>
      </w:r>
    </w:p>
    <w:p w:rsidR="0000359F" w:rsidRPr="00612514" w:rsidRDefault="0000359F">
      <w:r w:rsidRPr="00612514">
        <w:t xml:space="preserve">Ministers invited the Council’s preparatory bodies to continue these discussions with the aim of achieving full implementation as soon as possible. The </w:t>
      </w:r>
      <w:r w:rsidR="00CB71A1">
        <w:t>p</w:t>
      </w:r>
      <w:r w:rsidRPr="00612514">
        <w:t>residency and the Commission will report to the European Council on the results of these discussions.</w:t>
      </w:r>
    </w:p>
    <w:p w:rsidR="0075434C" w:rsidRDefault="0000359F" w:rsidP="0075434C">
      <w:r w:rsidRPr="00612514">
        <w:t xml:space="preserve">The Council took note of the information provided by the </w:t>
      </w:r>
      <w:r w:rsidR="00CB71A1">
        <w:t>p</w:t>
      </w:r>
      <w:r w:rsidRPr="00612514">
        <w:t xml:space="preserve">residency, the European Commission and the European External Action Service on the state of play of the implementation of the orientations set </w:t>
      </w:r>
      <w:r w:rsidR="00390566">
        <w:t xml:space="preserve">out </w:t>
      </w:r>
      <w:r w:rsidRPr="00612514">
        <w:t xml:space="preserve">in the statement adopted by the European Council on 23 April. As requested, the </w:t>
      </w:r>
      <w:r w:rsidR="00CB71A1">
        <w:t>p</w:t>
      </w:r>
      <w:r w:rsidRPr="00612514">
        <w:t>residency and the Commission will also inform the European Council on this issue.</w:t>
      </w:r>
    </w:p>
    <w:p w:rsidR="0075434C" w:rsidRPr="0075434C" w:rsidRDefault="00613C7B" w:rsidP="0075434C">
      <w:pPr>
        <w:rPr>
          <w:bCs/>
        </w:rPr>
      </w:pPr>
      <w:hyperlink r:id="rId22" w:tooltip="Finding solutions to migratory pressures" w:history="1">
        <w:r w:rsidR="0075434C" w:rsidRPr="0075434C">
          <w:rPr>
            <w:rStyle w:val="Hyperlink"/>
            <w:bCs/>
          </w:rPr>
          <w:t>Finding solutions to migratory pressures</w:t>
        </w:r>
      </w:hyperlink>
    </w:p>
    <w:p w:rsidR="0075434C" w:rsidRPr="00612514" w:rsidRDefault="0075434C">
      <w:pPr>
        <w:rPr>
          <w:b/>
        </w:rPr>
      </w:pPr>
    </w:p>
    <w:p w:rsidR="0000359F" w:rsidRPr="00612514" w:rsidRDefault="005679B4" w:rsidP="005679B4">
      <w:pPr>
        <w:pStyle w:val="ItemDebated"/>
      </w:pPr>
      <w:r w:rsidRPr="00612514">
        <w:br w:type="page"/>
      </w:r>
      <w:bookmarkStart w:id="11" w:name="_Toc422247040"/>
      <w:r w:rsidR="0000359F" w:rsidRPr="00612514">
        <w:t>Fight against terrorism</w:t>
      </w:r>
      <w:bookmarkEnd w:id="11"/>
    </w:p>
    <w:p w:rsidR="0000359F" w:rsidRPr="00612514" w:rsidRDefault="0000359F">
      <w:pPr>
        <w:rPr>
          <w:b/>
        </w:rPr>
      </w:pPr>
      <w:r w:rsidRPr="00612514">
        <w:t xml:space="preserve">The Council discussed the implementation of the measures set out in the counter-terrorism statement issued by EU </w:t>
      </w:r>
      <w:r w:rsidR="00390566">
        <w:t>h</w:t>
      </w:r>
      <w:r w:rsidRPr="00612514">
        <w:t xml:space="preserve">eads of </w:t>
      </w:r>
      <w:r w:rsidR="00390566">
        <w:t>s</w:t>
      </w:r>
      <w:r w:rsidRPr="00612514">
        <w:t xml:space="preserve">tate or </w:t>
      </w:r>
      <w:r w:rsidR="00390566">
        <w:t>g</w:t>
      </w:r>
      <w:r w:rsidRPr="00612514">
        <w:t>overnment in February following the terrorist attacks on European soil.</w:t>
      </w:r>
    </w:p>
    <w:p w:rsidR="0000359F" w:rsidRPr="00612514" w:rsidRDefault="0000359F">
      <w:pPr>
        <w:rPr>
          <w:b/>
        </w:rPr>
      </w:pPr>
      <w:r w:rsidRPr="00612514">
        <w:t xml:space="preserve">Ministers took stock of the progress achieved in the implementation of measures and discussed and exchanged ideas on how to take the agreed priorities forward on the basis of a report from the </w:t>
      </w:r>
      <w:r w:rsidR="00CB71A1">
        <w:t>p</w:t>
      </w:r>
      <w:r w:rsidRPr="00612514">
        <w:t>residency and from the EU Counter-Terrorism Coordinator.</w:t>
      </w:r>
    </w:p>
    <w:p w:rsidR="0000359F" w:rsidRDefault="0000359F">
      <w:r w:rsidRPr="00612514">
        <w:t xml:space="preserve">Moreover, the European Commission presented its European Agenda on Security, issued on 28 April 2015, which includes counter-terrorism as a priority and supports a number of the directions given by the </w:t>
      </w:r>
      <w:r w:rsidR="00390566">
        <w:t>h</w:t>
      </w:r>
      <w:r w:rsidRPr="00612514">
        <w:t xml:space="preserve">eads of </w:t>
      </w:r>
      <w:r w:rsidR="00390566">
        <w:t>s</w:t>
      </w:r>
      <w:r w:rsidRPr="00612514">
        <w:t xml:space="preserve">tate or </w:t>
      </w:r>
      <w:r w:rsidR="00390566">
        <w:t>g</w:t>
      </w:r>
      <w:r w:rsidRPr="00612514">
        <w:t>overnment.</w:t>
      </w:r>
    </w:p>
    <w:p w:rsidR="0075434C" w:rsidRPr="00612514" w:rsidRDefault="00613C7B">
      <w:pPr>
        <w:rPr>
          <w:b/>
        </w:rPr>
      </w:pPr>
      <w:hyperlink r:id="rId23" w:history="1">
        <w:r w:rsidR="0075434C" w:rsidRPr="0075434C">
          <w:rPr>
            <w:rStyle w:val="Hyperlink"/>
          </w:rPr>
          <w:t>Response to foreign fighters</w:t>
        </w:r>
      </w:hyperlink>
    </w:p>
    <w:p w:rsidR="00A74671" w:rsidRPr="00612514" w:rsidRDefault="005679B4" w:rsidP="005679B4">
      <w:pPr>
        <w:pStyle w:val="ItemDebated"/>
      </w:pPr>
      <w:r w:rsidRPr="00612514">
        <w:br w:type="page"/>
      </w:r>
      <w:bookmarkStart w:id="12" w:name="_Toc422247041"/>
      <w:r w:rsidR="00A74671" w:rsidRPr="00612514">
        <w:t>Renewed European Union Internal Security Strategy</w:t>
      </w:r>
      <w:bookmarkEnd w:id="12"/>
    </w:p>
    <w:p w:rsidR="00A74671" w:rsidRPr="00612514" w:rsidRDefault="00A74671" w:rsidP="00A74671">
      <w:r w:rsidRPr="00612514">
        <w:t xml:space="preserve">The Council adopted </w:t>
      </w:r>
      <w:hyperlink r:id="rId24" w:history="1">
        <w:r w:rsidRPr="00612514">
          <w:rPr>
            <w:rStyle w:val="Hyperlink"/>
          </w:rPr>
          <w:t>conclusions</w:t>
        </w:r>
      </w:hyperlink>
      <w:r w:rsidRPr="00612514">
        <w:t xml:space="preserve"> on the Renewed European Union Interna</w:t>
      </w:r>
      <w:r w:rsidR="00F706B4" w:rsidRPr="00612514">
        <w:t>l Security Strategy 2015-2020.</w:t>
      </w:r>
    </w:p>
    <w:p w:rsidR="008C64B3" w:rsidRPr="00612514" w:rsidRDefault="00A74671" w:rsidP="008C64B3">
      <w:pPr>
        <w:pStyle w:val="ItemDebated"/>
      </w:pPr>
      <w:r w:rsidRPr="00612514">
        <w:br w:type="page"/>
      </w:r>
      <w:bookmarkStart w:id="13" w:name="_Toc422247042"/>
      <w:r w:rsidR="008C64B3" w:rsidRPr="00612514">
        <w:t>Any other business</w:t>
      </w:r>
      <w:bookmarkEnd w:id="13"/>
    </w:p>
    <w:p w:rsidR="00CD4B60" w:rsidRPr="00612514" w:rsidRDefault="00CD4B60" w:rsidP="00CD4B60">
      <w:pPr>
        <w:rPr>
          <w:rFonts w:asciiTheme="majorBidi" w:hAnsiTheme="majorBidi" w:cstheme="majorBidi"/>
        </w:rPr>
      </w:pPr>
      <w:r w:rsidRPr="00612514">
        <w:t xml:space="preserve">The Council was informed about the state of play of a number of legislative </w:t>
      </w:r>
      <w:r w:rsidRPr="00612514">
        <w:rPr>
          <w:rFonts w:asciiTheme="majorBidi" w:hAnsiTheme="majorBidi" w:cstheme="majorBidi"/>
        </w:rPr>
        <w:t>proposals, including:</w:t>
      </w:r>
    </w:p>
    <w:p w:rsidR="00CD4B60" w:rsidRPr="00612514" w:rsidRDefault="00CD4B60" w:rsidP="00CD4B60">
      <w:pPr>
        <w:pStyle w:val="Tiret0"/>
        <w:numPr>
          <w:ilvl w:val="0"/>
          <w:numId w:val="18"/>
        </w:numPr>
        <w:spacing w:after="120"/>
        <w:ind w:left="851" w:hanging="851"/>
        <w:rPr>
          <w:rFonts w:asciiTheme="majorBidi" w:hAnsiTheme="majorBidi" w:cstheme="majorBidi"/>
        </w:rPr>
      </w:pPr>
      <w:r w:rsidRPr="00612514">
        <w:rPr>
          <w:rFonts w:asciiTheme="majorBidi" w:hAnsiTheme="majorBidi" w:cstheme="majorBidi"/>
        </w:rPr>
        <w:t xml:space="preserve">the directive </w:t>
      </w:r>
      <w:r w:rsidRPr="00612514">
        <w:rPr>
          <w:rFonts w:asciiTheme="majorBidi" w:hAnsiTheme="majorBidi" w:cstheme="majorBidi"/>
          <w:iCs/>
        </w:rPr>
        <w:t>on the protection of individuals with regard to the processing of personal data by competent authorities for the purposes of prevention, investigation, detection or prosecution of criminal offences or the execution of criminal penalties, and the free movement of such data</w:t>
      </w:r>
      <w:r w:rsidRPr="00612514">
        <w:rPr>
          <w:rFonts w:asciiTheme="majorBidi" w:hAnsiTheme="majorBidi" w:cstheme="majorBidi"/>
        </w:rPr>
        <w:t>;</w:t>
      </w:r>
    </w:p>
    <w:p w:rsidR="00CD4B60" w:rsidRPr="00612514" w:rsidRDefault="00CD4B60" w:rsidP="00CD4B60">
      <w:pPr>
        <w:pStyle w:val="Tiret0"/>
        <w:numPr>
          <w:ilvl w:val="0"/>
          <w:numId w:val="18"/>
        </w:numPr>
        <w:spacing w:after="120"/>
        <w:ind w:left="851" w:hanging="851"/>
        <w:rPr>
          <w:rFonts w:asciiTheme="majorBidi" w:hAnsiTheme="majorBidi" w:cstheme="majorBidi"/>
        </w:rPr>
      </w:pPr>
      <w:r w:rsidRPr="00612514">
        <w:rPr>
          <w:rFonts w:asciiTheme="majorBidi" w:hAnsiTheme="majorBidi" w:cstheme="majorBidi"/>
        </w:rPr>
        <w:t>the regulation amending the regulation establishing a European Small Claims Procedure;</w:t>
      </w:r>
    </w:p>
    <w:p w:rsidR="00CD4B60" w:rsidRPr="00612514" w:rsidRDefault="00CD4B60" w:rsidP="00CD4B60">
      <w:pPr>
        <w:pStyle w:val="Tiret0"/>
        <w:numPr>
          <w:ilvl w:val="0"/>
          <w:numId w:val="18"/>
        </w:numPr>
        <w:spacing w:after="120"/>
        <w:ind w:left="851" w:hanging="851"/>
        <w:rPr>
          <w:rFonts w:asciiTheme="majorBidi" w:hAnsiTheme="majorBidi" w:cstheme="majorBidi"/>
        </w:rPr>
      </w:pPr>
      <w:r w:rsidRPr="00612514">
        <w:rPr>
          <w:rFonts w:asciiTheme="majorBidi" w:hAnsiTheme="majorBidi" w:cstheme="majorBidi"/>
        </w:rPr>
        <w:t xml:space="preserve">the </w:t>
      </w:r>
      <w:r w:rsidRPr="00612514">
        <w:rPr>
          <w:rFonts w:asciiTheme="majorBidi" w:hAnsiTheme="majorBidi" w:cstheme="majorBidi"/>
          <w:iCs/>
        </w:rPr>
        <w:t>directive on the strengthening of certain aspects of the presumption of innocence and of the right to be present at trial in criminal proceedings</w:t>
      </w:r>
      <w:r w:rsidRPr="00612514">
        <w:rPr>
          <w:rFonts w:asciiTheme="majorBidi" w:hAnsiTheme="majorBidi" w:cstheme="majorBidi"/>
        </w:rPr>
        <w:t>;</w:t>
      </w:r>
    </w:p>
    <w:p w:rsidR="00CD4B60" w:rsidRPr="00612514" w:rsidRDefault="00CD4B60" w:rsidP="00CD4B60">
      <w:pPr>
        <w:pStyle w:val="Tiret0"/>
        <w:numPr>
          <w:ilvl w:val="0"/>
          <w:numId w:val="18"/>
        </w:numPr>
        <w:spacing w:after="120"/>
        <w:ind w:left="851" w:hanging="851"/>
        <w:rPr>
          <w:rFonts w:asciiTheme="majorBidi" w:hAnsiTheme="majorBidi" w:cstheme="majorBidi"/>
        </w:rPr>
      </w:pPr>
      <w:r w:rsidRPr="00612514">
        <w:rPr>
          <w:rFonts w:asciiTheme="majorBidi" w:hAnsiTheme="majorBidi" w:cstheme="majorBidi"/>
        </w:rPr>
        <w:t>the directive on procedural safeguards for children suspected or accused in criminal proceedings</w:t>
      </w:r>
      <w:r w:rsidRPr="00612514">
        <w:rPr>
          <w:rFonts w:asciiTheme="majorBidi" w:hAnsiTheme="majorBidi" w:cstheme="majorBidi"/>
          <w:b/>
          <w:bCs/>
        </w:rPr>
        <w:t>;</w:t>
      </w:r>
    </w:p>
    <w:p w:rsidR="00CD4B60" w:rsidRPr="00612514" w:rsidRDefault="00CD4B60">
      <w:pPr>
        <w:pStyle w:val="Tiret0"/>
        <w:numPr>
          <w:ilvl w:val="0"/>
          <w:numId w:val="18"/>
        </w:numPr>
        <w:spacing w:after="120"/>
        <w:ind w:left="851" w:hanging="851"/>
        <w:rPr>
          <w:rFonts w:asciiTheme="majorBidi" w:hAnsiTheme="majorBidi" w:cstheme="majorBidi"/>
        </w:rPr>
      </w:pPr>
      <w:r w:rsidRPr="00612514">
        <w:rPr>
          <w:rFonts w:asciiTheme="majorBidi" w:hAnsiTheme="majorBidi" w:cstheme="majorBidi"/>
        </w:rPr>
        <w:t>the regulation establishing a European Union Agency for Law Enforcement Training (Cepol), repealing and replacing Council decision 2005/681/JHA</w:t>
      </w:r>
      <w:r w:rsidR="00F57FC5">
        <w:rPr>
          <w:rFonts w:asciiTheme="majorBidi" w:hAnsiTheme="majorBidi" w:cstheme="majorBidi"/>
        </w:rPr>
        <w:t>;</w:t>
      </w:r>
    </w:p>
    <w:p w:rsidR="00CD4B60" w:rsidRPr="00612514" w:rsidRDefault="00CD4B60" w:rsidP="00CD4B60">
      <w:pPr>
        <w:pStyle w:val="Tiret0"/>
        <w:numPr>
          <w:ilvl w:val="0"/>
          <w:numId w:val="18"/>
        </w:numPr>
        <w:spacing w:after="120"/>
        <w:ind w:left="851" w:hanging="851"/>
        <w:rPr>
          <w:rFonts w:asciiTheme="majorBidi" w:hAnsiTheme="majorBidi" w:cstheme="majorBidi"/>
        </w:rPr>
      </w:pPr>
      <w:r w:rsidRPr="00612514">
        <w:rPr>
          <w:rFonts w:asciiTheme="majorBidi" w:hAnsiTheme="majorBidi" w:cstheme="majorBidi"/>
          <w:iCs/>
        </w:rPr>
        <w:t>the directive on provisional legal aid for suspects or accused persons deprived of liberty and legal aid in European arrest warrant proceedings</w:t>
      </w:r>
      <w:r w:rsidR="00F57FC5">
        <w:rPr>
          <w:rFonts w:asciiTheme="majorBidi" w:hAnsiTheme="majorBidi" w:cstheme="majorBidi"/>
          <w:iCs/>
        </w:rPr>
        <w:t>;</w:t>
      </w:r>
    </w:p>
    <w:p w:rsidR="00CD4B60" w:rsidRPr="00612514" w:rsidRDefault="00CD4B60">
      <w:pPr>
        <w:pStyle w:val="Tiret0"/>
        <w:numPr>
          <w:ilvl w:val="0"/>
          <w:numId w:val="18"/>
        </w:numPr>
        <w:spacing w:after="120"/>
        <w:ind w:left="851" w:hanging="851"/>
        <w:rPr>
          <w:rFonts w:asciiTheme="majorBidi" w:hAnsiTheme="majorBidi" w:cstheme="majorBidi"/>
        </w:rPr>
      </w:pPr>
      <w:r w:rsidRPr="00612514">
        <w:rPr>
          <w:rFonts w:asciiTheme="majorBidi" w:hAnsiTheme="majorBidi" w:cstheme="majorBidi"/>
          <w:iCs/>
        </w:rPr>
        <w:t>the directive on the fight against fraud to the Union's financial interests by means of criminal law</w:t>
      </w:r>
      <w:r w:rsidR="00F57FC5">
        <w:rPr>
          <w:rFonts w:asciiTheme="majorBidi" w:hAnsiTheme="majorBidi" w:cstheme="majorBidi"/>
          <w:iCs/>
        </w:rPr>
        <w:t>;</w:t>
      </w:r>
    </w:p>
    <w:p w:rsidR="00CD4B60" w:rsidRPr="00612514" w:rsidRDefault="00CD4B60">
      <w:pPr>
        <w:pStyle w:val="Tiret0"/>
        <w:numPr>
          <w:ilvl w:val="0"/>
          <w:numId w:val="18"/>
        </w:numPr>
        <w:spacing w:after="120"/>
        <w:ind w:left="851" w:hanging="851"/>
        <w:rPr>
          <w:rFonts w:asciiTheme="majorBidi" w:hAnsiTheme="majorBidi" w:cstheme="majorBidi"/>
        </w:rPr>
      </w:pPr>
      <w:r w:rsidRPr="00612514">
        <w:t>the directive on the conditions of entry and residence of third-country nationals for the purposes of research, studies, pupil exchange, remunerated and unremunerated training, voluntary service and au pairing (</w:t>
      </w:r>
      <w:r w:rsidR="00F57FC5">
        <w:t>r</w:t>
      </w:r>
      <w:r w:rsidRPr="00612514">
        <w:t>ecast);</w:t>
      </w:r>
    </w:p>
    <w:p w:rsidR="00CD4B60" w:rsidRPr="00612514" w:rsidRDefault="00CD4B60">
      <w:pPr>
        <w:pStyle w:val="Tiret0"/>
        <w:numPr>
          <w:ilvl w:val="0"/>
          <w:numId w:val="18"/>
        </w:numPr>
        <w:spacing w:after="120"/>
        <w:ind w:left="851" w:hanging="851"/>
      </w:pPr>
      <w:r w:rsidRPr="00612514">
        <w:t xml:space="preserve">the regulation on the European Union Agency for Law Enforcement Cooperation and Training (Europol) and repealing </w:t>
      </w:r>
      <w:r w:rsidR="00B80AD0">
        <w:t>d</w:t>
      </w:r>
      <w:r w:rsidRPr="00612514">
        <w:t>ecisions 2009/371/JHA and 2005/681/JHA;</w:t>
      </w:r>
    </w:p>
    <w:p w:rsidR="00CD4B60" w:rsidRPr="00612514" w:rsidRDefault="00CD4B60">
      <w:r w:rsidRPr="00612514">
        <w:t xml:space="preserve">The Council took note of information from the </w:t>
      </w:r>
      <w:r w:rsidR="00CB71A1">
        <w:t>p</w:t>
      </w:r>
      <w:r w:rsidRPr="00612514">
        <w:t xml:space="preserve">residency on the outcome of the EU-US JHA </w:t>
      </w:r>
      <w:r w:rsidR="00B80AD0">
        <w:t>m</w:t>
      </w:r>
      <w:r w:rsidRPr="00612514">
        <w:t>inisterial meeting that took place in Riga on 2-3 June.</w:t>
      </w:r>
    </w:p>
    <w:p w:rsidR="00CD4B60" w:rsidRPr="00612514" w:rsidRDefault="00CD4B60">
      <w:pPr>
        <w:pStyle w:val="Dash2"/>
        <w:numPr>
          <w:ilvl w:val="0"/>
          <w:numId w:val="0"/>
        </w:numPr>
        <w:tabs>
          <w:tab w:val="left" w:pos="720"/>
        </w:tabs>
        <w:rPr>
          <w:rFonts w:eastAsia="Calibri" w:cstheme="minorBidi"/>
        </w:rPr>
      </w:pPr>
      <w:r w:rsidRPr="00612514">
        <w:t xml:space="preserve">The Slovenian delegation informed the Council about the outcome of the </w:t>
      </w:r>
      <w:r w:rsidRPr="00612514">
        <w:rPr>
          <w:rFonts w:eastAsia="Calibri"/>
        </w:rPr>
        <w:t xml:space="preserve">Justice and Home Affairs </w:t>
      </w:r>
      <w:r w:rsidR="00B80AD0">
        <w:rPr>
          <w:rFonts w:eastAsia="Calibri"/>
        </w:rPr>
        <w:t>m</w:t>
      </w:r>
      <w:r w:rsidRPr="00612514">
        <w:rPr>
          <w:rFonts w:eastAsia="Calibri"/>
        </w:rPr>
        <w:t xml:space="preserve">inisterial </w:t>
      </w:r>
      <w:r w:rsidR="00B80AD0">
        <w:rPr>
          <w:rFonts w:eastAsia="Calibri"/>
        </w:rPr>
        <w:t>c</w:t>
      </w:r>
      <w:r w:rsidRPr="00612514">
        <w:rPr>
          <w:rFonts w:eastAsia="Calibri"/>
        </w:rPr>
        <w:t>onference of the Brdo Process and South-East European Cooperation Process that took place in Budva (Montenegro) on 16 and17 April 2015.</w:t>
      </w:r>
    </w:p>
    <w:p w:rsidR="00CD4B60" w:rsidRPr="00612514" w:rsidRDefault="00CD4B60">
      <w:pPr>
        <w:pStyle w:val="Dash2"/>
        <w:numPr>
          <w:ilvl w:val="0"/>
          <w:numId w:val="0"/>
        </w:numPr>
        <w:tabs>
          <w:tab w:val="left" w:pos="720"/>
        </w:tabs>
        <w:spacing w:before="120" w:after="240"/>
        <w:rPr>
          <w:rFonts w:eastAsia="Calibri"/>
        </w:rPr>
      </w:pPr>
      <w:r w:rsidRPr="00612514">
        <w:rPr>
          <w:rFonts w:eastAsia="Calibri" w:cstheme="minorBidi"/>
        </w:rPr>
        <w:t xml:space="preserve">The Austrian delegation informed the Council about the outcome of the </w:t>
      </w:r>
      <w:r w:rsidRPr="00612514">
        <w:rPr>
          <w:rFonts w:eastAsia="Calibri"/>
        </w:rPr>
        <w:t xml:space="preserve">Salzburg Forum </w:t>
      </w:r>
      <w:r w:rsidR="00B80AD0">
        <w:rPr>
          <w:rFonts w:eastAsia="Calibri"/>
        </w:rPr>
        <w:t>m</w:t>
      </w:r>
      <w:r w:rsidRPr="00612514">
        <w:rPr>
          <w:rFonts w:eastAsia="Calibri"/>
        </w:rPr>
        <w:t xml:space="preserve">inisterial </w:t>
      </w:r>
      <w:r w:rsidR="00B80AD0">
        <w:rPr>
          <w:rFonts w:eastAsia="Calibri"/>
        </w:rPr>
        <w:t>c</w:t>
      </w:r>
      <w:r w:rsidRPr="00612514">
        <w:rPr>
          <w:rFonts w:eastAsia="Calibri"/>
        </w:rPr>
        <w:t xml:space="preserve">onference that took place in St. Pölten (Austria) on 4 and 5 May 2015 and of the </w:t>
      </w:r>
      <w:r w:rsidR="00B80AD0">
        <w:rPr>
          <w:rFonts w:eastAsia="Calibri"/>
        </w:rPr>
        <w:t>i</w:t>
      </w:r>
      <w:r w:rsidRPr="00612514">
        <w:rPr>
          <w:rFonts w:eastAsia="Calibri"/>
        </w:rPr>
        <w:t xml:space="preserve">nternational </w:t>
      </w:r>
      <w:r w:rsidR="00B80AD0">
        <w:rPr>
          <w:rFonts w:eastAsia="Calibri"/>
        </w:rPr>
        <w:t>m</w:t>
      </w:r>
      <w:r w:rsidRPr="00612514">
        <w:rPr>
          <w:rFonts w:eastAsia="Calibri"/>
        </w:rPr>
        <w:t xml:space="preserve">inisterial conference of </w:t>
      </w:r>
      <w:r w:rsidR="00B80AD0">
        <w:rPr>
          <w:rFonts w:eastAsia="Calibri"/>
        </w:rPr>
        <w:t>f</w:t>
      </w:r>
      <w:r w:rsidRPr="00612514">
        <w:rPr>
          <w:rFonts w:eastAsia="Calibri"/>
        </w:rPr>
        <w:t xml:space="preserve">oreign and </w:t>
      </w:r>
      <w:r w:rsidR="00B80AD0">
        <w:rPr>
          <w:rFonts w:eastAsia="Calibri"/>
        </w:rPr>
        <w:t>i</w:t>
      </w:r>
      <w:r w:rsidRPr="00612514">
        <w:rPr>
          <w:rFonts w:eastAsia="Calibri"/>
        </w:rPr>
        <w:t xml:space="preserve">nterior </w:t>
      </w:r>
      <w:r w:rsidR="00B80AD0">
        <w:rPr>
          <w:rFonts w:eastAsia="Calibri"/>
        </w:rPr>
        <w:t>m</w:t>
      </w:r>
      <w:r w:rsidRPr="00612514">
        <w:rPr>
          <w:rFonts w:eastAsia="Calibri"/>
        </w:rPr>
        <w:t>inisters on "Tackling Jihadism Together" that took place in Vienna on 20 March 2015.</w:t>
      </w:r>
    </w:p>
    <w:p w:rsidR="00CD4B60" w:rsidRPr="00612514" w:rsidRDefault="006E332E">
      <w:pPr>
        <w:pStyle w:val="Dash2"/>
        <w:numPr>
          <w:ilvl w:val="0"/>
          <w:numId w:val="0"/>
        </w:numPr>
        <w:tabs>
          <w:tab w:val="left" w:pos="720"/>
        </w:tabs>
        <w:spacing w:before="120" w:after="240"/>
      </w:pPr>
      <w:r w:rsidRPr="00612514">
        <w:br w:type="page"/>
      </w:r>
      <w:r w:rsidR="00CD4B60" w:rsidRPr="00612514">
        <w:t xml:space="preserve">The Luxembourg </w:t>
      </w:r>
      <w:r w:rsidR="00B80AD0">
        <w:t>m</w:t>
      </w:r>
      <w:r w:rsidR="00CD4B60" w:rsidRPr="00612514">
        <w:t xml:space="preserve">inisters informed the Council about the upcoming Luxembourg EU </w:t>
      </w:r>
      <w:r w:rsidR="00CB71A1">
        <w:t>p</w:t>
      </w:r>
      <w:r w:rsidR="00CD4B60" w:rsidRPr="00612514">
        <w:t xml:space="preserve">residency's priorities in the area of Justice and Home Affairs, with regard to which the </w:t>
      </w:r>
      <w:r w:rsidR="00CB71A1">
        <w:t>p</w:t>
      </w:r>
      <w:r w:rsidR="00CD4B60" w:rsidRPr="00612514">
        <w:t>residency intends to work intensively in cooperation with the European Commission and the European Parliament.</w:t>
      </w:r>
    </w:p>
    <w:p w:rsidR="00CD4B60" w:rsidRPr="00612514" w:rsidRDefault="00CD4B60" w:rsidP="006E332E">
      <w:pPr>
        <w:pStyle w:val="Dash2"/>
        <w:numPr>
          <w:ilvl w:val="0"/>
          <w:numId w:val="0"/>
        </w:numPr>
        <w:tabs>
          <w:tab w:val="left" w:pos="720"/>
        </w:tabs>
        <w:spacing w:before="120" w:after="240"/>
      </w:pPr>
      <w:r w:rsidRPr="00612514">
        <w:t xml:space="preserve">The Luxembourg Minister of Justice thanked the Latvian presidency for the work accomplished. It is the firm intention of the Luxembourg presidency to conclude the data protection reform before the end of this year. Negotiations with the European Parliament on the data protection regulation will start this month. In parallel to these negotiations, work in </w:t>
      </w:r>
      <w:r w:rsidR="00CB71A1">
        <w:t xml:space="preserve">the </w:t>
      </w:r>
      <w:r w:rsidRPr="00612514">
        <w:t>Council on the data protection directive in the law enforcement area will be accelerated with the aim to find a general approach in October 2015.</w:t>
      </w:r>
    </w:p>
    <w:p w:rsidR="00CD4B60" w:rsidRPr="00612514" w:rsidRDefault="00CD4B60">
      <w:pPr>
        <w:pStyle w:val="Dash2"/>
        <w:numPr>
          <w:ilvl w:val="0"/>
          <w:numId w:val="0"/>
        </w:numPr>
        <w:tabs>
          <w:tab w:val="left" w:pos="720"/>
        </w:tabs>
        <w:spacing w:before="120" w:after="240"/>
      </w:pPr>
      <w:r w:rsidRPr="00612514">
        <w:t xml:space="preserve">The regulation setting up the European Public Prosecutor's Office, the directive on the protection of the financial interests of the EU and the reform of Eurojust are important issues for the Luxembourg presidency. The directives on procedural safeguards in criminal matters, the judicial cooperation in family law and the free movement of public documents will also be a priority. For the Luxembourg </w:t>
      </w:r>
      <w:r w:rsidR="00CB71A1">
        <w:t>p</w:t>
      </w:r>
      <w:r w:rsidRPr="00612514">
        <w:t>residency it is also important to give a political signal in favo</w:t>
      </w:r>
      <w:r w:rsidR="00CB71A1">
        <w:t>u</w:t>
      </w:r>
      <w:r w:rsidRPr="00612514">
        <w:t>r of the continuation of the accession process of the EU to the European Convention of Human Rights.</w:t>
      </w:r>
    </w:p>
    <w:p w:rsidR="00CD4B60" w:rsidRPr="00612514" w:rsidRDefault="00CD4B60">
      <w:pPr>
        <w:pStyle w:val="Dash2"/>
        <w:numPr>
          <w:ilvl w:val="0"/>
          <w:numId w:val="0"/>
        </w:numPr>
        <w:tabs>
          <w:tab w:val="left" w:pos="720"/>
        </w:tabs>
        <w:spacing w:before="120" w:after="240"/>
      </w:pPr>
      <w:r w:rsidRPr="00612514">
        <w:t xml:space="preserve">The Luxembourg </w:t>
      </w:r>
      <w:r w:rsidR="00CB71A1">
        <w:t>M</w:t>
      </w:r>
      <w:r w:rsidRPr="00612514">
        <w:t xml:space="preserve">inister for Migration and Asylum highlighted the work that the Luxembourg </w:t>
      </w:r>
      <w:r w:rsidR="00CB71A1">
        <w:t>p</w:t>
      </w:r>
      <w:r w:rsidRPr="00612514">
        <w:t xml:space="preserve">residency intends to carry out as regards the Commission's proposal for a European Agenda on Migration. The Agenda on </w:t>
      </w:r>
      <w:r w:rsidR="00CB71A1">
        <w:t>M</w:t>
      </w:r>
      <w:r w:rsidRPr="00612514">
        <w:t>igration will be handled as a package and work will be sequenced according to short</w:t>
      </w:r>
      <w:r w:rsidR="00CB71A1">
        <w:t>-</w:t>
      </w:r>
      <w:r w:rsidRPr="00612514">
        <w:t>term, medium</w:t>
      </w:r>
      <w:r w:rsidR="00CB71A1">
        <w:t>-</w:t>
      </w:r>
      <w:r w:rsidRPr="00612514">
        <w:t>term and long</w:t>
      </w:r>
      <w:r w:rsidR="00CB71A1">
        <w:t>-</w:t>
      </w:r>
      <w:r w:rsidRPr="00612514">
        <w:t>term priorities. In the context of the current migratory pressure, the proposed instruments on relocation and resettlement will be dealt with as a matter of urgency, in parallel to the work on return/readmission.</w:t>
      </w:r>
    </w:p>
    <w:p w:rsidR="00CD4B60" w:rsidRPr="00612514" w:rsidRDefault="00CB71A1">
      <w:pPr>
        <w:pStyle w:val="Dash2"/>
        <w:numPr>
          <w:ilvl w:val="0"/>
          <w:numId w:val="0"/>
        </w:numPr>
        <w:tabs>
          <w:tab w:val="left" w:pos="720"/>
        </w:tabs>
        <w:spacing w:before="120" w:after="240"/>
      </w:pPr>
      <w:r>
        <w:t xml:space="preserve">The </w:t>
      </w:r>
      <w:r w:rsidR="00CD4B60" w:rsidRPr="00612514">
        <w:t xml:space="preserve">Luxembourg </w:t>
      </w:r>
      <w:r>
        <w:t>M</w:t>
      </w:r>
      <w:r w:rsidR="00CD4B60" w:rsidRPr="00612514">
        <w:t xml:space="preserve">inister for Internal </w:t>
      </w:r>
      <w:r>
        <w:t>S</w:t>
      </w:r>
      <w:r w:rsidR="00CD4B60" w:rsidRPr="00612514">
        <w:t xml:space="preserve">ecurity stressed the importance of the fight against terrorism with special emphasis on foreign terrorist fighters and establishing an effective EU PNR system, the fight against organised crime and the practical implementation of the Internal Security Strategy 2015-2020 as important topics for the </w:t>
      </w:r>
      <w:r>
        <w:t>h</w:t>
      </w:r>
      <w:r w:rsidR="00CD4B60" w:rsidRPr="00612514">
        <w:t xml:space="preserve">ome </w:t>
      </w:r>
      <w:r>
        <w:t>a</w:t>
      </w:r>
      <w:r w:rsidR="00CD4B60" w:rsidRPr="00612514">
        <w:t>ffairs area in the upcoming six months.</w:t>
      </w:r>
    </w:p>
    <w:p w:rsidR="00E0108A" w:rsidRPr="00612514" w:rsidRDefault="00E0108A" w:rsidP="00E0108A">
      <w:pPr>
        <w:sectPr w:rsidR="00E0108A" w:rsidRPr="00612514" w:rsidSect="00613C7B">
          <w:footnotePr>
            <w:numRestart w:val="eachPage"/>
          </w:footnotePr>
          <w:pgSz w:w="11907" w:h="16840" w:code="9"/>
          <w:pgMar w:top="1134" w:right="1134" w:bottom="1134" w:left="1134" w:header="567" w:footer="567" w:gutter="0"/>
          <w:cols w:space="708"/>
          <w:docGrid w:linePitch="360"/>
        </w:sectPr>
      </w:pPr>
    </w:p>
    <w:p w:rsidR="00E0108A" w:rsidRPr="00612514" w:rsidRDefault="00E0108A" w:rsidP="00E0108A">
      <w:pPr>
        <w:pStyle w:val="ItemsApprovedHeading"/>
      </w:pPr>
      <w:r w:rsidRPr="00612514">
        <w:t>OTHER ITEMS APPROVED</w:t>
      </w:r>
    </w:p>
    <w:p w:rsidR="001914F0" w:rsidRPr="00612514" w:rsidRDefault="001914F0" w:rsidP="001914F0">
      <w:pPr>
        <w:pStyle w:val="ItemApproved"/>
      </w:pPr>
      <w:r w:rsidRPr="00612514">
        <w:t>JUSTICE AND HOME AFFAIRS</w:t>
      </w:r>
    </w:p>
    <w:p w:rsidR="001914F0" w:rsidRPr="00612514" w:rsidRDefault="001914F0" w:rsidP="001914F0">
      <w:pPr>
        <w:pStyle w:val="Sub-itemApproved"/>
      </w:pPr>
      <w:bookmarkStart w:id="14" w:name="_Toc422247044"/>
      <w:r w:rsidRPr="00612514">
        <w:t>e-Justice</w:t>
      </w:r>
      <w:bookmarkEnd w:id="14"/>
    </w:p>
    <w:p w:rsidR="001914F0" w:rsidRPr="00612514" w:rsidRDefault="001914F0" w:rsidP="001914F0">
      <w:r w:rsidRPr="00612514">
        <w:t xml:space="preserve">The Council endorsed a set of </w:t>
      </w:r>
      <w:hyperlink r:id="rId25" w:history="1">
        <w:r w:rsidRPr="00612514">
          <w:rPr>
            <w:rStyle w:val="Hyperlink"/>
          </w:rPr>
          <w:t>guidelines</w:t>
        </w:r>
      </w:hyperlink>
      <w:r w:rsidRPr="00612514">
        <w:t xml:space="preserve"> for the implementation of the Multiannual European e-Justice Action Plan 2014-2018.</w:t>
      </w:r>
    </w:p>
    <w:p w:rsidR="001914F0" w:rsidRPr="00612514" w:rsidRDefault="001914F0" w:rsidP="001914F0">
      <w:pPr>
        <w:pStyle w:val="Sub-itemApproved"/>
      </w:pPr>
      <w:bookmarkStart w:id="15" w:name="_Toc422247045"/>
      <w:r w:rsidRPr="00612514">
        <w:t>e-Justice - cross-border videoconferencing</w:t>
      </w:r>
      <w:bookmarkEnd w:id="15"/>
    </w:p>
    <w:p w:rsidR="001914F0" w:rsidRPr="00612514" w:rsidRDefault="001914F0" w:rsidP="001914F0">
      <w:pPr>
        <w:autoSpaceDE w:val="0"/>
        <w:autoSpaceDN w:val="0"/>
        <w:adjustRightInd w:val="0"/>
      </w:pPr>
      <w:r w:rsidRPr="00612514">
        <w:t>The Council adopted a set of recommendations (</w:t>
      </w:r>
      <w:hyperlink r:id="rId26" w:tooltip="http://data.consilium.europa.eu/doc/document/ST-9206-2015-INIT/en/pdf" w:history="1">
        <w:r w:rsidRPr="00612514">
          <w:rPr>
            <w:rStyle w:val="Hyperlink"/>
          </w:rPr>
          <w:t>9206/15</w:t>
        </w:r>
      </w:hyperlink>
      <w:r w:rsidRPr="00612514">
        <w:t xml:space="preserve"> + </w:t>
      </w:r>
      <w:hyperlink r:id="rId27" w:tooltip="http://data.consilium.europa.eu/doc/document/ST-9206-2015-COR-1/en/pdf" w:history="1">
        <w:r w:rsidR="008C44EF" w:rsidRPr="00612514">
          <w:rPr>
            <w:rStyle w:val="Hyperlink"/>
          </w:rPr>
          <w:t>COR 1</w:t>
        </w:r>
      </w:hyperlink>
      <w:r w:rsidRPr="00612514">
        <w:t>) to offer concrete guidelines for the member states to improve the use of videoconferencing technology in the area of justice.</w:t>
      </w:r>
    </w:p>
    <w:p w:rsidR="001914F0" w:rsidRPr="00612514" w:rsidRDefault="001914F0" w:rsidP="001914F0">
      <w:pPr>
        <w:autoSpaceDE w:val="0"/>
        <w:autoSpaceDN w:val="0"/>
        <w:adjustRightInd w:val="0"/>
      </w:pPr>
      <w:r w:rsidRPr="00612514">
        <w:rPr>
          <w:color w:val="000000"/>
          <w:lang w:eastAsia="en-GB"/>
        </w:rPr>
        <w:t>Ever since the first European e-Justice Action Plan 2009-2013, the use of videoconferencing technology has been one of the key issues in the modernisation of justice at EU level. It was also included in the Multiannual European e-Justice Action Plan 2014-2018</w:t>
      </w:r>
      <w:r w:rsidRPr="00612514">
        <w:rPr>
          <w:b/>
          <w:bCs/>
          <w:color w:val="000000"/>
          <w:lang w:eastAsia="en-GB"/>
        </w:rPr>
        <w:t xml:space="preserve"> </w:t>
      </w:r>
      <w:r w:rsidRPr="00612514">
        <w:rPr>
          <w:color w:val="000000"/>
          <w:lang w:eastAsia="en-GB"/>
        </w:rPr>
        <w:t>adopted in June 2014 in the list of priority projects to be considered for implementation in the 2014-2018 period.</w:t>
      </w:r>
    </w:p>
    <w:p w:rsidR="00E239B1" w:rsidRPr="00612514" w:rsidRDefault="00E239B1" w:rsidP="00E239B1">
      <w:pPr>
        <w:pStyle w:val="Sub-itemApproved"/>
      </w:pPr>
      <w:bookmarkStart w:id="16" w:name="_Toc422247046"/>
      <w:r w:rsidRPr="00612514">
        <w:t>Genocide, crimes against humanity and war crimes</w:t>
      </w:r>
      <w:bookmarkEnd w:id="16"/>
    </w:p>
    <w:p w:rsidR="00E239B1" w:rsidRPr="00612514" w:rsidRDefault="00E239B1" w:rsidP="00E239B1">
      <w:pPr>
        <w:pStyle w:val="Default"/>
        <w:rPr>
          <w:color w:val="auto"/>
          <w:lang w:eastAsia="fr-BE"/>
        </w:rPr>
      </w:pPr>
      <w:r w:rsidRPr="00612514">
        <w:rPr>
          <w:rFonts w:ascii="Times New Roman" w:hAnsi="Times New Roman" w:cs="Times New Roman"/>
          <w:color w:val="auto"/>
          <w:lang w:eastAsia="fr-BE"/>
        </w:rPr>
        <w:t xml:space="preserve">The Council adopted </w:t>
      </w:r>
      <w:r w:rsidR="009B1563" w:rsidRPr="00612514">
        <w:rPr>
          <w:rFonts w:ascii="Times New Roman" w:hAnsi="Times New Roman" w:cs="Times New Roman"/>
          <w:color w:val="auto"/>
          <w:lang w:eastAsia="fr-BE"/>
        </w:rPr>
        <w:t>conclusions (</w:t>
      </w:r>
      <w:hyperlink r:id="rId28" w:tooltip="http://data.consilium.europa.eu/doc/document/ST-15584-2014-REV-2/en/pdf" w:history="1">
        <w:r w:rsidR="00613C7B">
          <w:rPr>
            <w:rStyle w:val="Hyperlink"/>
            <w:rFonts w:ascii="Times New Roman" w:hAnsi="Times New Roman" w:cs="Times New Roman"/>
            <w:lang w:eastAsia="fr-BE"/>
          </w:rPr>
          <w:t>15584/2/14 REV 2</w:t>
        </w:r>
      </w:hyperlink>
      <w:bookmarkStart w:id="17" w:name="_GoBack"/>
      <w:bookmarkEnd w:id="17"/>
      <w:r w:rsidRPr="00612514">
        <w:rPr>
          <w:rFonts w:ascii="Times New Roman" w:hAnsi="Times New Roman" w:cs="Times New Roman"/>
          <w:color w:val="auto"/>
          <w:lang w:eastAsia="fr-BE"/>
        </w:rPr>
        <w:t>) on the fight against impunity for the crime of genocide, crimes against humanity and war crimes within the European Union and its member states.</w:t>
      </w:r>
    </w:p>
    <w:p w:rsidR="00E239B1" w:rsidRPr="00612514" w:rsidRDefault="00E239B1" w:rsidP="00E239B1">
      <w:pPr>
        <w:pStyle w:val="Sub-itemApproved"/>
      </w:pPr>
      <w:bookmarkStart w:id="18" w:name="_Toc422247047"/>
      <w:r w:rsidRPr="00612514">
        <w:t>Europol - General report 2014</w:t>
      </w:r>
      <w:bookmarkEnd w:id="18"/>
    </w:p>
    <w:p w:rsidR="00E239B1" w:rsidRPr="00612514" w:rsidRDefault="00E239B1" w:rsidP="00E239B1">
      <w:pPr>
        <w:autoSpaceDE w:val="0"/>
        <w:autoSpaceDN w:val="0"/>
        <w:adjustRightInd w:val="0"/>
        <w:rPr>
          <w:color w:val="000000"/>
          <w:lang w:eastAsia="en-GB"/>
        </w:rPr>
      </w:pPr>
      <w:r w:rsidRPr="00612514">
        <w:t xml:space="preserve">The Council endorsed the general </w:t>
      </w:r>
      <w:hyperlink r:id="rId29" w:history="1">
        <w:r w:rsidRPr="00612514">
          <w:rPr>
            <w:rStyle w:val="Hyperlink"/>
          </w:rPr>
          <w:t>report</w:t>
        </w:r>
      </w:hyperlink>
      <w:r w:rsidRPr="00612514">
        <w:t xml:space="preserve"> on Europol's activities in 2014 and forwarded it to the European Parliament for information.</w:t>
      </w:r>
    </w:p>
    <w:p w:rsidR="00E239B1" w:rsidRPr="00612514" w:rsidRDefault="00E239B1" w:rsidP="00E239B1">
      <w:pPr>
        <w:pStyle w:val="Sub-itemApproved"/>
      </w:pPr>
      <w:bookmarkStart w:id="19" w:name="_Toc422247048"/>
      <w:r w:rsidRPr="00612514">
        <w:t>Protection against theft</w:t>
      </w:r>
      <w:bookmarkEnd w:id="19"/>
    </w:p>
    <w:p w:rsidR="00E239B1" w:rsidRPr="00612514" w:rsidRDefault="00E239B1" w:rsidP="00E239B1">
      <w:r w:rsidRPr="00612514">
        <w:t xml:space="preserve">The Council adopted </w:t>
      </w:r>
      <w:hyperlink r:id="rId30" w:history="1">
        <w:r w:rsidRPr="00612514">
          <w:rPr>
            <w:rStyle w:val="Hyperlink"/>
          </w:rPr>
          <w:t>conclusions</w:t>
        </w:r>
      </w:hyperlink>
      <w:r w:rsidRPr="00612514">
        <w:t xml:space="preserve"> concerning the introduction of mandatory standardised marking of construction machinery and agricultural and forestry vehicles in order to better protect them against theft</w:t>
      </w:r>
    </w:p>
    <w:p w:rsidR="00062C15" w:rsidRPr="00612514" w:rsidRDefault="00E72746" w:rsidP="00062C15">
      <w:pPr>
        <w:pStyle w:val="Sub-itemApproved"/>
      </w:pPr>
      <w:r w:rsidRPr="00612514">
        <w:br w:type="page"/>
      </w:r>
      <w:bookmarkStart w:id="20" w:name="_Toc422247049"/>
      <w:r w:rsidR="00062C15" w:rsidRPr="00612514">
        <w:t>Hague Convention on the Civil Aspects of International Child Abduction</w:t>
      </w:r>
      <w:bookmarkEnd w:id="20"/>
    </w:p>
    <w:p w:rsidR="00062C15" w:rsidRPr="00612514" w:rsidRDefault="00062C15" w:rsidP="00062C15">
      <w:r w:rsidRPr="00612514">
        <w:t xml:space="preserve">The Council adopted two decisions authorising certain member states to accept, in the interest of the European Union, the accession of </w:t>
      </w:r>
      <w:hyperlink r:id="rId31" w:history="1">
        <w:r w:rsidRPr="00612514">
          <w:rPr>
            <w:rStyle w:val="Hyperlink"/>
          </w:rPr>
          <w:t>Andorra</w:t>
        </w:r>
      </w:hyperlink>
      <w:r w:rsidRPr="00612514">
        <w:t xml:space="preserve"> and </w:t>
      </w:r>
      <w:hyperlink r:id="rId32" w:history="1">
        <w:r w:rsidRPr="00612514">
          <w:rPr>
            <w:rStyle w:val="Hyperlink"/>
          </w:rPr>
          <w:t>Singapore</w:t>
        </w:r>
      </w:hyperlink>
      <w:r w:rsidRPr="00612514">
        <w:t xml:space="preserve"> to the 1980 Hague Convention on the Civil Aspects of International Child Abduction.</w:t>
      </w:r>
    </w:p>
    <w:p w:rsidR="00E72746" w:rsidRPr="00612514" w:rsidRDefault="00E72746" w:rsidP="003F4D60">
      <w:pPr>
        <w:pStyle w:val="Sub-itemApproved"/>
      </w:pPr>
      <w:bookmarkStart w:id="21" w:name="_Toc422247050"/>
      <w:r w:rsidRPr="00612514">
        <w:t>Mobility Partnership EU-Belarus</w:t>
      </w:r>
      <w:bookmarkEnd w:id="21"/>
    </w:p>
    <w:p w:rsidR="00E72746" w:rsidRPr="00612514" w:rsidRDefault="00E72746" w:rsidP="00E72746">
      <w:r w:rsidRPr="00612514">
        <w:t>The Council confirmed the agreement on the Joint Declaration establishing a Mobility Partnership between Belarus and the European Union and its participating member states.</w:t>
      </w:r>
    </w:p>
    <w:p w:rsidR="00E72746" w:rsidRPr="00612514" w:rsidRDefault="00E72746" w:rsidP="00E72746">
      <w:r w:rsidRPr="00612514">
        <w:t>Mobility Partnerships are established in those cases where they can bring added value both to the EU and the third country concerned on the management of migration flows.</w:t>
      </w:r>
    </w:p>
    <w:p w:rsidR="00E72746" w:rsidRPr="00612514" w:rsidRDefault="00E72746" w:rsidP="00E72746">
      <w:r w:rsidRPr="00612514">
        <w:t>Belarus is among the third countries with which the EU intends to develop cooperation in the area of migration. Mobility Partnerships have already been established with a majority of countries belonging to the Eastern Partnership (namely Armenia, Azerbaijan, Georgia and the Republic of Moldova).</w:t>
      </w:r>
    </w:p>
    <w:p w:rsidR="00895676" w:rsidRPr="00612514" w:rsidRDefault="00895676" w:rsidP="00E0108A">
      <w:pPr>
        <w:pStyle w:val="FinalLine"/>
      </w:pPr>
    </w:p>
    <w:sectPr w:rsidR="00895676" w:rsidRPr="00612514" w:rsidSect="00613C7B">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08A" w:rsidRDefault="00E0108A">
      <w:pPr>
        <w:spacing w:before="0" w:after="0"/>
      </w:pPr>
      <w:r>
        <w:separator/>
      </w:r>
    </w:p>
  </w:endnote>
  <w:endnote w:type="continuationSeparator" w:id="0">
    <w:p w:rsidR="00E0108A" w:rsidRDefault="00E010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7B" w:rsidRPr="00613C7B" w:rsidRDefault="00613C7B" w:rsidP="00613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13C7B" w:rsidRPr="007410E8" w:rsidTr="00613C7B">
      <w:trPr>
        <w:jc w:val="center"/>
      </w:trPr>
      <w:tc>
        <w:tcPr>
          <w:tcW w:w="2604" w:type="pct"/>
          <w:shd w:val="clear" w:color="auto" w:fill="auto"/>
        </w:tcPr>
        <w:p w:rsidR="00613C7B" w:rsidRPr="007410E8" w:rsidRDefault="00613C7B" w:rsidP="0035025C">
          <w:pPr>
            <w:pStyle w:val="FooterText"/>
            <w:rPr>
              <w:sz w:val="16"/>
              <w:szCs w:val="16"/>
            </w:rPr>
          </w:pPr>
          <w:bookmarkStart w:id="1" w:name="FOOTER_PR_STANDARD"/>
        </w:p>
      </w:tc>
      <w:tc>
        <w:tcPr>
          <w:tcW w:w="1319" w:type="pct"/>
          <w:shd w:val="clear" w:color="auto" w:fill="auto"/>
        </w:tcPr>
        <w:p w:rsidR="00613C7B" w:rsidRPr="007410E8" w:rsidRDefault="00613C7B" w:rsidP="0035025C">
          <w:pPr>
            <w:pStyle w:val="FooterText"/>
            <w:rPr>
              <w:sz w:val="16"/>
              <w:szCs w:val="16"/>
            </w:rPr>
          </w:pPr>
        </w:p>
      </w:tc>
      <w:tc>
        <w:tcPr>
          <w:tcW w:w="1077" w:type="pct"/>
          <w:shd w:val="clear" w:color="auto" w:fill="auto"/>
        </w:tcPr>
        <w:p w:rsidR="00613C7B" w:rsidRPr="007410E8" w:rsidRDefault="00613C7B" w:rsidP="0035025C">
          <w:pPr>
            <w:pStyle w:val="FooterText"/>
            <w:jc w:val="right"/>
            <w:rPr>
              <w:sz w:val="16"/>
              <w:szCs w:val="16"/>
            </w:rPr>
          </w:pPr>
        </w:p>
      </w:tc>
    </w:tr>
    <w:tr w:rsidR="00613C7B" w:rsidRPr="007410E8" w:rsidTr="00613C7B">
      <w:trPr>
        <w:jc w:val="center"/>
      </w:trPr>
      <w:tc>
        <w:tcPr>
          <w:tcW w:w="2604" w:type="pct"/>
          <w:shd w:val="clear" w:color="auto" w:fill="auto"/>
        </w:tcPr>
        <w:p w:rsidR="00613C7B" w:rsidRPr="007410E8" w:rsidRDefault="00613C7B" w:rsidP="0035025C">
          <w:pPr>
            <w:pStyle w:val="FooterText"/>
            <w:rPr>
              <w:sz w:val="16"/>
            </w:rPr>
          </w:pPr>
          <w:r>
            <w:t>9951/15</w:t>
          </w:r>
          <w:r w:rsidRPr="002511D8">
            <w:t xml:space="preserve"> </w:t>
          </w:r>
        </w:p>
      </w:tc>
      <w:tc>
        <w:tcPr>
          <w:tcW w:w="1319" w:type="pct"/>
          <w:shd w:val="clear" w:color="auto" w:fill="auto"/>
        </w:tcPr>
        <w:p w:rsidR="00613C7B" w:rsidRPr="007410E8" w:rsidRDefault="00613C7B" w:rsidP="0035025C">
          <w:pPr>
            <w:pStyle w:val="FooterText"/>
            <w:rPr>
              <w:sz w:val="16"/>
            </w:rPr>
          </w:pPr>
        </w:p>
      </w:tc>
      <w:tc>
        <w:tcPr>
          <w:tcW w:w="1077" w:type="pct"/>
          <w:shd w:val="clear" w:color="auto" w:fill="auto"/>
        </w:tcPr>
        <w:p w:rsidR="00613C7B" w:rsidRPr="007410E8" w:rsidRDefault="00613C7B" w:rsidP="0035025C">
          <w:pPr>
            <w:pStyle w:val="FooterText"/>
            <w:jc w:val="right"/>
            <w:rPr>
              <w:sz w:val="16"/>
            </w:rPr>
          </w:pPr>
          <w:r>
            <w:fldChar w:fldCharType="begin"/>
          </w:r>
          <w:r>
            <w:instrText xml:space="preserve"> PAGE  \* MERGEFORMAT </w:instrText>
          </w:r>
          <w:r>
            <w:fldChar w:fldCharType="separate"/>
          </w:r>
          <w:r>
            <w:rPr>
              <w:noProof/>
            </w:rPr>
            <w:t>3</w:t>
          </w:r>
          <w:r>
            <w:fldChar w:fldCharType="end"/>
          </w:r>
        </w:p>
      </w:tc>
    </w:tr>
    <w:tr w:rsidR="00613C7B" w:rsidRPr="007410E8" w:rsidTr="00613C7B">
      <w:trPr>
        <w:jc w:val="center"/>
      </w:trPr>
      <w:tc>
        <w:tcPr>
          <w:tcW w:w="2604" w:type="pct"/>
          <w:shd w:val="clear" w:color="auto" w:fill="auto"/>
        </w:tcPr>
        <w:p w:rsidR="00613C7B" w:rsidRPr="007410E8" w:rsidRDefault="00613C7B" w:rsidP="0035025C">
          <w:pPr>
            <w:pStyle w:val="FooterText"/>
            <w:rPr>
              <w:sz w:val="16"/>
            </w:rPr>
          </w:pPr>
        </w:p>
      </w:tc>
      <w:tc>
        <w:tcPr>
          <w:tcW w:w="1319" w:type="pct"/>
          <w:shd w:val="clear" w:color="auto" w:fill="auto"/>
        </w:tcPr>
        <w:p w:rsidR="00613C7B" w:rsidRPr="007410E8" w:rsidRDefault="00613C7B" w:rsidP="0035025C">
          <w:pPr>
            <w:pStyle w:val="FooterText"/>
            <w:rPr>
              <w:sz w:val="16"/>
            </w:rPr>
          </w:pPr>
        </w:p>
      </w:tc>
      <w:tc>
        <w:tcPr>
          <w:tcW w:w="1077" w:type="pct"/>
          <w:shd w:val="clear" w:color="auto" w:fill="auto"/>
        </w:tcPr>
        <w:p w:rsidR="00613C7B" w:rsidRPr="007410E8" w:rsidRDefault="00613C7B" w:rsidP="0035025C">
          <w:pPr>
            <w:pStyle w:val="FooterText"/>
            <w:jc w:val="right"/>
            <w:rPr>
              <w:sz w:val="16"/>
            </w:rPr>
          </w:pPr>
          <w:r>
            <w:rPr>
              <w:b/>
              <w:position w:val="-4"/>
              <w:sz w:val="36"/>
            </w:rPr>
            <w:t>EN</w:t>
          </w:r>
        </w:p>
      </w:tc>
    </w:tr>
    <w:bookmarkEnd w:id="1"/>
  </w:tbl>
  <w:p w:rsidR="00926EAF" w:rsidRPr="00613C7B" w:rsidRDefault="00926EAF" w:rsidP="00613C7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613C7B" w:rsidRPr="009C2FB3" w:rsidTr="00613C7B">
      <w:trPr>
        <w:jc w:val="center"/>
      </w:trPr>
      <w:tc>
        <w:tcPr>
          <w:tcW w:w="569" w:type="pct"/>
          <w:shd w:val="clear" w:color="auto" w:fill="auto"/>
        </w:tcPr>
        <w:p w:rsidR="00613C7B" w:rsidRPr="009C2FB3" w:rsidRDefault="00613C7B" w:rsidP="0035025C">
          <w:pPr>
            <w:pStyle w:val="FooterText"/>
          </w:pPr>
          <w:bookmarkStart w:id="2" w:name="FOOTER_PR_COVERPAGE"/>
        </w:p>
      </w:tc>
      <w:tc>
        <w:tcPr>
          <w:tcW w:w="3760" w:type="pct"/>
          <w:gridSpan w:val="3"/>
          <w:shd w:val="clear" w:color="auto" w:fill="auto"/>
          <w:noWrap/>
        </w:tcPr>
        <w:p w:rsidR="00613C7B" w:rsidRPr="00F37CD6" w:rsidRDefault="00613C7B"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613C7B" w:rsidRPr="009C2FB3" w:rsidRDefault="00613C7B" w:rsidP="0035025C">
          <w:pPr>
            <w:pStyle w:val="FooterText"/>
          </w:pPr>
        </w:p>
      </w:tc>
    </w:tr>
    <w:tr w:rsidR="00613C7B" w:rsidRPr="007410E8" w:rsidTr="00613C7B">
      <w:trPr>
        <w:jc w:val="center"/>
      </w:trPr>
      <w:tc>
        <w:tcPr>
          <w:tcW w:w="5000" w:type="pct"/>
          <w:gridSpan w:val="5"/>
          <w:shd w:val="clear" w:color="auto" w:fill="auto"/>
        </w:tcPr>
        <w:p w:rsidR="00613C7B" w:rsidRPr="00827A78" w:rsidRDefault="00613C7B" w:rsidP="0035025C">
          <w:pPr>
            <w:pStyle w:val="FooterAddressText"/>
          </w:pPr>
        </w:p>
        <w:p w:rsidR="00613C7B" w:rsidRPr="007410E8" w:rsidRDefault="00613C7B" w:rsidP="0035025C">
          <w:pPr>
            <w:pStyle w:val="FooterAddressText"/>
          </w:pPr>
          <w:r>
            <w:t>Rue de la Loi 175  B – 1048 BRUSSELS  Tel.: +32 (0)2 281 6319  Fax: +32 (0)2 281 8026</w:t>
          </w:r>
        </w:p>
      </w:tc>
    </w:tr>
    <w:tr w:rsidR="00613C7B" w:rsidRPr="007410E8" w:rsidTr="00613C7B">
      <w:trPr>
        <w:jc w:val="center"/>
      </w:trPr>
      <w:tc>
        <w:tcPr>
          <w:tcW w:w="5000" w:type="pct"/>
          <w:gridSpan w:val="5"/>
          <w:shd w:val="clear" w:color="auto" w:fill="auto"/>
        </w:tcPr>
        <w:p w:rsidR="00613C7B" w:rsidRPr="007410E8" w:rsidRDefault="00613C7B" w:rsidP="0035025C">
          <w:pPr>
            <w:pStyle w:val="FooterText"/>
            <w:jc w:val="center"/>
            <w:rPr>
              <w:sz w:val="20"/>
              <w:szCs w:val="20"/>
            </w:rPr>
          </w:pPr>
          <w:hyperlink r:id="rId1" w:history="1">
            <w:r w:rsidRPr="00613C7B">
              <w:rPr>
                <w:rStyle w:val="Hyperlink"/>
                <w:sz w:val="20"/>
              </w:rPr>
              <w:t>press.office@consilium.europa.eu</w:t>
            </w:r>
          </w:hyperlink>
          <w:r w:rsidRPr="007410E8">
            <w:rPr>
              <w:sz w:val="20"/>
              <w:szCs w:val="20"/>
            </w:rPr>
            <w:t xml:space="preserve">  </w:t>
          </w:r>
          <w:hyperlink r:id="rId2" w:history="1">
            <w:r w:rsidRPr="00613C7B">
              <w:rPr>
                <w:rStyle w:val="Hyperlink"/>
                <w:sz w:val="20"/>
              </w:rPr>
              <w:t>http://www.consilium.europa.eu/press</w:t>
            </w:r>
          </w:hyperlink>
        </w:p>
      </w:tc>
    </w:tr>
    <w:tr w:rsidR="00613C7B" w:rsidRPr="007410E8" w:rsidTr="00613C7B">
      <w:trPr>
        <w:jc w:val="center"/>
      </w:trPr>
      <w:tc>
        <w:tcPr>
          <w:tcW w:w="2604" w:type="pct"/>
          <w:gridSpan w:val="2"/>
          <w:shd w:val="clear" w:color="auto" w:fill="auto"/>
        </w:tcPr>
        <w:p w:rsidR="00613C7B" w:rsidRPr="007410E8" w:rsidRDefault="00613C7B" w:rsidP="0035025C">
          <w:pPr>
            <w:pStyle w:val="FooterText"/>
            <w:spacing w:before="60"/>
            <w:rPr>
              <w:sz w:val="16"/>
            </w:rPr>
          </w:pPr>
          <w:r>
            <w:t>9951/15</w:t>
          </w:r>
          <w:r w:rsidRPr="002511D8">
            <w:t xml:space="preserve"> </w:t>
          </w:r>
        </w:p>
      </w:tc>
      <w:tc>
        <w:tcPr>
          <w:tcW w:w="1319" w:type="pct"/>
          <w:shd w:val="clear" w:color="auto" w:fill="auto"/>
        </w:tcPr>
        <w:p w:rsidR="00613C7B" w:rsidRPr="007410E8" w:rsidRDefault="00613C7B" w:rsidP="0035025C">
          <w:pPr>
            <w:pStyle w:val="FooterText"/>
            <w:spacing w:before="120"/>
            <w:rPr>
              <w:sz w:val="16"/>
            </w:rPr>
          </w:pPr>
        </w:p>
      </w:tc>
      <w:tc>
        <w:tcPr>
          <w:tcW w:w="1077" w:type="pct"/>
          <w:gridSpan w:val="2"/>
          <w:shd w:val="clear" w:color="auto" w:fill="auto"/>
        </w:tcPr>
        <w:p w:rsidR="00613C7B" w:rsidRPr="007410E8" w:rsidRDefault="00613C7B"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613C7B" w:rsidRPr="007410E8" w:rsidTr="00613C7B">
      <w:trPr>
        <w:jc w:val="center"/>
      </w:trPr>
      <w:tc>
        <w:tcPr>
          <w:tcW w:w="2604" w:type="pct"/>
          <w:gridSpan w:val="2"/>
          <w:shd w:val="clear" w:color="auto" w:fill="auto"/>
        </w:tcPr>
        <w:p w:rsidR="00613C7B" w:rsidRPr="007410E8" w:rsidRDefault="00613C7B" w:rsidP="0035025C">
          <w:pPr>
            <w:pStyle w:val="FooterText"/>
            <w:rPr>
              <w:sz w:val="16"/>
            </w:rPr>
          </w:pPr>
        </w:p>
      </w:tc>
      <w:tc>
        <w:tcPr>
          <w:tcW w:w="1319" w:type="pct"/>
          <w:shd w:val="clear" w:color="auto" w:fill="auto"/>
        </w:tcPr>
        <w:p w:rsidR="00613C7B" w:rsidRPr="007410E8" w:rsidRDefault="00613C7B" w:rsidP="0035025C">
          <w:pPr>
            <w:pStyle w:val="FooterText"/>
            <w:rPr>
              <w:sz w:val="16"/>
            </w:rPr>
          </w:pPr>
        </w:p>
      </w:tc>
      <w:tc>
        <w:tcPr>
          <w:tcW w:w="1077" w:type="pct"/>
          <w:gridSpan w:val="2"/>
          <w:shd w:val="clear" w:color="auto" w:fill="auto"/>
        </w:tcPr>
        <w:p w:rsidR="00613C7B" w:rsidRPr="007410E8" w:rsidRDefault="00613C7B" w:rsidP="0035025C">
          <w:pPr>
            <w:pStyle w:val="FooterText"/>
            <w:jc w:val="right"/>
            <w:rPr>
              <w:sz w:val="16"/>
            </w:rPr>
          </w:pPr>
          <w:r>
            <w:rPr>
              <w:b/>
              <w:position w:val="-4"/>
              <w:sz w:val="36"/>
            </w:rPr>
            <w:t>EN</w:t>
          </w:r>
        </w:p>
      </w:tc>
    </w:tr>
    <w:bookmarkEnd w:id="2"/>
  </w:tbl>
  <w:p w:rsidR="00926EAF" w:rsidRPr="00613C7B" w:rsidRDefault="00926EAF" w:rsidP="00613C7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13C7B" w:rsidRPr="007410E8" w:rsidTr="00613C7B">
      <w:trPr>
        <w:jc w:val="center"/>
      </w:trPr>
      <w:tc>
        <w:tcPr>
          <w:tcW w:w="5000" w:type="pct"/>
          <w:gridSpan w:val="3"/>
          <w:shd w:val="clear" w:color="auto" w:fill="auto"/>
        </w:tcPr>
        <w:p w:rsidR="00613C7B" w:rsidRPr="007410E8" w:rsidRDefault="00613C7B"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613C7B" w:rsidRPr="007410E8" w:rsidRDefault="00613C7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613C7B" w:rsidRPr="007410E8" w:rsidRDefault="00613C7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613C7B" w:rsidRPr="007410E8" w:rsidRDefault="00613C7B" w:rsidP="0035025C">
          <w:pPr>
            <w:pStyle w:val="FooterText"/>
            <w:tabs>
              <w:tab w:val="left" w:pos="285"/>
              <w:tab w:val="left" w:pos="585"/>
            </w:tabs>
            <w:rPr>
              <w:sz w:val="21"/>
              <w:szCs w:val="21"/>
            </w:rPr>
          </w:pPr>
        </w:p>
      </w:tc>
    </w:tr>
    <w:tr w:rsidR="00613C7B" w:rsidRPr="007410E8" w:rsidTr="00613C7B">
      <w:trPr>
        <w:jc w:val="center"/>
      </w:trPr>
      <w:tc>
        <w:tcPr>
          <w:tcW w:w="2604" w:type="pct"/>
          <w:shd w:val="clear" w:color="auto" w:fill="auto"/>
        </w:tcPr>
        <w:p w:rsidR="00613C7B" w:rsidRPr="007410E8" w:rsidRDefault="00613C7B" w:rsidP="0035025C">
          <w:pPr>
            <w:pStyle w:val="FooterText"/>
            <w:rPr>
              <w:sz w:val="16"/>
            </w:rPr>
          </w:pPr>
          <w:r>
            <w:t>9951/15</w:t>
          </w:r>
          <w:r w:rsidRPr="002511D8">
            <w:t xml:space="preserve"> </w:t>
          </w:r>
        </w:p>
      </w:tc>
      <w:tc>
        <w:tcPr>
          <w:tcW w:w="1319" w:type="pct"/>
          <w:shd w:val="clear" w:color="auto" w:fill="auto"/>
        </w:tcPr>
        <w:p w:rsidR="00613C7B" w:rsidRPr="007410E8" w:rsidRDefault="00613C7B" w:rsidP="0035025C">
          <w:pPr>
            <w:pStyle w:val="FooterText"/>
            <w:rPr>
              <w:sz w:val="16"/>
            </w:rPr>
          </w:pPr>
        </w:p>
      </w:tc>
      <w:tc>
        <w:tcPr>
          <w:tcW w:w="1077" w:type="pct"/>
          <w:shd w:val="clear" w:color="auto" w:fill="auto"/>
        </w:tcPr>
        <w:p w:rsidR="00613C7B" w:rsidRPr="007410E8" w:rsidRDefault="00613C7B"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613C7B" w:rsidRPr="007410E8" w:rsidTr="00613C7B">
      <w:trPr>
        <w:jc w:val="center"/>
      </w:trPr>
      <w:tc>
        <w:tcPr>
          <w:tcW w:w="2604" w:type="pct"/>
          <w:shd w:val="clear" w:color="auto" w:fill="auto"/>
        </w:tcPr>
        <w:p w:rsidR="00613C7B" w:rsidRPr="007410E8" w:rsidRDefault="00613C7B" w:rsidP="0035025C">
          <w:pPr>
            <w:pStyle w:val="FooterText"/>
            <w:rPr>
              <w:sz w:val="16"/>
            </w:rPr>
          </w:pPr>
        </w:p>
      </w:tc>
      <w:tc>
        <w:tcPr>
          <w:tcW w:w="1319" w:type="pct"/>
          <w:shd w:val="clear" w:color="auto" w:fill="auto"/>
        </w:tcPr>
        <w:p w:rsidR="00613C7B" w:rsidRPr="007410E8" w:rsidRDefault="00613C7B" w:rsidP="0035025C">
          <w:pPr>
            <w:pStyle w:val="FooterText"/>
            <w:rPr>
              <w:sz w:val="16"/>
            </w:rPr>
          </w:pPr>
        </w:p>
      </w:tc>
      <w:tc>
        <w:tcPr>
          <w:tcW w:w="1077" w:type="pct"/>
          <w:shd w:val="clear" w:color="auto" w:fill="auto"/>
        </w:tcPr>
        <w:p w:rsidR="00613C7B" w:rsidRPr="007410E8" w:rsidRDefault="00613C7B" w:rsidP="0035025C">
          <w:pPr>
            <w:pStyle w:val="FooterText"/>
            <w:jc w:val="right"/>
            <w:rPr>
              <w:sz w:val="16"/>
            </w:rPr>
          </w:pPr>
          <w:r>
            <w:rPr>
              <w:b/>
              <w:position w:val="-4"/>
              <w:sz w:val="36"/>
            </w:rPr>
            <w:t>EN</w:t>
          </w:r>
        </w:p>
      </w:tc>
    </w:tr>
    <w:bookmarkEnd w:id="4"/>
  </w:tbl>
  <w:p w:rsidR="00E0108A" w:rsidRPr="00613C7B" w:rsidRDefault="00E0108A" w:rsidP="00613C7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08A" w:rsidRDefault="00E0108A">
      <w:pPr>
        <w:spacing w:before="0" w:after="0"/>
      </w:pPr>
      <w:r>
        <w:separator/>
      </w:r>
    </w:p>
  </w:footnote>
  <w:footnote w:type="continuationSeparator" w:id="0">
    <w:p w:rsidR="00E0108A" w:rsidRDefault="00E0108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7B" w:rsidRPr="00613C7B" w:rsidRDefault="00613C7B" w:rsidP="00613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7B" w:rsidRPr="00613C7B" w:rsidRDefault="00613C7B" w:rsidP="00613C7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7B" w:rsidRPr="00613C7B" w:rsidRDefault="00613C7B" w:rsidP="00613C7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13C7B" w:rsidRPr="007410E8" w:rsidTr="00613C7B">
      <w:trPr>
        <w:jc w:val="center"/>
      </w:trPr>
      <w:tc>
        <w:tcPr>
          <w:tcW w:w="2500" w:type="pct"/>
          <w:shd w:val="clear" w:color="auto" w:fill="auto"/>
        </w:tcPr>
        <w:p w:rsidR="00613C7B" w:rsidRPr="007410E8" w:rsidRDefault="00613C7B" w:rsidP="0035025C">
          <w:pPr>
            <w:pStyle w:val="HeaderText"/>
            <w:rPr>
              <w:b/>
              <w:i/>
              <w:sz w:val="16"/>
              <w:u w:val="single"/>
            </w:rPr>
          </w:pPr>
          <w:bookmarkStart w:id="3" w:name="HEADER_PRMEET"/>
        </w:p>
      </w:tc>
      <w:tc>
        <w:tcPr>
          <w:tcW w:w="2500" w:type="pct"/>
          <w:shd w:val="clear" w:color="auto" w:fill="auto"/>
        </w:tcPr>
        <w:p w:rsidR="00613C7B" w:rsidRPr="007410E8" w:rsidRDefault="00613C7B" w:rsidP="00613C7B">
          <w:pPr>
            <w:pStyle w:val="HeaderText"/>
            <w:jc w:val="right"/>
            <w:rPr>
              <w:sz w:val="16"/>
            </w:rPr>
          </w:pPr>
          <w:r w:rsidRPr="00613C7B">
            <w:t>15 and 16 June 2015</w:t>
          </w:r>
        </w:p>
      </w:tc>
    </w:tr>
    <w:bookmarkEnd w:id="3"/>
  </w:tbl>
  <w:p w:rsidR="00E0108A" w:rsidRPr="00613C7B" w:rsidRDefault="00E0108A" w:rsidP="00613C7B">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13C7B" w:rsidRPr="007410E8" w:rsidTr="00613C7B">
      <w:trPr>
        <w:jc w:val="center"/>
      </w:trPr>
      <w:tc>
        <w:tcPr>
          <w:tcW w:w="2500" w:type="pct"/>
          <w:shd w:val="clear" w:color="auto" w:fill="auto"/>
        </w:tcPr>
        <w:p w:rsidR="00613C7B" w:rsidRPr="007410E8" w:rsidRDefault="00613C7B" w:rsidP="0035025C">
          <w:pPr>
            <w:pStyle w:val="HeaderText"/>
            <w:rPr>
              <w:b/>
              <w:i/>
              <w:sz w:val="16"/>
              <w:u w:val="single"/>
            </w:rPr>
          </w:pPr>
        </w:p>
      </w:tc>
      <w:tc>
        <w:tcPr>
          <w:tcW w:w="2500" w:type="pct"/>
          <w:shd w:val="clear" w:color="auto" w:fill="auto"/>
        </w:tcPr>
        <w:p w:rsidR="00613C7B" w:rsidRPr="007410E8" w:rsidRDefault="00613C7B" w:rsidP="00613C7B">
          <w:pPr>
            <w:pStyle w:val="HeaderText"/>
            <w:jc w:val="right"/>
            <w:rPr>
              <w:sz w:val="16"/>
            </w:rPr>
          </w:pPr>
          <w:r w:rsidRPr="00613C7B">
            <w:t>15 and 16 June 2015</w:t>
          </w:r>
        </w:p>
      </w:tc>
    </w:tr>
  </w:tbl>
  <w:p w:rsidR="00E0108A" w:rsidRPr="00613C7B" w:rsidRDefault="00E0108A" w:rsidP="00613C7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40C44F9"/>
    <w:multiLevelType w:val="multilevel"/>
    <w:tmpl w:val="A752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8">
    <w:nsid w:val="2D140E3B"/>
    <w:multiLevelType w:val="singleLevel"/>
    <w:tmpl w:val="A78C1CA0"/>
    <w:name w:val="Dash 2"/>
    <w:lvl w:ilvl="0">
      <w:start w:val="1"/>
      <w:numFmt w:val="bullet"/>
      <w:pStyle w:val="Dash2"/>
      <w:lvlText w:val="–"/>
      <w:lvlJc w:val="left"/>
      <w:pPr>
        <w:tabs>
          <w:tab w:val="num" w:pos="1701"/>
        </w:tabs>
        <w:ind w:left="1701" w:hanging="567"/>
      </w:pPr>
    </w:lvl>
  </w:abstractNum>
  <w:abstractNum w:abstractNumId="9">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10">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1">
    <w:nsid w:val="37EB79A0"/>
    <w:multiLevelType w:val="multilevel"/>
    <w:tmpl w:val="6E7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3">
    <w:nsid w:val="3E4767A3"/>
    <w:multiLevelType w:val="multilevel"/>
    <w:tmpl w:val="3A125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6">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9">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7"/>
  </w:num>
  <w:num w:numId="2">
    <w:abstractNumId w:val="18"/>
  </w:num>
  <w:num w:numId="3">
    <w:abstractNumId w:val="10"/>
  </w:num>
  <w:num w:numId="4">
    <w:abstractNumId w:val="9"/>
  </w:num>
  <w:num w:numId="5">
    <w:abstractNumId w:val="2"/>
  </w:num>
  <w:num w:numId="6">
    <w:abstractNumId w:val="19"/>
  </w:num>
  <w:num w:numId="7">
    <w:abstractNumId w:val="4"/>
  </w:num>
  <w:num w:numId="8">
    <w:abstractNumId w:val="6"/>
  </w:num>
  <w:num w:numId="9">
    <w:abstractNumId w:val="17"/>
  </w:num>
  <w:num w:numId="10">
    <w:abstractNumId w:val="14"/>
  </w:num>
  <w:num w:numId="11">
    <w:abstractNumId w:val="0"/>
  </w:num>
  <w:num w:numId="12">
    <w:abstractNumId w:val="20"/>
  </w:num>
  <w:num w:numId="13">
    <w:abstractNumId w:val="16"/>
  </w:num>
  <w:num w:numId="14">
    <w:abstractNumId w:val="15"/>
  </w:num>
  <w:num w:numId="15">
    <w:abstractNumId w:val="12"/>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e5c982a9-9666-4f9e-bdbc-06238cf341b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9951&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0&lt;/text&gt;_x000d__x000a_      &lt;text&gt;PR CO 3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Justice of Latvia&quot; name=&quot;Dzintars RASNA&amp;#268;S&quot; text=&quot;Dzintars RASNA&amp;#268;S, Minister for Justice of Latvia&quot; genderKeyBds=&quot;gend_01&quot; /&gt;_x000d__x000a_      &lt;president title=&quot;Minister for the Interior of Latvia&quot; name=&quot;Rihards KOZLOVSKIS&quot; text=&quot;Rihards KOZLOVSKIS, Minister for the Interior of Latvia&quot; genderKeyBds=&quot;gend_01&quot; /&gt;_x000d__x000a_    &lt;/presidents&gt;_x000d__x000a_  &lt;/metadata&gt;_x000d__x000a_  &lt;metadata key=&quot;md_MeetingNumber&quot;&gt;_x000d__x000a_    &lt;text&gt;3396&lt;/text&gt;_x000d__x000a_  &lt;/metadata&gt;_x000d__x000a_  &lt;metadata key=&quot;md_CouncilConfiguration&quot;&gt;_x000d__x000a_    &lt;basicdatatype&gt;_x000d__x000a_      &lt;configuration key=&quot;cc_04&quot; text=&quot;Justice and Home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6-15&quot;&gt;_x000d__x000a_        &lt;meetinglocation&gt;_x000d__x000a_          &lt;basicdatatype&gt;_x000d__x000a_            &lt;location key=&quot;loc_02&quot; text=&quot;Luxembourg&quot; /&gt;_x000d__x000a_          &lt;/basicdatatype&gt;_x000d__x000a_        &lt;/meetinglocation&gt;_x000d__x000a_      &lt;/meeting&gt;_x000d__x000a_      &lt;meeting date=&quot;2015-06-1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E0108A"/>
    <w:rsid w:val="0000359F"/>
    <w:rsid w:val="00035E1C"/>
    <w:rsid w:val="00040F85"/>
    <w:rsid w:val="00062C15"/>
    <w:rsid w:val="000762E6"/>
    <w:rsid w:val="000A63B0"/>
    <w:rsid w:val="000B1B69"/>
    <w:rsid w:val="001914F0"/>
    <w:rsid w:val="001A7158"/>
    <w:rsid w:val="00237579"/>
    <w:rsid w:val="00292885"/>
    <w:rsid w:val="002F7D52"/>
    <w:rsid w:val="003110BA"/>
    <w:rsid w:val="00390566"/>
    <w:rsid w:val="003946C8"/>
    <w:rsid w:val="003C6397"/>
    <w:rsid w:val="003E342A"/>
    <w:rsid w:val="003F4D60"/>
    <w:rsid w:val="00542DD0"/>
    <w:rsid w:val="00546259"/>
    <w:rsid w:val="005679B4"/>
    <w:rsid w:val="005E0B47"/>
    <w:rsid w:val="005E30AC"/>
    <w:rsid w:val="00612514"/>
    <w:rsid w:val="00613C7B"/>
    <w:rsid w:val="0063101F"/>
    <w:rsid w:val="00651E21"/>
    <w:rsid w:val="00691313"/>
    <w:rsid w:val="006A56D8"/>
    <w:rsid w:val="006E2F9D"/>
    <w:rsid w:val="006E332E"/>
    <w:rsid w:val="006F4E9F"/>
    <w:rsid w:val="00730157"/>
    <w:rsid w:val="0075434C"/>
    <w:rsid w:val="007F651E"/>
    <w:rsid w:val="008774FD"/>
    <w:rsid w:val="00895676"/>
    <w:rsid w:val="008C44EF"/>
    <w:rsid w:val="008C64B3"/>
    <w:rsid w:val="00926EAF"/>
    <w:rsid w:val="009A56FC"/>
    <w:rsid w:val="009B1563"/>
    <w:rsid w:val="009F4139"/>
    <w:rsid w:val="00A33747"/>
    <w:rsid w:val="00A36655"/>
    <w:rsid w:val="00A45AC3"/>
    <w:rsid w:val="00A468A6"/>
    <w:rsid w:val="00A67613"/>
    <w:rsid w:val="00A74671"/>
    <w:rsid w:val="00A76CDC"/>
    <w:rsid w:val="00A80934"/>
    <w:rsid w:val="00A8293D"/>
    <w:rsid w:val="00B03546"/>
    <w:rsid w:val="00B34272"/>
    <w:rsid w:val="00B80AD0"/>
    <w:rsid w:val="00B963C0"/>
    <w:rsid w:val="00BD54A3"/>
    <w:rsid w:val="00BE0BB1"/>
    <w:rsid w:val="00BE2CA6"/>
    <w:rsid w:val="00C57AAC"/>
    <w:rsid w:val="00CA0D26"/>
    <w:rsid w:val="00CB71A1"/>
    <w:rsid w:val="00CB783F"/>
    <w:rsid w:val="00CD4B60"/>
    <w:rsid w:val="00D03D2F"/>
    <w:rsid w:val="00D45C7C"/>
    <w:rsid w:val="00D75309"/>
    <w:rsid w:val="00DA2B03"/>
    <w:rsid w:val="00E0108A"/>
    <w:rsid w:val="00E239B1"/>
    <w:rsid w:val="00E72746"/>
    <w:rsid w:val="00E737DC"/>
    <w:rsid w:val="00E836C2"/>
    <w:rsid w:val="00E97813"/>
    <w:rsid w:val="00F57FC5"/>
    <w:rsid w:val="00F706B4"/>
    <w:rsid w:val="00F86F15"/>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613C7B"/>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E0108A"/>
    <w:pPr>
      <w:spacing w:before="0" w:after="440"/>
      <w:ind w:left="-1134" w:right="-1134"/>
    </w:pPr>
    <w:rPr>
      <w:sz w:val="2"/>
    </w:rPr>
  </w:style>
  <w:style w:type="character" w:customStyle="1" w:styleId="TechnicalBlockChar">
    <w:name w:val="Technical Block Char"/>
    <w:basedOn w:val="DefaultParagraphFont"/>
    <w:link w:val="TechnicalBlock"/>
    <w:rsid w:val="00E0108A"/>
    <w:rPr>
      <w:sz w:val="24"/>
      <w:szCs w:val="24"/>
      <w:lang w:val="en-GB" w:eastAsia="en-US"/>
    </w:rPr>
  </w:style>
  <w:style w:type="character" w:customStyle="1" w:styleId="HeaderCouncilLargeChar">
    <w:name w:val="Header Council Large Char"/>
    <w:basedOn w:val="TechnicalBlockChar"/>
    <w:link w:val="HeaderCouncilLarge"/>
    <w:rsid w:val="00E0108A"/>
    <w:rPr>
      <w:sz w:val="2"/>
      <w:szCs w:val="24"/>
      <w:lang w:val="en-GB" w:eastAsia="en-US"/>
    </w:rPr>
  </w:style>
  <w:style w:type="paragraph" w:customStyle="1" w:styleId="FooterText">
    <w:name w:val="Footer Text"/>
    <w:basedOn w:val="Normal"/>
    <w:rsid w:val="00E0108A"/>
    <w:pPr>
      <w:spacing w:before="0" w:after="0"/>
    </w:pPr>
  </w:style>
  <w:style w:type="paragraph" w:customStyle="1" w:styleId="FooterAddressText">
    <w:name w:val="Footer Address Text"/>
    <w:basedOn w:val="FooterText"/>
    <w:qFormat/>
    <w:rsid w:val="00E0108A"/>
    <w:pPr>
      <w:jc w:val="center"/>
    </w:pPr>
    <w:rPr>
      <w:spacing w:val="10"/>
      <w:sz w:val="16"/>
      <w:szCs w:val="16"/>
    </w:rPr>
  </w:style>
  <w:style w:type="character" w:styleId="Hyperlink">
    <w:name w:val="Hyperlink"/>
    <w:basedOn w:val="DefaultParagraphFont"/>
    <w:uiPriority w:val="99"/>
    <w:unhideWhenUsed/>
    <w:qFormat/>
    <w:rsid w:val="00E0108A"/>
    <w:rPr>
      <w:color w:val="0000FF" w:themeColor="hyperlink"/>
      <w:u w:val="single"/>
    </w:rPr>
  </w:style>
  <w:style w:type="paragraph" w:customStyle="1" w:styleId="HeaderText">
    <w:name w:val="Header Text"/>
    <w:basedOn w:val="Normal"/>
    <w:rsid w:val="00E0108A"/>
    <w:pPr>
      <w:spacing w:before="0" w:after="0"/>
    </w:pPr>
  </w:style>
  <w:style w:type="paragraph" w:customStyle="1" w:styleId="sub-itemapproved0">
    <w:name w:val="sub-itemapproved"/>
    <w:basedOn w:val="Normal"/>
    <w:rsid w:val="001914F0"/>
    <w:pPr>
      <w:spacing w:before="100" w:beforeAutospacing="1" w:after="100" w:afterAutospacing="1"/>
    </w:pPr>
    <w:rPr>
      <w:lang w:val="en-US"/>
    </w:rPr>
  </w:style>
  <w:style w:type="paragraph" w:customStyle="1" w:styleId="Default">
    <w:name w:val="Default"/>
    <w:rsid w:val="001914F0"/>
    <w:pPr>
      <w:autoSpaceDE w:val="0"/>
      <w:autoSpaceDN w:val="0"/>
      <w:adjustRightInd w:val="0"/>
    </w:pPr>
    <w:rPr>
      <w:rFonts w:ascii="Arial" w:hAnsi="Arial" w:cs="Arial"/>
      <w:color w:val="000000"/>
      <w:sz w:val="24"/>
      <w:szCs w:val="24"/>
      <w:lang w:val="en-GB" w:eastAsia="en-GB"/>
    </w:rPr>
  </w:style>
  <w:style w:type="character" w:styleId="Strong">
    <w:name w:val="Strong"/>
    <w:basedOn w:val="DefaultParagraphFont"/>
    <w:qFormat/>
    <w:rsid w:val="001914F0"/>
    <w:rPr>
      <w:b/>
      <w:bCs/>
    </w:rPr>
  </w:style>
  <w:style w:type="character" w:styleId="FollowedHyperlink">
    <w:name w:val="FollowedHyperlink"/>
    <w:basedOn w:val="DefaultParagraphFont"/>
    <w:uiPriority w:val="99"/>
    <w:semiHidden/>
    <w:unhideWhenUsed/>
    <w:rsid w:val="008C44EF"/>
    <w:rPr>
      <w:color w:val="800080" w:themeColor="followedHyperlink"/>
      <w:u w:val="single"/>
    </w:rPr>
  </w:style>
  <w:style w:type="character" w:styleId="CommentReference">
    <w:name w:val="annotation reference"/>
    <w:basedOn w:val="DefaultParagraphFont"/>
    <w:uiPriority w:val="99"/>
    <w:semiHidden/>
    <w:unhideWhenUsed/>
    <w:rsid w:val="003E342A"/>
    <w:rPr>
      <w:sz w:val="16"/>
      <w:szCs w:val="16"/>
    </w:rPr>
  </w:style>
  <w:style w:type="paragraph" w:styleId="CommentText">
    <w:name w:val="annotation text"/>
    <w:basedOn w:val="Normal"/>
    <w:link w:val="CommentTextChar"/>
    <w:uiPriority w:val="99"/>
    <w:semiHidden/>
    <w:unhideWhenUsed/>
    <w:rsid w:val="003E342A"/>
    <w:rPr>
      <w:sz w:val="20"/>
      <w:szCs w:val="20"/>
    </w:rPr>
  </w:style>
  <w:style w:type="character" w:customStyle="1" w:styleId="CommentTextChar">
    <w:name w:val="Comment Text Char"/>
    <w:basedOn w:val="DefaultParagraphFont"/>
    <w:link w:val="CommentText"/>
    <w:uiPriority w:val="99"/>
    <w:semiHidden/>
    <w:rsid w:val="003E342A"/>
    <w:rPr>
      <w:lang w:val="en-GB" w:eastAsia="en-US"/>
    </w:rPr>
  </w:style>
  <w:style w:type="paragraph" w:styleId="CommentSubject">
    <w:name w:val="annotation subject"/>
    <w:basedOn w:val="CommentText"/>
    <w:next w:val="CommentText"/>
    <w:link w:val="CommentSubjectChar"/>
    <w:uiPriority w:val="99"/>
    <w:semiHidden/>
    <w:unhideWhenUsed/>
    <w:rsid w:val="003E342A"/>
    <w:rPr>
      <w:b/>
      <w:bCs/>
    </w:rPr>
  </w:style>
  <w:style w:type="character" w:customStyle="1" w:styleId="CommentSubjectChar">
    <w:name w:val="Comment Subject Char"/>
    <w:basedOn w:val="CommentTextChar"/>
    <w:link w:val="CommentSubject"/>
    <w:uiPriority w:val="99"/>
    <w:semiHidden/>
    <w:rsid w:val="003E342A"/>
    <w:rPr>
      <w:b/>
      <w:bCs/>
      <w:lang w:val="en-GB" w:eastAsia="en-US"/>
    </w:rPr>
  </w:style>
  <w:style w:type="paragraph" w:styleId="BalloonText">
    <w:name w:val="Balloon Text"/>
    <w:basedOn w:val="Normal"/>
    <w:link w:val="BalloonTextChar"/>
    <w:uiPriority w:val="99"/>
    <w:semiHidden/>
    <w:unhideWhenUsed/>
    <w:rsid w:val="003E342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42A"/>
    <w:rPr>
      <w:rFonts w:ascii="Tahoma" w:hAnsi="Tahoma" w:cs="Tahoma"/>
      <w:sz w:val="16"/>
      <w:szCs w:val="16"/>
      <w:lang w:val="en-GB" w:eastAsia="en-US"/>
    </w:rPr>
  </w:style>
  <w:style w:type="paragraph" w:customStyle="1" w:styleId="Dash2">
    <w:name w:val="Dash 2"/>
    <w:basedOn w:val="Normal"/>
    <w:rsid w:val="00CD4B60"/>
    <w:pPr>
      <w:numPr>
        <w:numId w:val="19"/>
      </w:numPr>
      <w:spacing w:before="0" w:after="0"/>
      <w:outlineLvl w:val="1"/>
    </w:pPr>
  </w:style>
  <w:style w:type="paragraph" w:styleId="NormalIndent">
    <w:name w:val="Normal Indent"/>
    <w:basedOn w:val="Normal"/>
    <w:rsid w:val="0000359F"/>
    <w:pPr>
      <w:widowControl w:val="0"/>
      <w:spacing w:before="0" w:after="0" w:line="360" w:lineRule="auto"/>
      <w:ind w:left="567"/>
    </w:pPr>
    <w:rPr>
      <w:szCs w:val="20"/>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613C7B"/>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E0108A"/>
    <w:pPr>
      <w:spacing w:before="0" w:after="440"/>
      <w:ind w:left="-1134" w:right="-1134"/>
    </w:pPr>
    <w:rPr>
      <w:sz w:val="2"/>
    </w:rPr>
  </w:style>
  <w:style w:type="character" w:customStyle="1" w:styleId="TechnicalBlockChar">
    <w:name w:val="Technical Block Char"/>
    <w:basedOn w:val="DefaultParagraphFont"/>
    <w:link w:val="TechnicalBlock"/>
    <w:rsid w:val="00E0108A"/>
    <w:rPr>
      <w:sz w:val="24"/>
      <w:szCs w:val="24"/>
      <w:lang w:val="en-GB" w:eastAsia="en-US"/>
    </w:rPr>
  </w:style>
  <w:style w:type="character" w:customStyle="1" w:styleId="HeaderCouncilLargeChar">
    <w:name w:val="Header Council Large Char"/>
    <w:basedOn w:val="TechnicalBlockChar"/>
    <w:link w:val="HeaderCouncilLarge"/>
    <w:rsid w:val="00E0108A"/>
    <w:rPr>
      <w:sz w:val="2"/>
      <w:szCs w:val="24"/>
      <w:lang w:val="en-GB" w:eastAsia="en-US"/>
    </w:rPr>
  </w:style>
  <w:style w:type="paragraph" w:customStyle="1" w:styleId="FooterText">
    <w:name w:val="Footer Text"/>
    <w:basedOn w:val="Normal"/>
    <w:rsid w:val="00E0108A"/>
    <w:pPr>
      <w:spacing w:before="0" w:after="0"/>
    </w:pPr>
  </w:style>
  <w:style w:type="paragraph" w:customStyle="1" w:styleId="FooterAddressText">
    <w:name w:val="Footer Address Text"/>
    <w:basedOn w:val="FooterText"/>
    <w:qFormat/>
    <w:rsid w:val="00E0108A"/>
    <w:pPr>
      <w:jc w:val="center"/>
    </w:pPr>
    <w:rPr>
      <w:spacing w:val="10"/>
      <w:sz w:val="16"/>
      <w:szCs w:val="16"/>
    </w:rPr>
  </w:style>
  <w:style w:type="character" w:styleId="Hyperlink">
    <w:name w:val="Hyperlink"/>
    <w:basedOn w:val="DefaultParagraphFont"/>
    <w:uiPriority w:val="99"/>
    <w:unhideWhenUsed/>
    <w:qFormat/>
    <w:rsid w:val="00E0108A"/>
    <w:rPr>
      <w:color w:val="0000FF" w:themeColor="hyperlink"/>
      <w:u w:val="single"/>
    </w:rPr>
  </w:style>
  <w:style w:type="paragraph" w:customStyle="1" w:styleId="HeaderText">
    <w:name w:val="Header Text"/>
    <w:basedOn w:val="Normal"/>
    <w:rsid w:val="00E0108A"/>
    <w:pPr>
      <w:spacing w:before="0" w:after="0"/>
    </w:pPr>
  </w:style>
  <w:style w:type="paragraph" w:customStyle="1" w:styleId="sub-itemapproved0">
    <w:name w:val="sub-itemapproved"/>
    <w:basedOn w:val="Normal"/>
    <w:rsid w:val="001914F0"/>
    <w:pPr>
      <w:spacing w:before="100" w:beforeAutospacing="1" w:after="100" w:afterAutospacing="1"/>
    </w:pPr>
    <w:rPr>
      <w:lang w:val="en-US"/>
    </w:rPr>
  </w:style>
  <w:style w:type="paragraph" w:customStyle="1" w:styleId="Default">
    <w:name w:val="Default"/>
    <w:rsid w:val="001914F0"/>
    <w:pPr>
      <w:autoSpaceDE w:val="0"/>
      <w:autoSpaceDN w:val="0"/>
      <w:adjustRightInd w:val="0"/>
    </w:pPr>
    <w:rPr>
      <w:rFonts w:ascii="Arial" w:hAnsi="Arial" w:cs="Arial"/>
      <w:color w:val="000000"/>
      <w:sz w:val="24"/>
      <w:szCs w:val="24"/>
      <w:lang w:val="en-GB" w:eastAsia="en-GB"/>
    </w:rPr>
  </w:style>
  <w:style w:type="character" w:styleId="Strong">
    <w:name w:val="Strong"/>
    <w:basedOn w:val="DefaultParagraphFont"/>
    <w:qFormat/>
    <w:rsid w:val="001914F0"/>
    <w:rPr>
      <w:b/>
      <w:bCs/>
    </w:rPr>
  </w:style>
  <w:style w:type="character" w:styleId="FollowedHyperlink">
    <w:name w:val="FollowedHyperlink"/>
    <w:basedOn w:val="DefaultParagraphFont"/>
    <w:uiPriority w:val="99"/>
    <w:semiHidden/>
    <w:unhideWhenUsed/>
    <w:rsid w:val="008C44EF"/>
    <w:rPr>
      <w:color w:val="800080" w:themeColor="followedHyperlink"/>
      <w:u w:val="single"/>
    </w:rPr>
  </w:style>
  <w:style w:type="character" w:styleId="CommentReference">
    <w:name w:val="annotation reference"/>
    <w:basedOn w:val="DefaultParagraphFont"/>
    <w:uiPriority w:val="99"/>
    <w:semiHidden/>
    <w:unhideWhenUsed/>
    <w:rsid w:val="003E342A"/>
    <w:rPr>
      <w:sz w:val="16"/>
      <w:szCs w:val="16"/>
    </w:rPr>
  </w:style>
  <w:style w:type="paragraph" w:styleId="CommentText">
    <w:name w:val="annotation text"/>
    <w:basedOn w:val="Normal"/>
    <w:link w:val="CommentTextChar"/>
    <w:uiPriority w:val="99"/>
    <w:semiHidden/>
    <w:unhideWhenUsed/>
    <w:rsid w:val="003E342A"/>
    <w:rPr>
      <w:sz w:val="20"/>
      <w:szCs w:val="20"/>
    </w:rPr>
  </w:style>
  <w:style w:type="character" w:customStyle="1" w:styleId="CommentTextChar">
    <w:name w:val="Comment Text Char"/>
    <w:basedOn w:val="DefaultParagraphFont"/>
    <w:link w:val="CommentText"/>
    <w:uiPriority w:val="99"/>
    <w:semiHidden/>
    <w:rsid w:val="003E342A"/>
    <w:rPr>
      <w:lang w:val="en-GB" w:eastAsia="en-US"/>
    </w:rPr>
  </w:style>
  <w:style w:type="paragraph" w:styleId="CommentSubject">
    <w:name w:val="annotation subject"/>
    <w:basedOn w:val="CommentText"/>
    <w:next w:val="CommentText"/>
    <w:link w:val="CommentSubjectChar"/>
    <w:uiPriority w:val="99"/>
    <w:semiHidden/>
    <w:unhideWhenUsed/>
    <w:rsid w:val="003E342A"/>
    <w:rPr>
      <w:b/>
      <w:bCs/>
    </w:rPr>
  </w:style>
  <w:style w:type="character" w:customStyle="1" w:styleId="CommentSubjectChar">
    <w:name w:val="Comment Subject Char"/>
    <w:basedOn w:val="CommentTextChar"/>
    <w:link w:val="CommentSubject"/>
    <w:uiPriority w:val="99"/>
    <w:semiHidden/>
    <w:rsid w:val="003E342A"/>
    <w:rPr>
      <w:b/>
      <w:bCs/>
      <w:lang w:val="en-GB" w:eastAsia="en-US"/>
    </w:rPr>
  </w:style>
  <w:style w:type="paragraph" w:styleId="BalloonText">
    <w:name w:val="Balloon Text"/>
    <w:basedOn w:val="Normal"/>
    <w:link w:val="BalloonTextChar"/>
    <w:uiPriority w:val="99"/>
    <w:semiHidden/>
    <w:unhideWhenUsed/>
    <w:rsid w:val="003E342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42A"/>
    <w:rPr>
      <w:rFonts w:ascii="Tahoma" w:hAnsi="Tahoma" w:cs="Tahoma"/>
      <w:sz w:val="16"/>
      <w:szCs w:val="16"/>
      <w:lang w:val="en-GB" w:eastAsia="en-US"/>
    </w:rPr>
  </w:style>
  <w:style w:type="paragraph" w:customStyle="1" w:styleId="Dash2">
    <w:name w:val="Dash 2"/>
    <w:basedOn w:val="Normal"/>
    <w:rsid w:val="00CD4B60"/>
    <w:pPr>
      <w:numPr>
        <w:numId w:val="19"/>
      </w:numPr>
      <w:spacing w:before="0" w:after="0"/>
      <w:outlineLvl w:val="1"/>
    </w:pPr>
  </w:style>
  <w:style w:type="paragraph" w:styleId="NormalIndent">
    <w:name w:val="Normal Indent"/>
    <w:basedOn w:val="Normal"/>
    <w:rsid w:val="0000359F"/>
    <w:pPr>
      <w:widowControl w:val="0"/>
      <w:spacing w:before="0" w:after="0" w:line="360" w:lineRule="auto"/>
      <w:ind w:left="567"/>
    </w:pPr>
    <w:rPr>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8004">
      <w:bodyDiv w:val="1"/>
      <w:marLeft w:val="0"/>
      <w:marRight w:val="0"/>
      <w:marTop w:val="0"/>
      <w:marBottom w:val="0"/>
      <w:divBdr>
        <w:top w:val="none" w:sz="0" w:space="0" w:color="auto"/>
        <w:left w:val="none" w:sz="0" w:space="0" w:color="auto"/>
        <w:bottom w:val="none" w:sz="0" w:space="0" w:color="auto"/>
        <w:right w:val="none" w:sz="0" w:space="0" w:color="auto"/>
      </w:divBdr>
    </w:div>
    <w:div w:id="210967901">
      <w:bodyDiv w:val="1"/>
      <w:marLeft w:val="0"/>
      <w:marRight w:val="0"/>
      <w:marTop w:val="0"/>
      <w:marBottom w:val="0"/>
      <w:divBdr>
        <w:top w:val="none" w:sz="0" w:space="0" w:color="auto"/>
        <w:left w:val="none" w:sz="0" w:space="0" w:color="auto"/>
        <w:bottom w:val="none" w:sz="0" w:space="0" w:color="auto"/>
        <w:right w:val="none" w:sz="0" w:space="0" w:color="auto"/>
      </w:divBdr>
    </w:div>
    <w:div w:id="253053427">
      <w:bodyDiv w:val="1"/>
      <w:marLeft w:val="0"/>
      <w:marRight w:val="0"/>
      <w:marTop w:val="0"/>
      <w:marBottom w:val="0"/>
      <w:divBdr>
        <w:top w:val="none" w:sz="0" w:space="0" w:color="auto"/>
        <w:left w:val="none" w:sz="0" w:space="0" w:color="auto"/>
        <w:bottom w:val="none" w:sz="0" w:space="0" w:color="auto"/>
        <w:right w:val="none" w:sz="0" w:space="0" w:color="auto"/>
      </w:divBdr>
    </w:div>
    <w:div w:id="275986884">
      <w:bodyDiv w:val="1"/>
      <w:marLeft w:val="0"/>
      <w:marRight w:val="0"/>
      <w:marTop w:val="0"/>
      <w:marBottom w:val="0"/>
      <w:divBdr>
        <w:top w:val="none" w:sz="0" w:space="0" w:color="auto"/>
        <w:left w:val="none" w:sz="0" w:space="0" w:color="auto"/>
        <w:bottom w:val="none" w:sz="0" w:space="0" w:color="auto"/>
        <w:right w:val="none" w:sz="0" w:space="0" w:color="auto"/>
      </w:divBdr>
    </w:div>
    <w:div w:id="316347189">
      <w:bodyDiv w:val="1"/>
      <w:marLeft w:val="0"/>
      <w:marRight w:val="0"/>
      <w:marTop w:val="0"/>
      <w:marBottom w:val="0"/>
      <w:divBdr>
        <w:top w:val="none" w:sz="0" w:space="0" w:color="auto"/>
        <w:left w:val="none" w:sz="0" w:space="0" w:color="auto"/>
        <w:bottom w:val="none" w:sz="0" w:space="0" w:color="auto"/>
        <w:right w:val="none" w:sz="0" w:space="0" w:color="auto"/>
      </w:divBdr>
    </w:div>
    <w:div w:id="488595309">
      <w:bodyDiv w:val="1"/>
      <w:marLeft w:val="0"/>
      <w:marRight w:val="0"/>
      <w:marTop w:val="0"/>
      <w:marBottom w:val="0"/>
      <w:divBdr>
        <w:top w:val="none" w:sz="0" w:space="0" w:color="auto"/>
        <w:left w:val="none" w:sz="0" w:space="0" w:color="auto"/>
        <w:bottom w:val="none" w:sz="0" w:space="0" w:color="auto"/>
        <w:right w:val="none" w:sz="0" w:space="0" w:color="auto"/>
      </w:divBdr>
    </w:div>
    <w:div w:id="519389604">
      <w:bodyDiv w:val="1"/>
      <w:marLeft w:val="0"/>
      <w:marRight w:val="0"/>
      <w:marTop w:val="0"/>
      <w:marBottom w:val="0"/>
      <w:divBdr>
        <w:top w:val="none" w:sz="0" w:space="0" w:color="auto"/>
        <w:left w:val="none" w:sz="0" w:space="0" w:color="auto"/>
        <w:bottom w:val="none" w:sz="0" w:space="0" w:color="auto"/>
        <w:right w:val="none" w:sz="0" w:space="0" w:color="auto"/>
      </w:divBdr>
    </w:div>
    <w:div w:id="527569795">
      <w:bodyDiv w:val="1"/>
      <w:marLeft w:val="0"/>
      <w:marRight w:val="0"/>
      <w:marTop w:val="0"/>
      <w:marBottom w:val="0"/>
      <w:divBdr>
        <w:top w:val="none" w:sz="0" w:space="0" w:color="auto"/>
        <w:left w:val="none" w:sz="0" w:space="0" w:color="auto"/>
        <w:bottom w:val="none" w:sz="0" w:space="0" w:color="auto"/>
        <w:right w:val="none" w:sz="0" w:space="0" w:color="auto"/>
      </w:divBdr>
    </w:div>
    <w:div w:id="552932646">
      <w:bodyDiv w:val="1"/>
      <w:marLeft w:val="0"/>
      <w:marRight w:val="0"/>
      <w:marTop w:val="0"/>
      <w:marBottom w:val="0"/>
      <w:divBdr>
        <w:top w:val="none" w:sz="0" w:space="0" w:color="auto"/>
        <w:left w:val="none" w:sz="0" w:space="0" w:color="auto"/>
        <w:bottom w:val="none" w:sz="0" w:space="0" w:color="auto"/>
        <w:right w:val="none" w:sz="0" w:space="0" w:color="auto"/>
      </w:divBdr>
    </w:div>
    <w:div w:id="684281648">
      <w:bodyDiv w:val="1"/>
      <w:marLeft w:val="0"/>
      <w:marRight w:val="0"/>
      <w:marTop w:val="0"/>
      <w:marBottom w:val="0"/>
      <w:divBdr>
        <w:top w:val="none" w:sz="0" w:space="0" w:color="auto"/>
        <w:left w:val="none" w:sz="0" w:space="0" w:color="auto"/>
        <w:bottom w:val="none" w:sz="0" w:space="0" w:color="auto"/>
        <w:right w:val="none" w:sz="0" w:space="0" w:color="auto"/>
      </w:divBdr>
    </w:div>
    <w:div w:id="761340405">
      <w:bodyDiv w:val="1"/>
      <w:marLeft w:val="0"/>
      <w:marRight w:val="0"/>
      <w:marTop w:val="0"/>
      <w:marBottom w:val="0"/>
      <w:divBdr>
        <w:top w:val="none" w:sz="0" w:space="0" w:color="auto"/>
        <w:left w:val="none" w:sz="0" w:space="0" w:color="auto"/>
        <w:bottom w:val="none" w:sz="0" w:space="0" w:color="auto"/>
        <w:right w:val="none" w:sz="0" w:space="0" w:color="auto"/>
      </w:divBdr>
    </w:div>
    <w:div w:id="883060915">
      <w:bodyDiv w:val="1"/>
      <w:marLeft w:val="0"/>
      <w:marRight w:val="0"/>
      <w:marTop w:val="0"/>
      <w:marBottom w:val="0"/>
      <w:divBdr>
        <w:top w:val="none" w:sz="0" w:space="0" w:color="auto"/>
        <w:left w:val="none" w:sz="0" w:space="0" w:color="auto"/>
        <w:bottom w:val="none" w:sz="0" w:space="0" w:color="auto"/>
        <w:right w:val="none" w:sz="0" w:space="0" w:color="auto"/>
      </w:divBdr>
    </w:div>
    <w:div w:id="987705757">
      <w:bodyDiv w:val="1"/>
      <w:marLeft w:val="0"/>
      <w:marRight w:val="0"/>
      <w:marTop w:val="0"/>
      <w:marBottom w:val="0"/>
      <w:divBdr>
        <w:top w:val="none" w:sz="0" w:space="0" w:color="auto"/>
        <w:left w:val="none" w:sz="0" w:space="0" w:color="auto"/>
        <w:bottom w:val="none" w:sz="0" w:space="0" w:color="auto"/>
        <w:right w:val="none" w:sz="0" w:space="0" w:color="auto"/>
      </w:divBdr>
    </w:div>
    <w:div w:id="1066222806">
      <w:bodyDiv w:val="1"/>
      <w:marLeft w:val="0"/>
      <w:marRight w:val="0"/>
      <w:marTop w:val="0"/>
      <w:marBottom w:val="0"/>
      <w:divBdr>
        <w:top w:val="none" w:sz="0" w:space="0" w:color="auto"/>
        <w:left w:val="none" w:sz="0" w:space="0" w:color="auto"/>
        <w:bottom w:val="none" w:sz="0" w:space="0" w:color="auto"/>
        <w:right w:val="none" w:sz="0" w:space="0" w:color="auto"/>
      </w:divBdr>
    </w:div>
    <w:div w:id="1098217534">
      <w:bodyDiv w:val="1"/>
      <w:marLeft w:val="0"/>
      <w:marRight w:val="0"/>
      <w:marTop w:val="0"/>
      <w:marBottom w:val="0"/>
      <w:divBdr>
        <w:top w:val="none" w:sz="0" w:space="0" w:color="auto"/>
        <w:left w:val="none" w:sz="0" w:space="0" w:color="auto"/>
        <w:bottom w:val="none" w:sz="0" w:space="0" w:color="auto"/>
        <w:right w:val="none" w:sz="0" w:space="0" w:color="auto"/>
      </w:divBdr>
    </w:div>
    <w:div w:id="1120995421">
      <w:bodyDiv w:val="1"/>
      <w:marLeft w:val="0"/>
      <w:marRight w:val="0"/>
      <w:marTop w:val="0"/>
      <w:marBottom w:val="0"/>
      <w:divBdr>
        <w:top w:val="none" w:sz="0" w:space="0" w:color="auto"/>
        <w:left w:val="none" w:sz="0" w:space="0" w:color="auto"/>
        <w:bottom w:val="none" w:sz="0" w:space="0" w:color="auto"/>
        <w:right w:val="none" w:sz="0" w:space="0" w:color="auto"/>
      </w:divBdr>
    </w:div>
    <w:div w:id="1170487748">
      <w:bodyDiv w:val="1"/>
      <w:marLeft w:val="0"/>
      <w:marRight w:val="0"/>
      <w:marTop w:val="0"/>
      <w:marBottom w:val="0"/>
      <w:divBdr>
        <w:top w:val="none" w:sz="0" w:space="0" w:color="auto"/>
        <w:left w:val="none" w:sz="0" w:space="0" w:color="auto"/>
        <w:bottom w:val="none" w:sz="0" w:space="0" w:color="auto"/>
        <w:right w:val="none" w:sz="0" w:space="0" w:color="auto"/>
      </w:divBdr>
    </w:div>
    <w:div w:id="1414275694">
      <w:bodyDiv w:val="1"/>
      <w:marLeft w:val="0"/>
      <w:marRight w:val="0"/>
      <w:marTop w:val="0"/>
      <w:marBottom w:val="0"/>
      <w:divBdr>
        <w:top w:val="none" w:sz="0" w:space="0" w:color="auto"/>
        <w:left w:val="none" w:sz="0" w:space="0" w:color="auto"/>
        <w:bottom w:val="none" w:sz="0" w:space="0" w:color="auto"/>
        <w:right w:val="none" w:sz="0" w:space="0" w:color="auto"/>
      </w:divBdr>
    </w:div>
    <w:div w:id="1577671008">
      <w:bodyDiv w:val="1"/>
      <w:marLeft w:val="0"/>
      <w:marRight w:val="0"/>
      <w:marTop w:val="0"/>
      <w:marBottom w:val="0"/>
      <w:divBdr>
        <w:top w:val="none" w:sz="0" w:space="0" w:color="auto"/>
        <w:left w:val="none" w:sz="0" w:space="0" w:color="auto"/>
        <w:bottom w:val="none" w:sz="0" w:space="0" w:color="auto"/>
        <w:right w:val="none" w:sz="0" w:space="0" w:color="auto"/>
      </w:divBdr>
    </w:div>
    <w:div w:id="1615942720">
      <w:bodyDiv w:val="1"/>
      <w:marLeft w:val="0"/>
      <w:marRight w:val="0"/>
      <w:marTop w:val="0"/>
      <w:marBottom w:val="0"/>
      <w:divBdr>
        <w:top w:val="none" w:sz="0" w:space="0" w:color="auto"/>
        <w:left w:val="none" w:sz="0" w:space="0" w:color="auto"/>
        <w:bottom w:val="none" w:sz="0" w:space="0" w:color="auto"/>
        <w:right w:val="none" w:sz="0" w:space="0" w:color="auto"/>
      </w:divBdr>
    </w:div>
    <w:div w:id="1731730917">
      <w:bodyDiv w:val="1"/>
      <w:marLeft w:val="0"/>
      <w:marRight w:val="0"/>
      <w:marTop w:val="0"/>
      <w:marBottom w:val="0"/>
      <w:divBdr>
        <w:top w:val="none" w:sz="0" w:space="0" w:color="auto"/>
        <w:left w:val="none" w:sz="0" w:space="0" w:color="auto"/>
        <w:bottom w:val="none" w:sz="0" w:space="0" w:color="auto"/>
        <w:right w:val="none" w:sz="0" w:space="0" w:color="auto"/>
      </w:divBdr>
    </w:div>
    <w:div w:id="1775437182">
      <w:bodyDiv w:val="1"/>
      <w:marLeft w:val="0"/>
      <w:marRight w:val="0"/>
      <w:marTop w:val="0"/>
      <w:marBottom w:val="0"/>
      <w:divBdr>
        <w:top w:val="none" w:sz="0" w:space="0" w:color="auto"/>
        <w:left w:val="none" w:sz="0" w:space="0" w:color="auto"/>
        <w:bottom w:val="none" w:sz="0" w:space="0" w:color="auto"/>
        <w:right w:val="none" w:sz="0" w:space="0" w:color="auto"/>
      </w:divBdr>
    </w:div>
    <w:div w:id="1843735131">
      <w:bodyDiv w:val="1"/>
      <w:marLeft w:val="0"/>
      <w:marRight w:val="0"/>
      <w:marTop w:val="0"/>
      <w:marBottom w:val="0"/>
      <w:divBdr>
        <w:top w:val="none" w:sz="0" w:space="0" w:color="auto"/>
        <w:left w:val="none" w:sz="0" w:space="0" w:color="auto"/>
        <w:bottom w:val="none" w:sz="0" w:space="0" w:color="auto"/>
        <w:right w:val="none" w:sz="0" w:space="0" w:color="auto"/>
      </w:divBdr>
    </w:div>
    <w:div w:id="1886015385">
      <w:bodyDiv w:val="1"/>
      <w:marLeft w:val="0"/>
      <w:marRight w:val="0"/>
      <w:marTop w:val="0"/>
      <w:marBottom w:val="0"/>
      <w:divBdr>
        <w:top w:val="none" w:sz="0" w:space="0" w:color="auto"/>
        <w:left w:val="none" w:sz="0" w:space="0" w:color="auto"/>
        <w:bottom w:val="none" w:sz="0" w:space="0" w:color="auto"/>
        <w:right w:val="none" w:sz="0" w:space="0" w:color="auto"/>
      </w:divBdr>
    </w:div>
    <w:div w:id="1920753511">
      <w:bodyDiv w:val="1"/>
      <w:marLeft w:val="0"/>
      <w:marRight w:val="0"/>
      <w:marTop w:val="0"/>
      <w:marBottom w:val="0"/>
      <w:divBdr>
        <w:top w:val="none" w:sz="0" w:space="0" w:color="auto"/>
        <w:left w:val="none" w:sz="0" w:space="0" w:color="auto"/>
        <w:bottom w:val="none" w:sz="0" w:space="0" w:color="auto"/>
        <w:right w:val="none" w:sz="0" w:space="0" w:color="auto"/>
      </w:divBdr>
    </w:div>
    <w:div w:id="1957328035">
      <w:bodyDiv w:val="1"/>
      <w:marLeft w:val="0"/>
      <w:marRight w:val="0"/>
      <w:marTop w:val="0"/>
      <w:marBottom w:val="0"/>
      <w:divBdr>
        <w:top w:val="none" w:sz="0" w:space="0" w:color="auto"/>
        <w:left w:val="none" w:sz="0" w:space="0" w:color="auto"/>
        <w:bottom w:val="none" w:sz="0" w:space="0" w:color="auto"/>
        <w:right w:val="none" w:sz="0" w:space="0" w:color="auto"/>
      </w:divBdr>
    </w:div>
    <w:div w:id="2010130757">
      <w:bodyDiv w:val="1"/>
      <w:marLeft w:val="0"/>
      <w:marRight w:val="0"/>
      <w:marTop w:val="0"/>
      <w:marBottom w:val="0"/>
      <w:divBdr>
        <w:top w:val="none" w:sz="0" w:space="0" w:color="auto"/>
        <w:left w:val="none" w:sz="0" w:space="0" w:color="auto"/>
        <w:bottom w:val="none" w:sz="0" w:space="0" w:color="auto"/>
        <w:right w:val="none" w:sz="0" w:space="0" w:color="auto"/>
      </w:divBdr>
    </w:div>
    <w:div w:id="2016376074">
      <w:bodyDiv w:val="1"/>
      <w:marLeft w:val="0"/>
      <w:marRight w:val="0"/>
      <w:marTop w:val="0"/>
      <w:marBottom w:val="0"/>
      <w:divBdr>
        <w:top w:val="none" w:sz="0" w:space="0" w:color="auto"/>
        <w:left w:val="none" w:sz="0" w:space="0" w:color="auto"/>
        <w:bottom w:val="none" w:sz="0" w:space="0" w:color="auto"/>
        <w:right w:val="none" w:sz="0" w:space="0" w:color="auto"/>
      </w:divBdr>
    </w:div>
    <w:div w:id="2020037681">
      <w:bodyDiv w:val="1"/>
      <w:marLeft w:val="0"/>
      <w:marRight w:val="0"/>
      <w:marTop w:val="0"/>
      <w:marBottom w:val="0"/>
      <w:divBdr>
        <w:top w:val="none" w:sz="0" w:space="0" w:color="auto"/>
        <w:left w:val="none" w:sz="0" w:space="0" w:color="auto"/>
        <w:bottom w:val="none" w:sz="0" w:space="0" w:color="auto"/>
        <w:right w:val="none" w:sz="0" w:space="0" w:color="auto"/>
      </w:divBdr>
    </w:div>
    <w:div w:id="2044863708">
      <w:bodyDiv w:val="1"/>
      <w:marLeft w:val="0"/>
      <w:marRight w:val="0"/>
      <w:marTop w:val="0"/>
      <w:marBottom w:val="0"/>
      <w:divBdr>
        <w:top w:val="none" w:sz="0" w:space="0" w:color="auto"/>
        <w:left w:val="none" w:sz="0" w:space="0" w:color="auto"/>
        <w:bottom w:val="none" w:sz="0" w:space="0" w:color="auto"/>
        <w:right w:val="none" w:sz="0" w:space="0" w:color="auto"/>
      </w:divBdr>
    </w:div>
    <w:div w:id="2047245560">
      <w:bodyDiv w:val="1"/>
      <w:marLeft w:val="0"/>
      <w:marRight w:val="0"/>
      <w:marTop w:val="0"/>
      <w:marBottom w:val="0"/>
      <w:divBdr>
        <w:top w:val="none" w:sz="0" w:space="0" w:color="auto"/>
        <w:left w:val="none" w:sz="0" w:space="0" w:color="auto"/>
        <w:bottom w:val="none" w:sz="0" w:space="0" w:color="auto"/>
        <w:right w:val="none" w:sz="0" w:space="0" w:color="auto"/>
      </w:divBdr>
    </w:div>
    <w:div w:id="21467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www.consilium.europa.eu/en/press/press-releases/2015/06/15-jha-data-protection/" TargetMode="External"/><Relationship Id="rId26" Type="http://schemas.openxmlformats.org/officeDocument/2006/relationships/hyperlink" Target="http://data.consilium.europa.eu/doc/document/ST-9206-2015-INIT/en/pdf" TargetMode="External"/><Relationship Id="rId3" Type="http://schemas.microsoft.com/office/2007/relationships/stylesWithEffects" Target="stylesWithEffects.xml"/><Relationship Id="rId21" Type="http://schemas.openxmlformats.org/officeDocument/2006/relationships/hyperlink" Target="http://data.consilium.europa.eu/doc/document/ST-9372-2015-INIT/e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data.consilium.europa.eu/doc/document/ST-9331-2015-INIT/en/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consilium.europa.eu/register/en/content/out/?typ=SET&amp;i=ADV&amp;RESULTSET=1&amp;DOC_ID=9332%2F15&amp;DOS_INTERINST=&amp;DOC_TITLE=&amp;CONTENTS=&amp;DOC_SUBJECT=&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29" Type="http://schemas.openxmlformats.org/officeDocument/2006/relationships/hyperlink" Target="http://data.consilium.europa.eu/doc/document/ST-8082-2015-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ata.consilium.europa.eu/doc/document/ST-9798-2015-INIT/en/pdf" TargetMode="External"/><Relationship Id="rId32" Type="http://schemas.openxmlformats.org/officeDocument/2006/relationships/hyperlink" Target="http://data.consilium.europa.eu/doc/document/ST-8935-2015-INIT/en/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onsilium.europa.eu/en/policies/fight-against-terrorism/foreign-fighters/" TargetMode="External"/><Relationship Id="rId28" Type="http://schemas.openxmlformats.org/officeDocument/2006/relationships/hyperlink" Target="http://data.consilium.europa.eu/doc/document/ST-15584-2014-REV-2/en/pdf" TargetMode="External"/><Relationship Id="rId10" Type="http://schemas.openxmlformats.org/officeDocument/2006/relationships/header" Target="header2.xml"/><Relationship Id="rId19" Type="http://schemas.openxmlformats.org/officeDocument/2006/relationships/hyperlink" Target="http://www.consilium.europa.eu/en/policies/data-protection-reform/" TargetMode="External"/><Relationship Id="rId31" Type="http://schemas.openxmlformats.org/officeDocument/2006/relationships/hyperlink" Target="http://data.consilium.europa.eu/doc/document/ST-8933-2015-INIT/e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ilium.europa.eu/en/policies/migratory-pressures/" TargetMode="External"/><Relationship Id="rId27" Type="http://schemas.openxmlformats.org/officeDocument/2006/relationships/hyperlink" Target="http://data.consilium.europa.eu/doc/document/ST-9206-2015-COR-1/en/pdf" TargetMode="External"/><Relationship Id="rId30" Type="http://schemas.openxmlformats.org/officeDocument/2006/relationships/hyperlink" Target="http://data.consilium.europa.eu/doc/document/ST-9665-2015-INIT/en/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2</TotalTime>
  <Pages>12</Pages>
  <Words>2319</Words>
  <Characters>12968</Characters>
  <Application>Microsoft Office Word</Application>
  <DocSecurity>0</DocSecurity>
  <Lines>240</Lines>
  <Paragraphs>124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DQC</cp:lastModifiedBy>
  <cp:revision>5</cp:revision>
  <cp:lastPrinted>2015-06-17T12:03:00Z</cp:lastPrinted>
  <dcterms:created xsi:type="dcterms:W3CDTF">2015-06-17T12:03:00Z</dcterms:created>
  <dcterms:modified xsi:type="dcterms:W3CDTF">2015-09-04T08:38:00Z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ies>
</file>