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9C97FABE0924C80957483DD0B9162B6" style="width:450.4pt;height:420.4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Двете страни — Европейският съюз и Кралство Мароко — имат за цел взаимната защита на географските означения (ГО) с цел да се подобрят условията за двустранна търговия, да се отдаде предпочитание на качеството в хранителната верига и да се насърчи устойчивото развитие на селските райони съгласно условията на Евро-средиземноморската пътна карта за селското стопанство.</w:t>
      </w:r>
    </w:p>
    <w:p>
      <w:pPr>
        <w:rPr>
          <w:noProof/>
        </w:rPr>
      </w:pPr>
      <w:r>
        <w:rPr>
          <w:noProof/>
          <w:color w:val="000000"/>
        </w:rPr>
        <w:t>В член 9 от протокол №°1 и член 8 от протокол №°2</w:t>
      </w:r>
      <w:r>
        <w:rPr>
          <w:noProof/>
        </w:rPr>
        <w:t xml:space="preserve"> към Споразумението за асоцииране с Мароко, изменено със Споразумението за селското стопанство, се предвиждаше започването на преговори за сключване на споразумение относно защитата на географските означения на селскостопанските продукти, преработените селскостопански продукти, рибата и рибните продукти.</w:t>
      </w:r>
    </w:p>
    <w:p>
      <w:pPr>
        <w:rPr>
          <w:noProof/>
        </w:rPr>
      </w:pPr>
      <w:r>
        <w:rPr>
          <w:noProof/>
        </w:rPr>
        <w:t>Преговорите протекоха гладко. За ЕС тези преговори имаха две цели: от една страна — разширяване на използването и защитата на географските означения (Кралство Мароко ще защитава целия списък с географски означения на ЕС), а от друга страна — намеса при евентуални злоупотреби с географските означения на ЕС. От своя страна Кралство Мароко има интерес да развива и защитава настоящите си географски означения на територията на ЕС и да задълбочава отношенията си с ЕС.</w:t>
      </w:r>
    </w:p>
    <w:p>
      <w:pPr>
        <w:rPr>
          <w:noProof/>
        </w:rPr>
      </w:pPr>
      <w:r>
        <w:rPr>
          <w:noProof/>
        </w:rPr>
        <w:t>Преговорите приключиха на 16 януари 2015 г. Споразумението предвижда защита на географските означения (ЗНП и ЗГУ), защитени от съответните страни.</w:t>
      </w:r>
    </w:p>
    <w:p>
      <w:pPr>
        <w:rPr>
          <w:noProof/>
        </w:rPr>
      </w:pPr>
      <w:r>
        <w:rPr>
          <w:noProof/>
        </w:rPr>
        <w:t>Настоящото предложение има за цел да оправомощи Съвета да посочи лицето (лицата), упълномощено(и) да подпише(ат) споразумението от името на Съюза, при условие че то бъде сключено.</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rPr>
          <w:noProof/>
        </w:rPr>
      </w:pPr>
      <w:r>
        <w:rPr>
          <w:noProof/>
        </w:rPr>
        <w:t>Не се прилага.</w:t>
      </w:r>
    </w:p>
    <w:p>
      <w:pPr>
        <w:pStyle w:val="ManualHeading1"/>
        <w:rPr>
          <w:noProof/>
        </w:rPr>
      </w:pPr>
      <w:r>
        <w:rPr>
          <w:noProof/>
        </w:rPr>
        <w:t>3.</w:t>
      </w:r>
      <w:r>
        <w:rPr>
          <w:noProof/>
        </w:rPr>
        <w:tab/>
        <w:t xml:space="preserve">ОТРАЖЕНИЕ ВЪРХУ БЮДЖЕТА </w:t>
      </w:r>
    </w:p>
    <w:p>
      <w:pPr>
        <w:rPr>
          <w:noProof/>
        </w:rPr>
      </w:pPr>
      <w:r>
        <w:rPr>
          <w:noProof/>
        </w:rPr>
        <w:t>Няма отражение върху бюджета.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2015/0205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подписването от името на Европейския съюз на Споразумението под формата на размяна на писма между Европейския съюз и Кралство Мароко относно защитата на географските указания и наименованията за произход на селскостопанските продукти, преработените селскостопански продукти, рибата и рибните продукти и за изменение на Eвро-средиземноморското споразумение за асоцииране между Европейските общности и техните държави членки, от една страна, и Кралство Мароко, от друга страна </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 207, параграф 4, първа алинея във връзка с член 218, параграф 5 от него, </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14 ноември 2005 г. Съветът упълномощи Комисията да води преговори с Кралство Мароко в рамките на Eвро-средиземноморското споразумение за асоцииране между Европейските общности и техните държави членки, от една страна, и Кралство Мароко, от друга страна</w:t>
      </w:r>
      <w:r>
        <w:rPr>
          <w:rStyle w:val="FootnoteReference"/>
          <w:noProof/>
        </w:rPr>
        <w:footnoteReference w:id="1"/>
      </w:r>
      <w:r>
        <w:rPr>
          <w:noProof/>
        </w:rPr>
        <w:t xml:space="preserve"> (наричано по-нататък „Споразумението за асоцииране“), с оглед на по-голяма либерализация на търговията със селскостопански продукти, преработени селскостопански продукти, риба и рибни продукти. Тези преговори следваше да са насочени по-специално към защитата на географските означения. </w:t>
      </w:r>
    </w:p>
    <w:p>
      <w:pPr>
        <w:pStyle w:val="ManualConsidrant"/>
        <w:rPr>
          <w:noProof/>
        </w:rPr>
      </w:pPr>
      <w:r>
        <w:t>(2)</w:t>
      </w:r>
      <w:r>
        <w:tab/>
      </w:r>
      <w:r>
        <w:rPr>
          <w:noProof/>
        </w:rPr>
        <w:t>Споразумението под формата на размяна на писма между Европейския съюз и Кралство Мароко за реципрочни мерки за либерализация по отношение на селскостопански продукти, преработени селскостопански продукти, риба и рибни продукти, за замяна на протоколи №</w:t>
      </w:r>
      <w:r>
        <w:rPr>
          <w:noProof/>
          <w:sz w:val="22"/>
          <w:vertAlign w:val="superscript"/>
        </w:rPr>
        <w:t> </w:t>
      </w:r>
      <w:r>
        <w:rPr>
          <w:noProof/>
        </w:rPr>
        <w:t>1, № 2 и № 3 и приложенията към тях и за изменение на Евро-средиземноморското споразумение за асоцииране между Европейските общности и техните държави членки, от една страна, и Кралство Мароко, от друга страна</w:t>
      </w:r>
      <w:r>
        <w:rPr>
          <w:rStyle w:val="FootnoteReference"/>
          <w:noProof/>
        </w:rPr>
        <w:footnoteReference w:id="2"/>
      </w:r>
      <w:r>
        <w:rPr>
          <w:noProof/>
        </w:rPr>
        <w:t xml:space="preserve"> (наричано по-нататък „Споразумението за селското стопанство“), одобрено с Решение 2012/497/ЕС на Съвета</w:t>
      </w:r>
      <w:r>
        <w:rPr>
          <w:rStyle w:val="FootnoteReference"/>
          <w:noProof/>
        </w:rPr>
        <w:footnoteReference w:id="3"/>
      </w:r>
      <w:r>
        <w:rPr>
          <w:noProof/>
        </w:rPr>
        <w:t>, влезе в сила на 1</w:t>
      </w:r>
      <w:r>
        <w:rPr>
          <w:noProof/>
          <w:vertAlign w:val="superscript"/>
        </w:rPr>
        <w:t> </w:t>
      </w:r>
      <w:r>
        <w:rPr>
          <w:noProof/>
        </w:rPr>
        <w:t>октомври 2012 г.</w:t>
      </w:r>
    </w:p>
    <w:p>
      <w:pPr>
        <w:pStyle w:val="ManualConsidrant"/>
        <w:rPr>
          <w:noProof/>
        </w:rPr>
      </w:pPr>
      <w:r>
        <w:t>(3)</w:t>
      </w:r>
      <w:r>
        <w:tab/>
      </w:r>
      <w:r>
        <w:rPr>
          <w:noProof/>
        </w:rPr>
        <w:t>В член 9 от протокол № 1 към Споразумението за асоцииране и член 8 от протокол № 2 към същото споразумение, изменени със Споразумението за селското стопанство, се предвижда започването на преговори с цел сключване на споразумение относно защитата на географските означения на селскостопанските продукти, преработените селскостопански продукти, рибата и рибните продукти не по-късно от 3 месеца след датата на влизане в сила на посочените протоколи. Преговорите, които започнаха през декември 2012 г., приключиха успешно и споразумението беше парафирано.</w:t>
      </w:r>
    </w:p>
    <w:p>
      <w:pPr>
        <w:pStyle w:val="ManualConsidrant"/>
        <w:rPr>
          <w:noProof/>
        </w:rPr>
      </w:pPr>
      <w:r>
        <w:t>(4)</w:t>
      </w:r>
      <w:r>
        <w:tab/>
      </w:r>
      <w:r>
        <w:rPr>
          <w:noProof/>
        </w:rPr>
        <w:t xml:space="preserve">Споразумението има за цел да популяризира и да изведе на преден план качествената продукция, да развива географските указания и наименованията за произход чрез защитата, която им предоставя, и да улеснява двустранната търговия съгласно условията на приетата през 2005 г. Евро-средиземноморска пътна карта от Рабат за селското стопанство. </w:t>
      </w:r>
    </w:p>
    <w:p>
      <w:pPr>
        <w:pStyle w:val="ManualConsidrant"/>
        <w:rPr>
          <w:noProof/>
        </w:rPr>
      </w:pPr>
      <w:r>
        <w:t>(5)</w:t>
      </w:r>
      <w:r>
        <w:tab/>
      </w:r>
      <w:r>
        <w:rPr>
          <w:noProof/>
        </w:rPr>
        <w:t>Страните разработиха сближени законодателства по отношение на защитата на географските указания и наименованията за произход на съответната си територия.</w:t>
      </w:r>
    </w:p>
    <w:p>
      <w:pPr>
        <w:pStyle w:val="ManualConsidrant"/>
        <w:rPr>
          <w:noProof/>
        </w:rPr>
      </w:pPr>
      <w:r>
        <w:t>(6)</w:t>
      </w:r>
      <w:r>
        <w:tab/>
      </w:r>
      <w:r>
        <w:rPr>
          <w:noProof/>
        </w:rPr>
        <w:t>Споразумението ще позволи защитата на географските указания и наименованията за произход на страните.</w:t>
      </w:r>
    </w:p>
    <w:p>
      <w:pPr>
        <w:pStyle w:val="ManualConsidrant"/>
        <w:rPr>
          <w:noProof/>
        </w:rPr>
      </w:pPr>
      <w:r>
        <w:t>(7)</w:t>
      </w:r>
      <w:r>
        <w:tab/>
      </w:r>
      <w:r>
        <w:rPr>
          <w:noProof/>
        </w:rPr>
        <w:t>Страните извършиха проучване и обществена консултация по отношение на защитата на съответните географски указания и наименования за произход.</w:t>
      </w:r>
    </w:p>
    <w:p>
      <w:pPr>
        <w:pStyle w:val="ManualConsidrant"/>
        <w:rPr>
          <w:noProof/>
        </w:rPr>
      </w:pPr>
      <w:r>
        <w:t>(8)</w:t>
      </w:r>
      <w:r>
        <w:tab/>
      </w:r>
      <w:r>
        <w:rPr>
          <w:noProof/>
        </w:rPr>
        <w:t xml:space="preserve">Поради това споразумението следва да бъде подписано от името на Съюза, при условие че то бъде сключено на по-късна дата, и следва да бъде одобрена съвместната декларация относно защитата и популяризирането на географските означения на селскостопанските продукти, преработените селскостопански продукти, рибата и рибните продукти, </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Одобрява се от името на Съюза подписването на Споразумението под формата на размяна на писма между Европейския съюз и Кралство Мароко относно защитата на географските указания и наименованията за произход на селскостопанските продукти, преработените селскостопански продукти, рибата и рибните продукти и за изменение на Eвро-средиземноморското споразумение за асоцииране между Европейските общности и техните държави членки, от една страна, и Кралство Мароко, от друга страна, и на съвместната декларация към същото споразумение, при условие че посоченото споразумение</w:t>
      </w:r>
      <w:r>
        <w:rPr>
          <w:rStyle w:val="FootnoteReference"/>
          <w:noProof/>
        </w:rPr>
        <w:footnoteReference w:id="4"/>
      </w:r>
      <w:r>
        <w:rPr>
          <w:noProof/>
        </w:rPr>
        <w:t xml:space="preserve"> бъде сключено.</w:t>
      </w:r>
    </w:p>
    <w:p>
      <w:pPr>
        <w:rPr>
          <w:i/>
          <w:noProof/>
        </w:rPr>
      </w:pPr>
      <w:r>
        <w:rPr>
          <w:noProof/>
        </w:rPr>
        <w:t xml:space="preserve"> </w:t>
      </w:r>
    </w:p>
    <w:p>
      <w:pPr>
        <w:pStyle w:val="Titrearticle"/>
        <w:rPr>
          <w:noProof/>
        </w:rPr>
      </w:pPr>
      <w:r>
        <w:rPr>
          <w:noProof/>
        </w:rPr>
        <w:t>Член 2</w:t>
      </w:r>
    </w:p>
    <w:p>
      <w:pPr>
        <w:rPr>
          <w:noProof/>
          <w:szCs w:val="24"/>
        </w:rPr>
      </w:pPr>
      <w:r>
        <w:rPr>
          <w:noProof/>
        </w:rPr>
        <w:t>Генералният секретариат на Съвета изготвя акта за предоставяне на пълномощия на лицето (лицата), посочено(и) от преговарящия по споразумението, да подпише(ат) Споразумението под формата на размяна на писма, при условие че то бъде сключено.</w:t>
      </w:r>
    </w:p>
    <w:p>
      <w:pPr>
        <w:rPr>
          <w:noProof/>
        </w:rPr>
      </w:pPr>
    </w:p>
    <w:p>
      <w:pPr>
        <w:pStyle w:val="Titrearticle"/>
        <w:rPr>
          <w:noProof/>
        </w:rPr>
      </w:pPr>
      <w:r>
        <w:rPr>
          <w:noProof/>
        </w:rPr>
        <w:t>Член 3</w:t>
      </w:r>
    </w:p>
    <w:p>
      <w:pPr>
        <w:keepNext/>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ОВ L 70, 18.3.2000 г., стр. 2.</w:t>
      </w:r>
    </w:p>
  </w:footnote>
  <w:footnote w:id="2">
    <w:p>
      <w:pPr>
        <w:pStyle w:val="FootnoteText"/>
        <w:rPr>
          <w:lang w:val="fr-BE"/>
        </w:rPr>
      </w:pPr>
      <w:r>
        <w:rPr>
          <w:rStyle w:val="FootnoteReference"/>
        </w:rPr>
        <w:footnoteRef/>
      </w:r>
      <w:r>
        <w:tab/>
        <w:t>ОВ L 241, 7.9.2012 г., стр. 4.</w:t>
      </w:r>
    </w:p>
  </w:footnote>
  <w:footnote w:id="3">
    <w:p>
      <w:pPr>
        <w:pStyle w:val="FootnoteText"/>
        <w:rPr>
          <w:lang w:val="fr-BE"/>
        </w:rPr>
      </w:pPr>
      <w:r>
        <w:rPr>
          <w:rStyle w:val="FootnoteReference"/>
        </w:rPr>
        <w:footnoteRef/>
      </w:r>
      <w:r>
        <w:tab/>
        <w:t>ОВ L 241, 7.9.2012 г., стр. 2.</w:t>
      </w:r>
    </w:p>
  </w:footnote>
  <w:footnote w:id="4">
    <w:p>
      <w:pPr>
        <w:pStyle w:val="FootnoteText"/>
        <w:rPr>
          <w:lang w:val="fr-BE"/>
        </w:rPr>
      </w:pPr>
      <w:r>
        <w:rPr>
          <w:rStyle w:val="FootnoteReference"/>
        </w:rPr>
        <w:footnoteRef/>
      </w:r>
      <w:r>
        <w:tab/>
        <w:t>Текстът на споразумението ще бъде публикуван заедно с решението за сключването му.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F7A05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96EA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1052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0EED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1D4CF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C4C5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DC43F3C"/>
    <w:lvl w:ilvl="0">
      <w:start w:val="1"/>
      <w:numFmt w:val="decimal"/>
      <w:pStyle w:val="ListNumber"/>
      <w:lvlText w:val="%1."/>
      <w:lvlJc w:val="left"/>
      <w:pPr>
        <w:tabs>
          <w:tab w:val="num" w:pos="360"/>
        </w:tabs>
        <w:ind w:left="360" w:hanging="360"/>
      </w:pPr>
    </w:lvl>
  </w:abstractNum>
  <w:abstractNum w:abstractNumId="7">
    <w:nsid w:val="FFFFFF89"/>
    <w:multiLevelType w:val="singleLevel"/>
    <w:tmpl w:val="6F6842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oNotTrackMoves/>
  <w:defaultTabStop w:val="720"/>
  <w:hyphenationZone w:val="425"/>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9-14 13:45: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9C97FABE0924C80957483DD0B9162B6"/>
    <w:docVar w:name="LW_CROSSREFERENCE" w:val="&lt;UNUSED&gt;"/>
    <w:docVar w:name="LW_DocType" w:val="COM"/>
    <w:docVar w:name="LW_EMISSION" w:val="15.9.2015"/>
    <w:docVar w:name="LW_EMISSION_ISODATE" w:val="2015-09-15"/>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5"/>
    <w:docVar w:name="LW_REF.II.NEW.CP_YEAR" w:val="2015"/>
    <w:docVar w:name="LW_REF.INST.NEW" w:val="COM"/>
    <w:docVar w:name="LW_REF.INST.NEW_ADOPTED" w:val="final"/>
    <w:docVar w:name="LW_REF.INST.NEW_TEXT" w:val="(2015) 448"/>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45?\u1074?\u1088?\u1086?\u1087?\u1077?\u1081?\u1089?\u1082?\u1080?\u1103? \u1089?\u1098?\u1102?\u1079? \u1085?\u1072? \u1057?\u1087?\u1086?\u1088?\u1072?\u1079?\u1091?\u1084?\u1077?\u1085?\u1080?\u1077?\u1090?\u1086? \u1087?\u1086?\u1076? \u1092?\u1086?\u1088?\u1084?\u1072?\u1090?\u1072? \u1085?\u1072? \u1088?\u1072?\u1079?\u1084?\u1103?\u1085?\u1072? \u1085?\u1072? \u1087?\u1080?\u1089?\u1084?\u1072? \u1084?\u1077?\u1078?\u1076?\u1091? \u1045?\u1074?\u1088?\u1086?\u1087?\u1077?\u1081?\u1089?\u1082?\u1080?\u1103? \u1089?\u1098?\u1102?\u1079? \u1080? \u1050?\u1088?\u1072?\u1083?\u1089?\u1090?\u1074?\u1086? \u1052?\u1072?\u1088?\u1086?\u1082?\u1086? \u1086?\u1090?\u1085?\u1086?\u1089?\u1085?\u1086? \u1079?\u1072?\u1097?\u1080?\u1090?\u1072?\u1090?\u1072? \u1085?\u1072? \u1075?\u1077?\u1086?\u1075?\u1088?\u1072?\u1092?\u1089?\u1082?\u1080?\u1090?\u1077? \u1091?\u1082?\u1072?\u1079?\u1072?\u1085?\u1080?\u1103? \u1080? \u1085?\u1072?\u1080?\u1084?\u1077?\u1085?\u1086?\u1074?\u1072?\u1085?\u1080?\u1103?\u1090?\u1072? \u1079?\u1072? \u1087?\u1088?\u1086?\u1080?\u1079?\u1093?\u1086?\u1076? \u1085?\u1072? \u1089?\u1077?\u1083?\u1089?\u1082?\u1086?\u1089?\u1090?\u1086?\u1087?\u1072?\u1085?\u1089?\u1082?\u1080?\u1090?\u1077? \u1087?\u1088?\u1086?\u1076?\u1091?\u1082?\u1090?\u1080?, \u1087?\u1088?\u1077?\u1088?\u1072?\u1073?\u1086?\u1090?\u1077?\u1085?\u1080?\u1090?\u1077? \u1089?\u1077?\u1083?\u1089?\u1082?\u1086?\u1089?\u1090?\u1086?\u1087?\u1072?\u1085?\u1089?\u1082?\u1080? \u1087?\u1088?\u1086?\u1076?\u1091?\u1082?\u1090?\u1080?, \u1088?\u1080?\u1073?\u1072?\u1090?\u1072? \u1080? \u1088?\u1080?\u1073?\u1085?\u1080?\u1090?\u1077? \u1087?\u1088?\u1086?\u1076?\u1091?\u1082?\u1090?\u1080? \u1080? \u1079?\u1072? \u1080?\u1079?\u1084?\u1077?\u1085?\u1077?\u1085?\u1080?\u1077? \u1085?\u1072? E\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0?\u1088?\u1072?\u1083?\u1089?\u1090?\u1074?\u1086? \u1052?\u1072?\u1088?\u1086?\u1082?\u1086?, \u1086?\u1090? \u1076?\u1088?\u1091?\u1075?\u1072? \u1089?\u1090?\u1088?\u1072?\u1085?\u1072?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bg-BG"/>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67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47B79-F8D0-467F-A5AA-BCA36D92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888</Words>
  <Characters>5438</Characters>
  <Application>Microsoft Office Word</Application>
  <DocSecurity>0</DocSecurity>
  <Lines>110</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2015-02-11T09:57:00Z</cp:lastPrinted>
  <dcterms:created xsi:type="dcterms:W3CDTF">2015-09-10T09:28:00Z</dcterms:created>
  <dcterms:modified xsi:type="dcterms:W3CDTF">2015-09-14T11:45:00Z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