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924" w:rsidRDefault="00C96E03">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882F84AA5B5476A8C90B7DE27DA9452" style="width:450.75pt;height:438pt">
            <v:imagedata r:id="rId8" o:title=""/>
          </v:shape>
        </w:pict>
      </w:r>
    </w:p>
    <w:p w:rsidR="00931924" w:rsidRDefault="00931924">
      <w:pPr>
        <w:rPr>
          <w:noProof/>
        </w:rPr>
        <w:sectPr w:rsidR="00931924">
          <w:footerReference w:type="default" r:id="rId9"/>
          <w:pgSz w:w="11907" w:h="16839"/>
          <w:pgMar w:top="1134" w:right="1417" w:bottom="1134" w:left="1417" w:header="709" w:footer="709" w:gutter="0"/>
          <w:pgNumType w:start="1"/>
          <w:cols w:space="720"/>
          <w:docGrid w:linePitch="360"/>
        </w:sectPr>
      </w:pPr>
    </w:p>
    <w:p w:rsidR="00931924" w:rsidRDefault="00C96E03">
      <w:pPr>
        <w:jc w:val="center"/>
        <w:rPr>
          <w:b/>
          <w:noProof/>
        </w:rPr>
      </w:pPr>
      <w:r>
        <w:rPr>
          <w:b/>
          <w:noProof/>
        </w:rPr>
        <w:lastRenderedPageBreak/>
        <w:t>PROJET DE</w:t>
      </w:r>
    </w:p>
    <w:p w:rsidR="00931924" w:rsidRDefault="00C96E03">
      <w:pPr>
        <w:jc w:val="center"/>
        <w:rPr>
          <w:b/>
          <w:caps/>
          <w:noProof/>
        </w:rPr>
      </w:pPr>
      <w:r>
        <w:rPr>
          <w:b/>
          <w:noProof/>
        </w:rPr>
        <w:t xml:space="preserve">DÉCISION Nº 1/2015 DU </w:t>
      </w:r>
      <w:r>
        <w:rPr>
          <w:b/>
          <w:caps/>
          <w:noProof/>
        </w:rPr>
        <w:t>SOUS-COMITÉ DU COMMERCE ET DU DÉVELOPPEMENT DURABLE</w:t>
      </w:r>
      <w:r>
        <w:rPr>
          <w:b/>
          <w:noProof/>
        </w:rPr>
        <w:t xml:space="preserve"> UE-GÉORGIE</w:t>
      </w:r>
    </w:p>
    <w:p w:rsidR="00931924" w:rsidRDefault="00C96E03">
      <w:pPr>
        <w:jc w:val="center"/>
        <w:rPr>
          <w:b/>
          <w:noProof/>
        </w:rPr>
      </w:pPr>
      <w:r>
        <w:rPr>
          <w:b/>
          <w:noProof/>
        </w:rPr>
        <w:t>du …</w:t>
      </w:r>
      <w:r>
        <w:rPr>
          <w:b/>
          <w:noProof/>
        </w:rPr>
        <w:t xml:space="preserve"> 2015</w:t>
      </w:r>
    </w:p>
    <w:p w:rsidR="00931924" w:rsidRDefault="00C96E03">
      <w:pPr>
        <w:spacing w:after="360"/>
        <w:jc w:val="center"/>
        <w:rPr>
          <w:b/>
          <w:noProof/>
        </w:rPr>
      </w:pPr>
      <w:r>
        <w:rPr>
          <w:b/>
          <w:noProof/>
        </w:rPr>
        <w:t>portant adoption de son règlement intérieur</w:t>
      </w:r>
    </w:p>
    <w:p w:rsidR="00931924" w:rsidRDefault="00C96E03">
      <w:pPr>
        <w:rPr>
          <w:rFonts w:eastAsia="Times New Roman"/>
          <w:noProof/>
          <w:szCs w:val="24"/>
        </w:rPr>
      </w:pPr>
      <w:r>
        <w:rPr>
          <w:noProof/>
        </w:rPr>
        <w:t xml:space="preserve">LE SOUS-COMITÉ DU COMMERCE ET DU DÉVELOPPEMENT DURABLE UE-GÉORGIE, </w:t>
      </w:r>
    </w:p>
    <w:p w:rsidR="00931924" w:rsidRDefault="00C96E03">
      <w:pPr>
        <w:rPr>
          <w:rFonts w:eastAsia="Times New Roman"/>
          <w:noProof/>
          <w:szCs w:val="24"/>
        </w:rPr>
      </w:pPr>
      <w:r>
        <w:rPr>
          <w:noProof/>
        </w:rPr>
        <w:t>vu l’accord d’association entre l’Union européenne et la Communauté européenne de l’énergie atomique et leurs États membres, d’une part, e</w:t>
      </w:r>
      <w:r>
        <w:rPr>
          <w:noProof/>
        </w:rPr>
        <w:t>t la Géorgie, d’autre part (ci-après l’«accord»), et notamment son article 240,</w:t>
      </w:r>
    </w:p>
    <w:p w:rsidR="00931924" w:rsidRDefault="00C96E03">
      <w:pPr>
        <w:rPr>
          <w:rFonts w:eastAsia="Times New Roman"/>
          <w:noProof/>
          <w:szCs w:val="24"/>
        </w:rPr>
      </w:pPr>
      <w:r>
        <w:rPr>
          <w:noProof/>
        </w:rPr>
        <w:t>considérant ce qui suit:</w:t>
      </w:r>
    </w:p>
    <w:p w:rsidR="00931924" w:rsidRDefault="00C96E03">
      <w:pPr>
        <w:pStyle w:val="ManualConsidrant"/>
        <w:rPr>
          <w:noProof/>
          <w:color w:val="000000"/>
        </w:rPr>
      </w:pPr>
      <w:r>
        <w:rPr>
          <w:noProof/>
        </w:rPr>
        <w:t>(1)</w:t>
      </w:r>
      <w:r>
        <w:rPr>
          <w:noProof/>
        </w:rPr>
        <w:tab/>
        <w:t>Conformément à l’article 431 de l’accord, certaines parties de ce dernier sont appliquées à titre provisoire depuis le 1</w:t>
      </w:r>
      <w:r>
        <w:rPr>
          <w:noProof/>
          <w:vertAlign w:val="superscript"/>
        </w:rPr>
        <w:t>er</w:t>
      </w:r>
      <w:r>
        <w:rPr>
          <w:noProof/>
        </w:rPr>
        <w:t xml:space="preserve"> septembre 2014. </w:t>
      </w:r>
    </w:p>
    <w:p w:rsidR="00931924" w:rsidRDefault="00C96E03">
      <w:pPr>
        <w:pStyle w:val="ManualConsidrant"/>
        <w:rPr>
          <w:noProof/>
          <w:color w:val="000000"/>
        </w:rPr>
      </w:pPr>
      <w:r>
        <w:rPr>
          <w:noProof/>
        </w:rPr>
        <w:t>(2)</w:t>
      </w:r>
      <w:r>
        <w:rPr>
          <w:noProof/>
        </w:rPr>
        <w:tab/>
        <w:t>L’a</w:t>
      </w:r>
      <w:r>
        <w:rPr>
          <w:noProof/>
        </w:rPr>
        <w:t xml:space="preserve">rticle 240 de l’accord dispose que le sous-comité du commerce et du développement durable supervise la mise en œuvre du chapitre 13 (Commerce et développement durable) du titre IV (Commerce et questions liées au commerce) de l’accord. </w:t>
      </w:r>
    </w:p>
    <w:p w:rsidR="00931924" w:rsidRDefault="00C96E03">
      <w:pPr>
        <w:pStyle w:val="ManualConsidrant"/>
        <w:rPr>
          <w:noProof/>
        </w:rPr>
      </w:pPr>
      <w:r>
        <w:rPr>
          <w:noProof/>
        </w:rPr>
        <w:t>(3)</w:t>
      </w:r>
      <w:r>
        <w:rPr>
          <w:noProof/>
        </w:rPr>
        <w:tab/>
        <w:t>L’article 240, p</w:t>
      </w:r>
      <w:r>
        <w:rPr>
          <w:noProof/>
        </w:rPr>
        <w:t xml:space="preserve">aragraphe 3, de l’accord dispose que le sous-comité du commerce et du développement durable arrête son règlement intérieur, </w:t>
      </w:r>
    </w:p>
    <w:p w:rsidR="00931924" w:rsidRDefault="00C96E03">
      <w:pPr>
        <w:rPr>
          <w:rFonts w:eastAsia="Times New Roman"/>
          <w:noProof/>
          <w:szCs w:val="24"/>
        </w:rPr>
      </w:pPr>
      <w:r>
        <w:rPr>
          <w:noProof/>
        </w:rPr>
        <w:t xml:space="preserve">DÉCIDE: </w:t>
      </w:r>
    </w:p>
    <w:p w:rsidR="00931924" w:rsidRDefault="00C96E03">
      <w:pPr>
        <w:pStyle w:val="Titrearticle"/>
        <w:rPr>
          <w:noProof/>
        </w:rPr>
      </w:pPr>
      <w:r>
        <w:rPr>
          <w:noProof/>
        </w:rPr>
        <w:t>Article premier</w:t>
      </w:r>
    </w:p>
    <w:p w:rsidR="00931924" w:rsidRDefault="00C96E03">
      <w:pPr>
        <w:rPr>
          <w:rFonts w:eastAsia="Times New Roman"/>
          <w:noProof/>
          <w:szCs w:val="24"/>
        </w:rPr>
      </w:pPr>
      <w:r>
        <w:rPr>
          <w:noProof/>
        </w:rPr>
        <w:t xml:space="preserve">Le règlement intérieur du sous-comité du commerce et du développement durable, joint en appendice, est </w:t>
      </w:r>
      <w:r>
        <w:rPr>
          <w:noProof/>
        </w:rPr>
        <w:t>adopté.</w:t>
      </w:r>
    </w:p>
    <w:p w:rsidR="00931924" w:rsidRDefault="00C96E03">
      <w:pPr>
        <w:pStyle w:val="Titrearticle"/>
        <w:rPr>
          <w:rFonts w:eastAsia="Times New Roman"/>
          <w:i w:val="0"/>
          <w:noProof/>
          <w:szCs w:val="24"/>
        </w:rPr>
      </w:pPr>
      <w:r>
        <w:rPr>
          <w:noProof/>
        </w:rPr>
        <w:t>Article 2</w:t>
      </w:r>
    </w:p>
    <w:p w:rsidR="00931924" w:rsidRDefault="00C96E03">
      <w:pPr>
        <w:rPr>
          <w:rFonts w:eastAsia="Times New Roman"/>
          <w:noProof/>
          <w:szCs w:val="24"/>
        </w:rPr>
      </w:pPr>
      <w:r>
        <w:rPr>
          <w:noProof/>
        </w:rPr>
        <w:t>La présente décision entre en vigueur le jour de son adoption.</w:t>
      </w:r>
    </w:p>
    <w:p w:rsidR="00931924" w:rsidRDefault="00C96E03">
      <w:pPr>
        <w:rPr>
          <w:rFonts w:eastAsia="Times New Roman"/>
          <w:noProof/>
          <w:szCs w:val="24"/>
        </w:rPr>
      </w:pPr>
      <w:r>
        <w:rPr>
          <w:noProof/>
        </w:rPr>
        <w:t xml:space="preserve">Fait à …, le …. </w:t>
      </w:r>
    </w:p>
    <w:tbl>
      <w:tblPr>
        <w:tblW w:w="0" w:type="auto"/>
        <w:tblLook w:val="04A0" w:firstRow="1" w:lastRow="0" w:firstColumn="1" w:lastColumn="0" w:noHBand="0" w:noVBand="1"/>
      </w:tblPr>
      <w:tblGrid>
        <w:gridCol w:w="4643"/>
        <w:gridCol w:w="4644"/>
      </w:tblGrid>
      <w:tr w:rsidR="00931924">
        <w:tc>
          <w:tcPr>
            <w:tcW w:w="4643" w:type="dxa"/>
            <w:shd w:val="clear" w:color="auto" w:fill="auto"/>
          </w:tcPr>
          <w:p w:rsidR="00931924" w:rsidRDefault="00931924">
            <w:pPr>
              <w:ind w:left="2160" w:firstLine="720"/>
              <w:jc w:val="center"/>
              <w:rPr>
                <w:rFonts w:eastAsia="Times New Roman"/>
                <w:noProof/>
                <w:szCs w:val="24"/>
              </w:rPr>
            </w:pPr>
          </w:p>
        </w:tc>
        <w:tc>
          <w:tcPr>
            <w:tcW w:w="4644" w:type="dxa"/>
            <w:shd w:val="clear" w:color="auto" w:fill="auto"/>
          </w:tcPr>
          <w:p w:rsidR="00931924" w:rsidRDefault="00C96E03">
            <w:pPr>
              <w:rPr>
                <w:i/>
                <w:noProof/>
              </w:rPr>
            </w:pPr>
            <w:r>
              <w:rPr>
                <w:i/>
                <w:noProof/>
              </w:rPr>
              <w:t>Par le sous-comité du commerce et du développement durable</w:t>
            </w:r>
          </w:p>
        </w:tc>
      </w:tr>
      <w:tr w:rsidR="00931924">
        <w:tc>
          <w:tcPr>
            <w:tcW w:w="4643" w:type="dxa"/>
            <w:shd w:val="clear" w:color="auto" w:fill="auto"/>
          </w:tcPr>
          <w:p w:rsidR="00931924" w:rsidRDefault="00931924">
            <w:pPr>
              <w:rPr>
                <w:rFonts w:eastAsia="Times New Roman"/>
                <w:noProof/>
                <w:szCs w:val="24"/>
              </w:rPr>
            </w:pPr>
          </w:p>
        </w:tc>
        <w:tc>
          <w:tcPr>
            <w:tcW w:w="4644" w:type="dxa"/>
            <w:shd w:val="clear" w:color="auto" w:fill="auto"/>
          </w:tcPr>
          <w:p w:rsidR="00931924" w:rsidRDefault="00C96E03">
            <w:pPr>
              <w:rPr>
                <w:rFonts w:eastAsia="Times New Roman"/>
                <w:i/>
                <w:noProof/>
                <w:szCs w:val="24"/>
              </w:rPr>
            </w:pPr>
            <w:r>
              <w:rPr>
                <w:i/>
                <w:noProof/>
              </w:rPr>
              <w:t>Le président</w:t>
            </w:r>
          </w:p>
        </w:tc>
      </w:tr>
    </w:tbl>
    <w:p w:rsidR="00931924" w:rsidRDefault="00931924">
      <w:pPr>
        <w:jc w:val="left"/>
        <w:rPr>
          <w:i/>
          <w:noProof/>
        </w:rPr>
        <w:sectPr w:rsidR="00931924">
          <w:footerReference w:type="default" r:id="rId10"/>
          <w:footerReference w:type="first" r:id="rId11"/>
          <w:pgSz w:w="11907" w:h="16839"/>
          <w:pgMar w:top="1134" w:right="1418" w:bottom="1134" w:left="1418" w:header="720" w:footer="720" w:gutter="0"/>
          <w:cols w:space="720"/>
          <w:docGrid w:linePitch="326"/>
        </w:sectPr>
      </w:pPr>
    </w:p>
    <w:p w:rsidR="00931924" w:rsidRDefault="00C96E03">
      <w:pPr>
        <w:spacing w:after="360"/>
        <w:jc w:val="right"/>
        <w:rPr>
          <w:rFonts w:eastAsia="Times New Roman"/>
          <w:b/>
          <w:noProof/>
          <w:szCs w:val="24"/>
          <w:u w:val="single"/>
        </w:rPr>
      </w:pPr>
      <w:r>
        <w:rPr>
          <w:b/>
          <w:noProof/>
          <w:u w:val="single"/>
        </w:rPr>
        <w:lastRenderedPageBreak/>
        <w:t xml:space="preserve">Appendice </w:t>
      </w:r>
    </w:p>
    <w:p w:rsidR="00931924" w:rsidRDefault="00C96E03">
      <w:pPr>
        <w:jc w:val="center"/>
        <w:rPr>
          <w:rFonts w:eastAsia="Times New Roman"/>
          <w:b/>
          <w:noProof/>
          <w:sz w:val="28"/>
          <w:szCs w:val="28"/>
        </w:rPr>
      </w:pPr>
      <w:r>
        <w:rPr>
          <w:b/>
          <w:noProof/>
          <w:sz w:val="28"/>
        </w:rPr>
        <w:t xml:space="preserve">Règlement intérieur du sous-comité du commerce et du développement durable UE-Géorgie </w:t>
      </w:r>
    </w:p>
    <w:p w:rsidR="00931924" w:rsidRDefault="00C96E03">
      <w:pPr>
        <w:pStyle w:val="Titrearticle"/>
        <w:rPr>
          <w:noProof/>
        </w:rPr>
      </w:pPr>
      <w:r>
        <w:rPr>
          <w:noProof/>
        </w:rPr>
        <w:t>Article premier</w:t>
      </w:r>
    </w:p>
    <w:p w:rsidR="00931924" w:rsidRDefault="00C96E03">
      <w:pPr>
        <w:jc w:val="center"/>
        <w:rPr>
          <w:i/>
          <w:noProof/>
        </w:rPr>
      </w:pPr>
      <w:r>
        <w:rPr>
          <w:i/>
          <w:noProof/>
        </w:rPr>
        <w:t>Dispositions générales</w:t>
      </w:r>
    </w:p>
    <w:p w:rsidR="00931924" w:rsidRDefault="00C96E03">
      <w:pPr>
        <w:pStyle w:val="ManualNumPar1"/>
        <w:rPr>
          <w:noProof/>
        </w:rPr>
      </w:pPr>
      <w:r>
        <w:rPr>
          <w:noProof/>
        </w:rPr>
        <w:t>1.</w:t>
      </w:r>
      <w:r>
        <w:rPr>
          <w:noProof/>
        </w:rPr>
        <w:tab/>
      </w:r>
      <w:r>
        <w:rPr>
          <w:noProof/>
        </w:rPr>
        <w:t>Le sous-comité du commerce et du développement durable, institué conformément à l’article 240 de l’accord d’association entre l’Union européenne et la Communauté européenne de l’énergie atomique et leurs États membres, d’une part, et la Géorgie, d’autre pa</w:t>
      </w:r>
      <w:r>
        <w:rPr>
          <w:noProof/>
        </w:rPr>
        <w:t xml:space="preserve">rt (ci-après l’«accord»), assiste le comité d’association dans sa configuration «Commerce», tel que prévu à l’article 408, paragraphe 4, de l’accord, dans l’accomplissement de ses tâches. </w:t>
      </w:r>
    </w:p>
    <w:p w:rsidR="00931924" w:rsidRDefault="00C96E03">
      <w:pPr>
        <w:pStyle w:val="ManualNumPar1"/>
        <w:rPr>
          <w:noProof/>
        </w:rPr>
      </w:pPr>
      <w:r>
        <w:rPr>
          <w:noProof/>
        </w:rPr>
        <w:t>2.</w:t>
      </w:r>
      <w:r>
        <w:rPr>
          <w:noProof/>
        </w:rPr>
        <w:tab/>
        <w:t>Le sous-comité du commerce et du développement durable s’acquitt</w:t>
      </w:r>
      <w:r>
        <w:rPr>
          <w:noProof/>
        </w:rPr>
        <w:t xml:space="preserve">e des fonctions énoncées au chapitre 13 (Commerce et développement durable) du titre IV (Commerce et questions liées au commerce) de l’accord. </w:t>
      </w:r>
    </w:p>
    <w:p w:rsidR="00931924" w:rsidRDefault="00C96E03">
      <w:pPr>
        <w:pStyle w:val="ManualNumPar1"/>
        <w:rPr>
          <w:noProof/>
        </w:rPr>
      </w:pPr>
      <w:r>
        <w:rPr>
          <w:noProof/>
        </w:rPr>
        <w:t>3.</w:t>
      </w:r>
      <w:r>
        <w:rPr>
          <w:noProof/>
        </w:rPr>
        <w:tab/>
        <w:t>Le sous-comité du commerce et du développement durable est composé de représentants de la Commission européen</w:t>
      </w:r>
      <w:r>
        <w:rPr>
          <w:noProof/>
        </w:rPr>
        <w:t>ne et de la Géorgie dotés de responsabilités dans le domaine du commerce et du développement durable.</w:t>
      </w:r>
    </w:p>
    <w:p w:rsidR="00931924" w:rsidRDefault="00C96E03">
      <w:pPr>
        <w:pStyle w:val="ManualNumPar1"/>
        <w:rPr>
          <w:noProof/>
        </w:rPr>
      </w:pPr>
      <w:r>
        <w:rPr>
          <w:noProof/>
        </w:rPr>
        <w:t>4.</w:t>
      </w:r>
      <w:r>
        <w:rPr>
          <w:noProof/>
        </w:rPr>
        <w:tab/>
        <w:t xml:space="preserve">Un représentant de la Commission européenne ou de la Géorgie doté de responsabilités dans le domaine du commerce et du développement durable assure la </w:t>
      </w:r>
      <w:r>
        <w:rPr>
          <w:noProof/>
        </w:rPr>
        <w:t>présidence du sous-comité du commerce et du développement durable, conformément à l’article 2.</w:t>
      </w:r>
    </w:p>
    <w:p w:rsidR="00931924" w:rsidRDefault="00C96E03">
      <w:pPr>
        <w:pStyle w:val="ManualNumPar1"/>
        <w:rPr>
          <w:noProof/>
        </w:rPr>
      </w:pPr>
      <w:r>
        <w:rPr>
          <w:noProof/>
        </w:rPr>
        <w:t>5.</w:t>
      </w:r>
      <w:r>
        <w:rPr>
          <w:noProof/>
        </w:rPr>
        <w:tab/>
        <w:t>Les «parties» au présent règlement intérieur sont définies selon les dispositions de l’article 428 de l’accord.</w:t>
      </w:r>
    </w:p>
    <w:p w:rsidR="00931924" w:rsidRDefault="00C96E03">
      <w:pPr>
        <w:pStyle w:val="Titrearticle"/>
        <w:rPr>
          <w:rFonts w:eastAsia="Times New Roman"/>
          <w:i w:val="0"/>
          <w:noProof/>
          <w:szCs w:val="24"/>
        </w:rPr>
      </w:pPr>
      <w:r>
        <w:rPr>
          <w:noProof/>
        </w:rPr>
        <w:t>Article 2</w:t>
      </w:r>
    </w:p>
    <w:p w:rsidR="00931924" w:rsidRDefault="00C96E03">
      <w:pPr>
        <w:jc w:val="center"/>
        <w:rPr>
          <w:rFonts w:eastAsia="Times New Roman"/>
          <w:i/>
          <w:noProof/>
          <w:szCs w:val="24"/>
        </w:rPr>
      </w:pPr>
      <w:r>
        <w:rPr>
          <w:i/>
          <w:noProof/>
        </w:rPr>
        <w:t>Dispositions particulières</w:t>
      </w:r>
    </w:p>
    <w:p w:rsidR="00931924" w:rsidRDefault="00C96E03">
      <w:pPr>
        <w:pStyle w:val="ManualNumPar1"/>
        <w:rPr>
          <w:noProof/>
        </w:rPr>
      </w:pPr>
      <w:r>
        <w:rPr>
          <w:noProof/>
        </w:rPr>
        <w:t>1.</w:t>
      </w:r>
      <w:r>
        <w:rPr>
          <w:noProof/>
        </w:rPr>
        <w:tab/>
        <w:t>Les ar</w:t>
      </w:r>
      <w:r>
        <w:rPr>
          <w:noProof/>
        </w:rPr>
        <w:t xml:space="preserve">ticles 2 à 14 du règlement intérieur du comité d’association UE-Géorgie s’appliquent, sauf dispositions contraires prévues au présent règlement intérieur. </w:t>
      </w:r>
    </w:p>
    <w:p w:rsidR="00931924" w:rsidRDefault="00C96E03">
      <w:pPr>
        <w:pStyle w:val="ManualNumPar1"/>
        <w:rPr>
          <w:noProof/>
        </w:rPr>
      </w:pPr>
      <w:r>
        <w:rPr>
          <w:noProof/>
        </w:rPr>
        <w:t>2.</w:t>
      </w:r>
      <w:r>
        <w:rPr>
          <w:noProof/>
        </w:rPr>
        <w:tab/>
        <w:t>Les références au conseil d’association doivent être lues comme des références au comité d’associ</w:t>
      </w:r>
      <w:r>
        <w:rPr>
          <w:noProof/>
        </w:rPr>
        <w:t>ation dans sa configuration «Commerce». Les références au comité d’association ou au comité d’association dans sa configuration «Commerce» s’entendent comme des références au sous-comité du commerce et du développement durable.</w:t>
      </w:r>
    </w:p>
    <w:p w:rsidR="00931924" w:rsidRDefault="00C96E03">
      <w:pPr>
        <w:pStyle w:val="Titrearticle"/>
        <w:rPr>
          <w:rFonts w:eastAsia="Times New Roman"/>
          <w:i w:val="0"/>
          <w:noProof/>
          <w:szCs w:val="24"/>
        </w:rPr>
      </w:pPr>
      <w:r>
        <w:rPr>
          <w:noProof/>
        </w:rPr>
        <w:t>Article 3</w:t>
      </w:r>
    </w:p>
    <w:p w:rsidR="00931924" w:rsidRDefault="00C96E03">
      <w:pPr>
        <w:jc w:val="center"/>
        <w:rPr>
          <w:rFonts w:eastAsia="Times New Roman"/>
          <w:i/>
          <w:noProof/>
          <w:szCs w:val="24"/>
        </w:rPr>
      </w:pPr>
      <w:r>
        <w:rPr>
          <w:i/>
          <w:noProof/>
        </w:rPr>
        <w:t>Réunions</w:t>
      </w:r>
    </w:p>
    <w:p w:rsidR="00931924" w:rsidRDefault="00C96E03">
      <w:pPr>
        <w:rPr>
          <w:noProof/>
        </w:rPr>
      </w:pPr>
      <w:r>
        <w:rPr>
          <w:noProof/>
        </w:rPr>
        <w:t xml:space="preserve">Le </w:t>
      </w:r>
      <w:r>
        <w:rPr>
          <w:noProof/>
        </w:rPr>
        <w:t>sous-comité du commerce et du développement durable se réunit selon les besoins. Les parties s’efforcent de se réunir une fois par an.</w:t>
      </w:r>
    </w:p>
    <w:p w:rsidR="00931924" w:rsidRDefault="00C96E03">
      <w:pPr>
        <w:pStyle w:val="Titrearticle"/>
        <w:rPr>
          <w:rFonts w:eastAsia="Times New Roman"/>
          <w:i w:val="0"/>
          <w:noProof/>
          <w:szCs w:val="24"/>
        </w:rPr>
      </w:pPr>
      <w:r>
        <w:rPr>
          <w:noProof/>
        </w:rPr>
        <w:t>Article 4</w:t>
      </w:r>
    </w:p>
    <w:p w:rsidR="00931924" w:rsidRDefault="00C96E03">
      <w:pPr>
        <w:jc w:val="center"/>
        <w:rPr>
          <w:rFonts w:eastAsia="Times New Roman"/>
          <w:i/>
          <w:noProof/>
          <w:szCs w:val="24"/>
        </w:rPr>
      </w:pPr>
      <w:r>
        <w:rPr>
          <w:i/>
          <w:noProof/>
        </w:rPr>
        <w:t>Modification du règlement intérieur</w:t>
      </w:r>
    </w:p>
    <w:p w:rsidR="00931924" w:rsidRDefault="00C96E03">
      <w:pPr>
        <w:rPr>
          <w:noProof/>
          <w:szCs w:val="24"/>
        </w:rPr>
      </w:pPr>
      <w:r>
        <w:rPr>
          <w:noProof/>
        </w:rPr>
        <w:lastRenderedPageBreak/>
        <w:t>Le présent règlement intérieur peut être modifié par une décision du sous-c</w:t>
      </w:r>
      <w:r>
        <w:rPr>
          <w:noProof/>
        </w:rPr>
        <w:t>omité du commerce et du développement durable UE-Géorgie, conformément à l’article 240 de l’accord.</w:t>
      </w:r>
    </w:p>
    <w:p w:rsidR="00931924" w:rsidRDefault="00931924">
      <w:pPr>
        <w:keepNext/>
        <w:spacing w:before="360" w:line="360" w:lineRule="auto"/>
        <w:jc w:val="center"/>
        <w:rPr>
          <w:b/>
          <w:noProof/>
        </w:rPr>
        <w:sectPr w:rsidR="00931924">
          <w:pgSz w:w="11907" w:h="16839"/>
          <w:pgMar w:top="1134" w:right="1418" w:bottom="1134" w:left="1418" w:header="720" w:footer="720" w:gutter="0"/>
          <w:cols w:space="720"/>
          <w:docGrid w:linePitch="326"/>
        </w:sectPr>
      </w:pPr>
    </w:p>
    <w:p w:rsidR="00931924" w:rsidRDefault="00C96E03">
      <w:pPr>
        <w:keepNext/>
        <w:spacing w:before="360" w:line="360" w:lineRule="auto"/>
        <w:jc w:val="center"/>
        <w:rPr>
          <w:b/>
          <w:noProof/>
        </w:rPr>
      </w:pPr>
      <w:r>
        <w:rPr>
          <w:b/>
          <w:noProof/>
        </w:rPr>
        <w:lastRenderedPageBreak/>
        <w:t>PROJET DE</w:t>
      </w:r>
    </w:p>
    <w:p w:rsidR="00931924" w:rsidRDefault="00C96E03">
      <w:pPr>
        <w:jc w:val="center"/>
        <w:rPr>
          <w:b/>
          <w:caps/>
          <w:noProof/>
        </w:rPr>
      </w:pPr>
      <w:r>
        <w:rPr>
          <w:b/>
          <w:noProof/>
        </w:rPr>
        <w:t xml:space="preserve">DÉCISION Nº 2/2015 DU </w:t>
      </w:r>
      <w:r>
        <w:rPr>
          <w:b/>
          <w:caps/>
          <w:noProof/>
        </w:rPr>
        <w:t>SOUS-COMITÉ DU COMMERCE ET DU DÉVELOPPEMENT DURABLE</w:t>
      </w:r>
      <w:r>
        <w:rPr>
          <w:b/>
          <w:noProof/>
        </w:rPr>
        <w:t xml:space="preserve"> UE-GÉORGIE</w:t>
      </w:r>
    </w:p>
    <w:p w:rsidR="00931924" w:rsidRDefault="00C96E03">
      <w:pPr>
        <w:jc w:val="center"/>
        <w:rPr>
          <w:b/>
          <w:noProof/>
        </w:rPr>
      </w:pPr>
      <w:r>
        <w:rPr>
          <w:b/>
          <w:noProof/>
        </w:rPr>
        <w:t>du … 2015</w:t>
      </w:r>
    </w:p>
    <w:p w:rsidR="00931924" w:rsidRDefault="00C96E03">
      <w:pPr>
        <w:spacing w:after="360"/>
        <w:jc w:val="center"/>
        <w:rPr>
          <w:b/>
          <w:noProof/>
        </w:rPr>
      </w:pPr>
      <w:r>
        <w:rPr>
          <w:b/>
          <w:noProof/>
        </w:rPr>
        <w:t>portant adoption de la liste des ex</w:t>
      </w:r>
      <w:r>
        <w:rPr>
          <w:b/>
          <w:noProof/>
        </w:rPr>
        <w:t>perts en matière de commerce et de développement durable</w:t>
      </w:r>
    </w:p>
    <w:p w:rsidR="00931924" w:rsidRDefault="00C96E03">
      <w:pPr>
        <w:rPr>
          <w:rFonts w:eastAsia="Times New Roman"/>
          <w:noProof/>
          <w:szCs w:val="24"/>
        </w:rPr>
      </w:pPr>
      <w:r>
        <w:rPr>
          <w:noProof/>
        </w:rPr>
        <w:t xml:space="preserve">LE SOUS-COMITÉ DU COMMERCE ET DU DÉVELOPPEMENT DURABLE UE-GÉORGIE, </w:t>
      </w:r>
    </w:p>
    <w:p w:rsidR="00931924" w:rsidRDefault="00C96E03">
      <w:pPr>
        <w:rPr>
          <w:rFonts w:eastAsia="Times New Roman"/>
          <w:noProof/>
          <w:szCs w:val="24"/>
        </w:rPr>
      </w:pPr>
      <w:r>
        <w:rPr>
          <w:noProof/>
        </w:rPr>
        <w:t xml:space="preserve">vu l’accord d’association entre l’Union européenne et la Communauté européenne de l’énergie atomique et leurs États membres, d’une </w:t>
      </w:r>
      <w:r>
        <w:rPr>
          <w:noProof/>
        </w:rPr>
        <w:t>part, et la Géorgie, d’autre part (ci-après l’«accord»), et notamment son article 243,</w:t>
      </w:r>
    </w:p>
    <w:p w:rsidR="00931924" w:rsidRDefault="00C96E03">
      <w:pPr>
        <w:rPr>
          <w:rFonts w:eastAsia="Times New Roman"/>
          <w:noProof/>
          <w:szCs w:val="24"/>
        </w:rPr>
      </w:pPr>
      <w:r>
        <w:rPr>
          <w:noProof/>
        </w:rPr>
        <w:t>considérant ce qui suit:</w:t>
      </w:r>
    </w:p>
    <w:p w:rsidR="00931924" w:rsidRDefault="00C96E03">
      <w:pPr>
        <w:pStyle w:val="ManualConsidrant"/>
        <w:rPr>
          <w:noProof/>
          <w:color w:val="000000"/>
        </w:rPr>
      </w:pPr>
      <w:r>
        <w:rPr>
          <w:noProof/>
        </w:rPr>
        <w:t>(1)</w:t>
      </w:r>
      <w:r>
        <w:rPr>
          <w:noProof/>
        </w:rPr>
        <w:tab/>
        <w:t>Conformément à l’article 431 de l’accord, certaines parties de ce dernier sont appliquées à titre provisoire depuis le 1</w:t>
      </w:r>
      <w:r>
        <w:rPr>
          <w:noProof/>
          <w:vertAlign w:val="superscript"/>
        </w:rPr>
        <w:t>er</w:t>
      </w:r>
      <w:r>
        <w:rPr>
          <w:noProof/>
        </w:rPr>
        <w:t xml:space="preserve"> septembre 2014. </w:t>
      </w:r>
    </w:p>
    <w:p w:rsidR="00931924" w:rsidRDefault="00C96E03">
      <w:pPr>
        <w:pStyle w:val="ManualConsidrant"/>
        <w:rPr>
          <w:noProof/>
          <w:color w:val="000000"/>
        </w:rPr>
      </w:pPr>
      <w:r>
        <w:rPr>
          <w:noProof/>
        </w:rPr>
        <w:t>(2)</w:t>
      </w:r>
      <w:r>
        <w:rPr>
          <w:noProof/>
        </w:rPr>
        <w:tab/>
        <w:t>L’article 243, paragraphe 3, de l’accord dispose que le sous-comité du commerce et du développement durable doit établir une liste d’au moins quinze personnes disposées et aptes à exercer les fonctions d’expert dans le cadre des procédures du groupe d’</w:t>
      </w:r>
      <w:r>
        <w:rPr>
          <w:noProof/>
        </w:rPr>
        <w:t xml:space="preserve">experts, </w:t>
      </w:r>
    </w:p>
    <w:p w:rsidR="00931924" w:rsidRDefault="00C96E03">
      <w:pPr>
        <w:rPr>
          <w:rFonts w:eastAsia="Times New Roman"/>
          <w:noProof/>
          <w:szCs w:val="24"/>
        </w:rPr>
      </w:pPr>
      <w:r>
        <w:rPr>
          <w:noProof/>
        </w:rPr>
        <w:t xml:space="preserve">DÉCIDE: </w:t>
      </w:r>
    </w:p>
    <w:p w:rsidR="00931924" w:rsidRDefault="00C96E03">
      <w:pPr>
        <w:pStyle w:val="Titrearticle"/>
        <w:rPr>
          <w:noProof/>
        </w:rPr>
      </w:pPr>
      <w:r>
        <w:rPr>
          <w:noProof/>
        </w:rPr>
        <w:t>Article premier</w:t>
      </w:r>
    </w:p>
    <w:p w:rsidR="00931924" w:rsidRDefault="00C96E03">
      <w:pPr>
        <w:rPr>
          <w:rFonts w:eastAsia="Times New Roman"/>
          <w:noProof/>
          <w:szCs w:val="24"/>
        </w:rPr>
      </w:pPr>
      <w:r>
        <w:rPr>
          <w:noProof/>
        </w:rPr>
        <w:t>La liste des personnes disposées et aptes à exercer les fonctions d’expert dans le cadre des procédures du groupe d’experts aux fins de l’article 243 de l’accord figure à l’appendice de la présente décision.</w:t>
      </w:r>
    </w:p>
    <w:p w:rsidR="00931924" w:rsidRDefault="00C96E03">
      <w:pPr>
        <w:pStyle w:val="Titrearticle"/>
        <w:rPr>
          <w:rFonts w:eastAsia="Times New Roman"/>
          <w:i w:val="0"/>
          <w:noProof/>
          <w:szCs w:val="24"/>
        </w:rPr>
      </w:pPr>
      <w:r>
        <w:rPr>
          <w:noProof/>
        </w:rPr>
        <w:t xml:space="preserve">Article </w:t>
      </w:r>
      <w:r>
        <w:rPr>
          <w:i w:val="0"/>
          <w:noProof/>
        </w:rPr>
        <w:t>2</w:t>
      </w:r>
    </w:p>
    <w:p w:rsidR="00931924" w:rsidRDefault="00C96E03">
      <w:pPr>
        <w:rPr>
          <w:rFonts w:eastAsia="Times New Roman"/>
          <w:noProof/>
          <w:szCs w:val="24"/>
        </w:rPr>
      </w:pPr>
      <w:r>
        <w:rPr>
          <w:noProof/>
        </w:rPr>
        <w:t xml:space="preserve">La </w:t>
      </w:r>
      <w:r>
        <w:rPr>
          <w:noProof/>
        </w:rPr>
        <w:t>présente décision entre en vigueur le jour de son adoption.</w:t>
      </w:r>
    </w:p>
    <w:p w:rsidR="00931924" w:rsidRDefault="00C96E03">
      <w:pPr>
        <w:rPr>
          <w:rFonts w:eastAsia="Times New Roman"/>
          <w:noProof/>
          <w:szCs w:val="24"/>
        </w:rPr>
      </w:pPr>
      <w:r>
        <w:rPr>
          <w:noProof/>
        </w:rPr>
        <w:t xml:space="preserve">Fait à …, le …. </w:t>
      </w:r>
    </w:p>
    <w:tbl>
      <w:tblPr>
        <w:tblW w:w="0" w:type="auto"/>
        <w:tblLook w:val="04A0" w:firstRow="1" w:lastRow="0" w:firstColumn="1" w:lastColumn="0" w:noHBand="0" w:noVBand="1"/>
      </w:tblPr>
      <w:tblGrid>
        <w:gridCol w:w="4643"/>
        <w:gridCol w:w="4644"/>
      </w:tblGrid>
      <w:tr w:rsidR="00931924">
        <w:tc>
          <w:tcPr>
            <w:tcW w:w="4643" w:type="dxa"/>
            <w:shd w:val="clear" w:color="auto" w:fill="auto"/>
          </w:tcPr>
          <w:p w:rsidR="00931924" w:rsidRDefault="00931924">
            <w:pPr>
              <w:ind w:left="2160" w:firstLine="720"/>
              <w:jc w:val="center"/>
              <w:rPr>
                <w:rFonts w:eastAsia="Times New Roman"/>
                <w:noProof/>
                <w:szCs w:val="24"/>
              </w:rPr>
            </w:pPr>
          </w:p>
        </w:tc>
        <w:tc>
          <w:tcPr>
            <w:tcW w:w="4644" w:type="dxa"/>
            <w:shd w:val="clear" w:color="auto" w:fill="auto"/>
          </w:tcPr>
          <w:p w:rsidR="00931924" w:rsidRDefault="00C96E03">
            <w:pPr>
              <w:rPr>
                <w:i/>
                <w:noProof/>
              </w:rPr>
            </w:pPr>
            <w:r>
              <w:rPr>
                <w:i/>
                <w:noProof/>
              </w:rPr>
              <w:t>Par le sous-comité du commerce et du développement durable</w:t>
            </w:r>
          </w:p>
        </w:tc>
      </w:tr>
      <w:tr w:rsidR="00931924">
        <w:tc>
          <w:tcPr>
            <w:tcW w:w="4643" w:type="dxa"/>
            <w:shd w:val="clear" w:color="auto" w:fill="auto"/>
          </w:tcPr>
          <w:p w:rsidR="00931924" w:rsidRDefault="00931924">
            <w:pPr>
              <w:rPr>
                <w:rFonts w:eastAsia="Times New Roman"/>
                <w:noProof/>
                <w:szCs w:val="24"/>
              </w:rPr>
            </w:pPr>
          </w:p>
        </w:tc>
        <w:tc>
          <w:tcPr>
            <w:tcW w:w="4644" w:type="dxa"/>
            <w:shd w:val="clear" w:color="auto" w:fill="auto"/>
          </w:tcPr>
          <w:p w:rsidR="00931924" w:rsidRDefault="00C96E03">
            <w:pPr>
              <w:rPr>
                <w:rFonts w:eastAsia="Times New Roman"/>
                <w:i/>
                <w:noProof/>
                <w:szCs w:val="24"/>
              </w:rPr>
            </w:pPr>
            <w:r>
              <w:rPr>
                <w:i/>
                <w:noProof/>
              </w:rPr>
              <w:t>Le président</w:t>
            </w:r>
          </w:p>
        </w:tc>
      </w:tr>
    </w:tbl>
    <w:p w:rsidR="00931924" w:rsidRDefault="00931924">
      <w:pPr>
        <w:jc w:val="right"/>
        <w:rPr>
          <w:noProof/>
        </w:rPr>
        <w:sectPr w:rsidR="00931924">
          <w:pgSz w:w="11907" w:h="16839"/>
          <w:pgMar w:top="1134" w:right="1418" w:bottom="1134" w:left="1418" w:header="720" w:footer="720" w:gutter="0"/>
          <w:cols w:space="720"/>
          <w:docGrid w:linePitch="326"/>
        </w:sectPr>
      </w:pPr>
    </w:p>
    <w:p w:rsidR="00931924" w:rsidRDefault="00C96E03">
      <w:pPr>
        <w:jc w:val="right"/>
        <w:rPr>
          <w:b/>
          <w:noProof/>
          <w:u w:val="single"/>
        </w:rPr>
      </w:pPr>
      <w:r>
        <w:rPr>
          <w:b/>
          <w:noProof/>
          <w:u w:val="single"/>
        </w:rPr>
        <w:lastRenderedPageBreak/>
        <w:t>Appendice</w:t>
      </w:r>
    </w:p>
    <w:p w:rsidR="00931924" w:rsidRDefault="00C96E03">
      <w:pPr>
        <w:spacing w:after="360"/>
        <w:jc w:val="center"/>
        <w:rPr>
          <w:b/>
          <w:noProof/>
        </w:rPr>
      </w:pPr>
      <w:r>
        <w:rPr>
          <w:b/>
          <w:noProof/>
        </w:rPr>
        <w:t xml:space="preserve">LISTE DES EXPERTS EN MATIÈRE DE COMMERCE ET DE DÉVELOPPEMENT DURABLE </w:t>
      </w:r>
    </w:p>
    <w:p w:rsidR="00931924" w:rsidRDefault="00C96E03">
      <w:pPr>
        <w:rPr>
          <w:b/>
          <w:noProof/>
        </w:rPr>
      </w:pPr>
      <w:r>
        <w:rPr>
          <w:b/>
          <w:noProof/>
        </w:rPr>
        <w:t xml:space="preserve">Experts proposés par la Géorgie </w:t>
      </w:r>
    </w:p>
    <w:p w:rsidR="00931924" w:rsidRDefault="00C96E03">
      <w:pPr>
        <w:rPr>
          <w:bCs/>
          <w:noProof/>
        </w:rPr>
      </w:pPr>
      <w:r>
        <w:rPr>
          <w:noProof/>
        </w:rPr>
        <w:t>1.</w:t>
      </w:r>
      <w:r>
        <w:rPr>
          <w:noProof/>
        </w:rPr>
        <w:tab/>
        <w:t>Nata Sturua</w:t>
      </w:r>
    </w:p>
    <w:p w:rsidR="00931924" w:rsidRDefault="00C96E03">
      <w:pPr>
        <w:rPr>
          <w:bCs/>
          <w:noProof/>
        </w:rPr>
      </w:pPr>
      <w:r>
        <w:rPr>
          <w:noProof/>
        </w:rPr>
        <w:t>2.</w:t>
      </w:r>
      <w:r>
        <w:rPr>
          <w:noProof/>
        </w:rPr>
        <w:tab/>
        <w:t>David Kikodze</w:t>
      </w:r>
    </w:p>
    <w:p w:rsidR="00931924" w:rsidRDefault="00C96E03">
      <w:pPr>
        <w:rPr>
          <w:bCs/>
          <w:noProof/>
        </w:rPr>
      </w:pPr>
      <w:r>
        <w:rPr>
          <w:noProof/>
        </w:rPr>
        <w:t>3.</w:t>
      </w:r>
      <w:r>
        <w:rPr>
          <w:noProof/>
        </w:rPr>
        <w:tab/>
        <w:t>Marina Shvangiradze</w:t>
      </w:r>
    </w:p>
    <w:p w:rsidR="00931924" w:rsidRDefault="00C96E03">
      <w:pPr>
        <w:rPr>
          <w:bCs/>
          <w:noProof/>
        </w:rPr>
      </w:pPr>
      <w:r>
        <w:rPr>
          <w:noProof/>
        </w:rPr>
        <w:t>4.</w:t>
      </w:r>
      <w:r>
        <w:rPr>
          <w:noProof/>
        </w:rPr>
        <w:tab/>
        <w:t>Ilia Osepashvili</w:t>
      </w:r>
    </w:p>
    <w:p w:rsidR="00931924" w:rsidRDefault="00C96E03">
      <w:pPr>
        <w:rPr>
          <w:bCs/>
          <w:noProof/>
        </w:rPr>
      </w:pPr>
      <w:r>
        <w:rPr>
          <w:noProof/>
        </w:rPr>
        <w:t>5.</w:t>
      </w:r>
      <w:r>
        <w:rPr>
          <w:noProof/>
        </w:rPr>
        <w:tab/>
        <w:t>Roin Migriauli</w:t>
      </w:r>
    </w:p>
    <w:p w:rsidR="00931924" w:rsidRDefault="00C96E03">
      <w:pPr>
        <w:rPr>
          <w:b/>
          <w:bCs/>
          <w:noProof/>
        </w:rPr>
      </w:pPr>
      <w:r>
        <w:rPr>
          <w:b/>
          <w:noProof/>
        </w:rPr>
        <w:t xml:space="preserve">Experts proposés par l’Union européenne </w:t>
      </w:r>
    </w:p>
    <w:p w:rsidR="00931924" w:rsidRDefault="00C96E03">
      <w:pPr>
        <w:rPr>
          <w:noProof/>
        </w:rPr>
      </w:pPr>
      <w:r>
        <w:rPr>
          <w:noProof/>
        </w:rPr>
        <w:t>1.</w:t>
      </w:r>
      <w:r>
        <w:rPr>
          <w:noProof/>
        </w:rPr>
        <w:tab/>
        <w:t>Eddy Laurijssen</w:t>
      </w:r>
    </w:p>
    <w:p w:rsidR="00931924" w:rsidRDefault="00C96E03">
      <w:pPr>
        <w:rPr>
          <w:noProof/>
        </w:rPr>
      </w:pPr>
      <w:r>
        <w:rPr>
          <w:noProof/>
        </w:rPr>
        <w:t>2.</w:t>
      </w:r>
      <w:r>
        <w:rPr>
          <w:noProof/>
        </w:rPr>
        <w:tab/>
        <w:t xml:space="preserve">Jorge Cardona </w:t>
      </w:r>
    </w:p>
    <w:p w:rsidR="00931924" w:rsidRDefault="00C96E03">
      <w:pPr>
        <w:rPr>
          <w:noProof/>
        </w:rPr>
      </w:pPr>
      <w:r>
        <w:rPr>
          <w:noProof/>
        </w:rPr>
        <w:t>3.</w:t>
      </w:r>
      <w:r>
        <w:rPr>
          <w:noProof/>
        </w:rPr>
        <w:tab/>
        <w:t xml:space="preserve">Karin Lukas </w:t>
      </w:r>
    </w:p>
    <w:p w:rsidR="00931924" w:rsidRDefault="00C96E03">
      <w:pPr>
        <w:rPr>
          <w:noProof/>
        </w:rPr>
      </w:pPr>
      <w:r>
        <w:rPr>
          <w:noProof/>
        </w:rPr>
        <w:t>4.</w:t>
      </w:r>
      <w:r>
        <w:rPr>
          <w:noProof/>
        </w:rPr>
        <w:tab/>
        <w:t xml:space="preserve">Hélène Ruiz Fabri </w:t>
      </w:r>
    </w:p>
    <w:p w:rsidR="00931924" w:rsidRDefault="00C96E03">
      <w:pPr>
        <w:rPr>
          <w:noProof/>
        </w:rPr>
      </w:pPr>
      <w:r>
        <w:rPr>
          <w:noProof/>
        </w:rPr>
        <w:t>5.</w:t>
      </w:r>
      <w:r>
        <w:rPr>
          <w:noProof/>
        </w:rPr>
        <w:tab/>
      </w:r>
      <w:r>
        <w:rPr>
          <w:noProof/>
        </w:rPr>
        <w:t xml:space="preserve">Laurence Boisson De Chazournes </w:t>
      </w:r>
    </w:p>
    <w:p w:rsidR="00931924" w:rsidRDefault="00C96E03">
      <w:pPr>
        <w:rPr>
          <w:noProof/>
        </w:rPr>
      </w:pPr>
      <w:r>
        <w:rPr>
          <w:noProof/>
        </w:rPr>
        <w:t>6.</w:t>
      </w:r>
      <w:r>
        <w:rPr>
          <w:noProof/>
        </w:rPr>
        <w:tab/>
        <w:t xml:space="preserve">Geert Van Calster </w:t>
      </w:r>
    </w:p>
    <w:p w:rsidR="00931924" w:rsidRDefault="00C96E03">
      <w:pPr>
        <w:rPr>
          <w:b/>
          <w:bCs/>
          <w:noProof/>
        </w:rPr>
      </w:pPr>
      <w:r>
        <w:rPr>
          <w:b/>
          <w:noProof/>
        </w:rPr>
        <w:t xml:space="preserve">Présidents </w:t>
      </w:r>
    </w:p>
    <w:p w:rsidR="00931924" w:rsidRDefault="00C96E03">
      <w:pPr>
        <w:rPr>
          <w:bCs/>
          <w:noProof/>
        </w:rPr>
      </w:pPr>
      <w:r>
        <w:rPr>
          <w:noProof/>
        </w:rPr>
        <w:t>1.</w:t>
      </w:r>
      <w:r>
        <w:rPr>
          <w:noProof/>
        </w:rPr>
        <w:tab/>
        <w:t>Jill Murray (Australie)</w:t>
      </w:r>
    </w:p>
    <w:p w:rsidR="00931924" w:rsidRDefault="00C96E03">
      <w:pPr>
        <w:rPr>
          <w:bCs/>
          <w:noProof/>
        </w:rPr>
      </w:pPr>
      <w:r>
        <w:rPr>
          <w:noProof/>
        </w:rPr>
        <w:t>2.</w:t>
      </w:r>
      <w:r>
        <w:rPr>
          <w:noProof/>
        </w:rPr>
        <w:tab/>
        <w:t>Janice Bellace (États-Unis)</w:t>
      </w:r>
    </w:p>
    <w:p w:rsidR="00931924" w:rsidRDefault="00C96E03">
      <w:pPr>
        <w:rPr>
          <w:bCs/>
          <w:noProof/>
        </w:rPr>
      </w:pPr>
      <w:r>
        <w:rPr>
          <w:noProof/>
        </w:rPr>
        <w:t>3.</w:t>
      </w:r>
      <w:r>
        <w:rPr>
          <w:noProof/>
        </w:rPr>
        <w:tab/>
        <w:t>Ross Wilson (Nouvelle-Zélande)</w:t>
      </w:r>
    </w:p>
    <w:p w:rsidR="00931924" w:rsidRDefault="00C96E03">
      <w:pPr>
        <w:rPr>
          <w:bCs/>
          <w:noProof/>
        </w:rPr>
      </w:pPr>
      <w:r>
        <w:rPr>
          <w:noProof/>
        </w:rPr>
        <w:t>4.</w:t>
      </w:r>
      <w:r>
        <w:rPr>
          <w:noProof/>
        </w:rPr>
        <w:tab/>
        <w:t>Arthur Appleton (États-Unis)</w:t>
      </w:r>
    </w:p>
    <w:p w:rsidR="00931924" w:rsidRDefault="00C96E03">
      <w:pPr>
        <w:rPr>
          <w:noProof/>
        </w:rPr>
      </w:pPr>
      <w:r>
        <w:rPr>
          <w:noProof/>
        </w:rPr>
        <w:t>5.</w:t>
      </w:r>
      <w:r>
        <w:rPr>
          <w:noProof/>
        </w:rPr>
        <w:tab/>
        <w:t>Nathalie Bernasconi (Suisse)</w:t>
      </w:r>
    </w:p>
    <w:p w:rsidR="00931924" w:rsidRDefault="00C96E03">
      <w:pPr>
        <w:jc w:val="center"/>
        <w:rPr>
          <w:b/>
          <w:caps/>
          <w:noProof/>
        </w:rPr>
      </w:pPr>
      <w:r>
        <w:rPr>
          <w:noProof/>
        </w:rPr>
        <w:br w:type="page"/>
      </w:r>
      <w:r>
        <w:rPr>
          <w:b/>
          <w:caps/>
          <w:noProof/>
        </w:rPr>
        <w:lastRenderedPageBreak/>
        <w:t xml:space="preserve">Projet de </w:t>
      </w:r>
    </w:p>
    <w:p w:rsidR="00931924" w:rsidRDefault="00C96E03">
      <w:pPr>
        <w:jc w:val="center"/>
        <w:rPr>
          <w:b/>
          <w:caps/>
          <w:noProof/>
        </w:rPr>
      </w:pPr>
      <w:r>
        <w:rPr>
          <w:b/>
          <w:caps/>
          <w:noProof/>
        </w:rPr>
        <w:t xml:space="preserve">dÉcision nº 3/2015 du </w:t>
      </w:r>
      <w:r>
        <w:rPr>
          <w:b/>
          <w:caps/>
          <w:noProof/>
        </w:rPr>
        <w:t>comitÉ d’association dans sa configuration «Commerce» UE-GÉorgie</w:t>
      </w:r>
    </w:p>
    <w:p w:rsidR="00931924" w:rsidRDefault="00C96E03">
      <w:pPr>
        <w:jc w:val="center"/>
        <w:rPr>
          <w:b/>
          <w:noProof/>
        </w:rPr>
      </w:pPr>
      <w:r>
        <w:rPr>
          <w:b/>
          <w:noProof/>
        </w:rPr>
        <w:t xml:space="preserve">du … 2015 </w:t>
      </w:r>
    </w:p>
    <w:p w:rsidR="00931924" w:rsidRDefault="00C96E03">
      <w:pPr>
        <w:spacing w:after="360"/>
        <w:jc w:val="center"/>
        <w:rPr>
          <w:b/>
          <w:noProof/>
          <w:szCs w:val="24"/>
        </w:rPr>
      </w:pPr>
      <w:r>
        <w:rPr>
          <w:b/>
          <w:noProof/>
        </w:rPr>
        <w:t>relative à l’établissement de la liste d’arbitres visée à l’article 268, paragraphe 1, de l’accord d’association entre l’Union européenne et la Communauté européenne de l’énergie a</w:t>
      </w:r>
      <w:r>
        <w:rPr>
          <w:b/>
          <w:noProof/>
        </w:rPr>
        <w:t>tomique et leurs États membres, d’une part, et la Géorgie, d’autre part</w:t>
      </w:r>
    </w:p>
    <w:p w:rsidR="00931924" w:rsidRDefault="00C96E03">
      <w:pPr>
        <w:spacing w:line="276" w:lineRule="auto"/>
        <w:rPr>
          <w:noProof/>
        </w:rPr>
      </w:pPr>
      <w:r>
        <w:rPr>
          <w:noProof/>
        </w:rPr>
        <w:t>LE COMITÉ D’ASSOCIATION</w:t>
      </w:r>
      <w:r>
        <w:rPr>
          <w:caps/>
          <w:noProof/>
        </w:rPr>
        <w:t xml:space="preserve"> </w:t>
      </w:r>
      <w:r>
        <w:rPr>
          <w:noProof/>
        </w:rPr>
        <w:t>DANS SA CONFIGURATION «COMMERCE»,</w:t>
      </w:r>
    </w:p>
    <w:p w:rsidR="00931924" w:rsidRDefault="00C96E03">
      <w:pPr>
        <w:rPr>
          <w:noProof/>
        </w:rPr>
      </w:pPr>
      <w:r>
        <w:rPr>
          <w:noProof/>
        </w:rPr>
        <w:t>vu l’</w:t>
      </w:r>
      <w:r>
        <w:rPr>
          <w:noProof/>
          <w:color w:val="000000"/>
        </w:rPr>
        <w:t>accord d’association entre l’Union européenne</w:t>
      </w:r>
      <w:r>
        <w:rPr>
          <w:noProof/>
        </w:rPr>
        <w:t xml:space="preserve"> et la Communauté européenne de l’énergie atomique et leurs États membres, d’une part, et la Géorgie, d’autre part (ci-après l’«accord»), qui a été signé à Bruxelles le 27 juin 2014, et notamment son article 268, paragraphe 1,</w:t>
      </w:r>
    </w:p>
    <w:p w:rsidR="00931924" w:rsidRDefault="00C96E03">
      <w:pPr>
        <w:rPr>
          <w:noProof/>
        </w:rPr>
      </w:pPr>
      <w:r>
        <w:rPr>
          <w:noProof/>
        </w:rPr>
        <w:t>considérant ce qui suit:</w:t>
      </w:r>
    </w:p>
    <w:p w:rsidR="00931924" w:rsidRDefault="00C96E03">
      <w:pPr>
        <w:pStyle w:val="ManualConsidrant"/>
        <w:rPr>
          <w:noProof/>
        </w:rPr>
      </w:pPr>
      <w:r>
        <w:rPr>
          <w:noProof/>
        </w:rPr>
        <w:t>(1)</w:t>
      </w:r>
      <w:r>
        <w:rPr>
          <w:noProof/>
        </w:rPr>
        <w:tab/>
      </w:r>
      <w:r>
        <w:rPr>
          <w:noProof/>
        </w:rPr>
        <w:t>Conformément à l’article 431 de l’accord, certaines parties de ce dernier sont appliquées à titre provisoire depuis le 1</w:t>
      </w:r>
      <w:r>
        <w:rPr>
          <w:noProof/>
          <w:vertAlign w:val="superscript"/>
        </w:rPr>
        <w:t>er</w:t>
      </w:r>
      <w:r>
        <w:rPr>
          <w:noProof/>
        </w:rPr>
        <w:t xml:space="preserve"> septembre 2014. </w:t>
      </w:r>
    </w:p>
    <w:p w:rsidR="00931924" w:rsidRDefault="00C96E03">
      <w:pPr>
        <w:pStyle w:val="ManualConsidrant"/>
        <w:rPr>
          <w:noProof/>
          <w:color w:val="000000"/>
        </w:rPr>
      </w:pPr>
      <w:r>
        <w:rPr>
          <w:noProof/>
        </w:rPr>
        <w:t>(2)</w:t>
      </w:r>
      <w:r>
        <w:rPr>
          <w:noProof/>
        </w:rPr>
        <w:tab/>
        <w:t>L’article 408, paragraphe 3, de l’accord dispose que le comité d’association est habilité à prendre des décision</w:t>
      </w:r>
      <w:r>
        <w:rPr>
          <w:noProof/>
        </w:rPr>
        <w:t>s dans les cas prévus par l’accord.</w:t>
      </w:r>
    </w:p>
    <w:p w:rsidR="00931924" w:rsidRDefault="00C96E03">
      <w:pPr>
        <w:pStyle w:val="ManualNumPar1"/>
        <w:rPr>
          <w:noProof/>
        </w:rPr>
      </w:pPr>
      <w:r>
        <w:rPr>
          <w:noProof/>
        </w:rPr>
        <w:t>(3)</w:t>
      </w:r>
      <w:r>
        <w:rPr>
          <w:noProof/>
        </w:rPr>
        <w:tab/>
        <w:t>L’article 268, paragraphe 1, de l’accord dispose que le comité d’association dans sa configuration «Commerce» établit une liste d’au moins quinze personnes physiques disposées et aptes à exercer les fonctions d’arbit</w:t>
      </w:r>
      <w:r>
        <w:rPr>
          <w:noProof/>
        </w:rPr>
        <w:t>re,</w:t>
      </w:r>
    </w:p>
    <w:p w:rsidR="00931924" w:rsidRDefault="00C96E03">
      <w:pPr>
        <w:pStyle w:val="ManualNumPar1"/>
        <w:rPr>
          <w:noProof/>
        </w:rPr>
      </w:pPr>
      <w:r>
        <w:rPr>
          <w:noProof/>
        </w:rPr>
        <w:t>A ADOPTÉ LA PRÉSENTE DÉCISION:</w:t>
      </w:r>
    </w:p>
    <w:p w:rsidR="00931924" w:rsidRDefault="00C96E03">
      <w:pPr>
        <w:pStyle w:val="Titrearticle"/>
        <w:rPr>
          <w:noProof/>
        </w:rPr>
      </w:pPr>
      <w:r>
        <w:rPr>
          <w:noProof/>
        </w:rPr>
        <w:t>Article unique</w:t>
      </w:r>
    </w:p>
    <w:p w:rsidR="00931924" w:rsidRDefault="00C96E03">
      <w:pPr>
        <w:pStyle w:val="ManualNumPar1"/>
        <w:rPr>
          <w:noProof/>
        </w:rPr>
      </w:pPr>
      <w:r>
        <w:rPr>
          <w:noProof/>
        </w:rPr>
        <w:t>1.</w:t>
      </w:r>
      <w:r>
        <w:rPr>
          <w:noProof/>
        </w:rPr>
        <w:tab/>
        <w:t>La liste des personnes qui peuvent exercer les fonctions d’arbitre aux fins de l’article 268, paragraphe 1, de l’accord figure à l’appendice de la présente décision.</w:t>
      </w:r>
    </w:p>
    <w:p w:rsidR="00931924" w:rsidRDefault="00C96E03">
      <w:pPr>
        <w:pStyle w:val="ManualNumPar1"/>
        <w:rPr>
          <w:noProof/>
        </w:rPr>
      </w:pPr>
      <w:r>
        <w:rPr>
          <w:noProof/>
        </w:rPr>
        <w:t>2.</w:t>
      </w:r>
      <w:r>
        <w:rPr>
          <w:noProof/>
        </w:rPr>
        <w:tab/>
        <w:t xml:space="preserve">La présente décision entre en </w:t>
      </w:r>
      <w:r>
        <w:rPr>
          <w:noProof/>
        </w:rPr>
        <w:t>vigueur le jour de son adoption.</w:t>
      </w:r>
    </w:p>
    <w:p w:rsidR="00931924" w:rsidRDefault="00C96E03">
      <w:pPr>
        <w:rPr>
          <w:noProof/>
        </w:rPr>
      </w:pPr>
      <w:r>
        <w:rPr>
          <w:noProof/>
        </w:rPr>
        <w:t>Fait à …, le …</w:t>
      </w:r>
    </w:p>
    <w:tbl>
      <w:tblPr>
        <w:tblW w:w="0" w:type="auto"/>
        <w:tblLook w:val="04A0" w:firstRow="1" w:lastRow="0" w:firstColumn="1" w:lastColumn="0" w:noHBand="0" w:noVBand="1"/>
      </w:tblPr>
      <w:tblGrid>
        <w:gridCol w:w="4643"/>
        <w:gridCol w:w="4644"/>
      </w:tblGrid>
      <w:tr w:rsidR="00931924">
        <w:tc>
          <w:tcPr>
            <w:tcW w:w="4643" w:type="dxa"/>
            <w:shd w:val="clear" w:color="auto" w:fill="auto"/>
          </w:tcPr>
          <w:p w:rsidR="00931924" w:rsidRDefault="00931924">
            <w:pPr>
              <w:ind w:left="2160" w:firstLine="720"/>
              <w:jc w:val="center"/>
              <w:rPr>
                <w:rFonts w:eastAsia="Times New Roman"/>
                <w:noProof/>
                <w:szCs w:val="24"/>
              </w:rPr>
            </w:pPr>
          </w:p>
        </w:tc>
        <w:tc>
          <w:tcPr>
            <w:tcW w:w="4644" w:type="dxa"/>
            <w:shd w:val="clear" w:color="auto" w:fill="auto"/>
          </w:tcPr>
          <w:p w:rsidR="00931924" w:rsidRDefault="00C96E03">
            <w:pPr>
              <w:rPr>
                <w:i/>
                <w:noProof/>
              </w:rPr>
            </w:pPr>
            <w:r>
              <w:rPr>
                <w:i/>
                <w:noProof/>
              </w:rPr>
              <w:t>Par le comité d’association dans sa configuration «Commerce»</w:t>
            </w:r>
          </w:p>
        </w:tc>
      </w:tr>
      <w:tr w:rsidR="00931924">
        <w:tc>
          <w:tcPr>
            <w:tcW w:w="4643" w:type="dxa"/>
            <w:shd w:val="clear" w:color="auto" w:fill="auto"/>
          </w:tcPr>
          <w:p w:rsidR="00931924" w:rsidRDefault="00931924">
            <w:pPr>
              <w:rPr>
                <w:rFonts w:eastAsia="Times New Roman"/>
                <w:noProof/>
                <w:szCs w:val="24"/>
              </w:rPr>
            </w:pPr>
          </w:p>
        </w:tc>
        <w:tc>
          <w:tcPr>
            <w:tcW w:w="4644" w:type="dxa"/>
            <w:shd w:val="clear" w:color="auto" w:fill="auto"/>
          </w:tcPr>
          <w:p w:rsidR="00931924" w:rsidRDefault="00C96E03">
            <w:pPr>
              <w:rPr>
                <w:rFonts w:eastAsia="Times New Roman"/>
                <w:i/>
                <w:noProof/>
                <w:szCs w:val="24"/>
              </w:rPr>
            </w:pPr>
            <w:r>
              <w:rPr>
                <w:i/>
                <w:noProof/>
              </w:rPr>
              <w:t>Le président</w:t>
            </w:r>
          </w:p>
        </w:tc>
      </w:tr>
    </w:tbl>
    <w:p w:rsidR="00931924" w:rsidRDefault="00931924">
      <w:pPr>
        <w:jc w:val="center"/>
        <w:rPr>
          <w:noProof/>
        </w:rPr>
        <w:sectPr w:rsidR="00931924">
          <w:pgSz w:w="11907" w:h="16839"/>
          <w:pgMar w:top="1134" w:right="1418" w:bottom="1134" w:left="1418" w:header="720" w:footer="720" w:gutter="0"/>
          <w:cols w:space="720"/>
          <w:docGrid w:linePitch="326"/>
        </w:sectPr>
      </w:pPr>
    </w:p>
    <w:p w:rsidR="00931924" w:rsidRDefault="00C96E03">
      <w:pPr>
        <w:jc w:val="right"/>
        <w:rPr>
          <w:b/>
          <w:noProof/>
          <w:u w:val="single"/>
        </w:rPr>
      </w:pPr>
      <w:r>
        <w:rPr>
          <w:b/>
          <w:noProof/>
          <w:u w:val="single"/>
        </w:rPr>
        <w:lastRenderedPageBreak/>
        <w:t>Appendice</w:t>
      </w:r>
    </w:p>
    <w:p w:rsidR="00931924" w:rsidRDefault="00C96E03">
      <w:pPr>
        <w:spacing w:after="360"/>
        <w:jc w:val="center"/>
        <w:rPr>
          <w:b/>
          <w:noProof/>
        </w:rPr>
      </w:pPr>
      <w:r>
        <w:rPr>
          <w:b/>
          <w:noProof/>
        </w:rPr>
        <w:t xml:space="preserve">LISTE DES ARBITRES </w:t>
      </w:r>
    </w:p>
    <w:p w:rsidR="00931924" w:rsidRDefault="00C96E03">
      <w:pPr>
        <w:rPr>
          <w:b/>
          <w:noProof/>
        </w:rPr>
      </w:pPr>
      <w:r>
        <w:rPr>
          <w:b/>
          <w:noProof/>
        </w:rPr>
        <w:t xml:space="preserve">Arbitres proposés par la Géorgie </w:t>
      </w:r>
    </w:p>
    <w:p w:rsidR="00931924" w:rsidRDefault="00C96E03">
      <w:pPr>
        <w:rPr>
          <w:noProof/>
        </w:rPr>
      </w:pPr>
      <w:r>
        <w:rPr>
          <w:noProof/>
        </w:rPr>
        <w:t>1.</w:t>
      </w:r>
      <w:r>
        <w:rPr>
          <w:noProof/>
        </w:rPr>
        <w:tab/>
        <w:t>Christian Häberli (Suisse)</w:t>
      </w:r>
    </w:p>
    <w:p w:rsidR="00931924" w:rsidRDefault="00C96E03">
      <w:pPr>
        <w:rPr>
          <w:noProof/>
        </w:rPr>
      </w:pPr>
      <w:r>
        <w:rPr>
          <w:noProof/>
        </w:rPr>
        <w:t>2.</w:t>
      </w:r>
      <w:r>
        <w:rPr>
          <w:noProof/>
        </w:rPr>
        <w:tab/>
        <w:t>Donald McRae (Can</w:t>
      </w:r>
      <w:r>
        <w:rPr>
          <w:noProof/>
        </w:rPr>
        <w:t>ada)</w:t>
      </w:r>
    </w:p>
    <w:p w:rsidR="00931924" w:rsidRDefault="00C96E03">
      <w:pPr>
        <w:rPr>
          <w:noProof/>
        </w:rPr>
      </w:pPr>
      <w:r>
        <w:rPr>
          <w:noProof/>
        </w:rPr>
        <w:t>3.</w:t>
      </w:r>
      <w:r>
        <w:rPr>
          <w:noProof/>
        </w:rPr>
        <w:tab/>
        <w:t xml:space="preserve">John Adank (Nouvelle-Zélande) </w:t>
      </w:r>
    </w:p>
    <w:p w:rsidR="00931924" w:rsidRDefault="00C96E03">
      <w:pPr>
        <w:rPr>
          <w:noProof/>
        </w:rPr>
      </w:pPr>
      <w:r>
        <w:rPr>
          <w:noProof/>
        </w:rPr>
        <w:t>4.</w:t>
      </w:r>
      <w:r>
        <w:rPr>
          <w:noProof/>
        </w:rPr>
        <w:tab/>
        <w:t>Ronald Saborio (Costa Rica)</w:t>
      </w:r>
    </w:p>
    <w:p w:rsidR="00931924" w:rsidRDefault="00C96E03">
      <w:pPr>
        <w:spacing w:after="360"/>
        <w:rPr>
          <w:noProof/>
        </w:rPr>
      </w:pPr>
      <w:r>
        <w:rPr>
          <w:noProof/>
        </w:rPr>
        <w:t>5.</w:t>
      </w:r>
      <w:r>
        <w:rPr>
          <w:noProof/>
        </w:rPr>
        <w:tab/>
        <w:t>Thomas Cottier (Suisse)</w:t>
      </w:r>
    </w:p>
    <w:p w:rsidR="00931924" w:rsidRDefault="00C96E03">
      <w:pPr>
        <w:rPr>
          <w:b/>
          <w:bCs/>
          <w:noProof/>
        </w:rPr>
      </w:pPr>
      <w:r>
        <w:rPr>
          <w:b/>
          <w:noProof/>
        </w:rPr>
        <w:t xml:space="preserve">Arbitres proposés par l’Union européenne </w:t>
      </w:r>
    </w:p>
    <w:p w:rsidR="00931924" w:rsidRDefault="00C96E03">
      <w:pPr>
        <w:rPr>
          <w:noProof/>
        </w:rPr>
      </w:pPr>
      <w:r>
        <w:rPr>
          <w:noProof/>
        </w:rPr>
        <w:t>1.</w:t>
      </w:r>
      <w:r>
        <w:rPr>
          <w:noProof/>
        </w:rPr>
        <w:tab/>
        <w:t xml:space="preserve">Claus-Dieter Ehlermann </w:t>
      </w:r>
    </w:p>
    <w:p w:rsidR="00931924" w:rsidRDefault="00C96E03">
      <w:pPr>
        <w:rPr>
          <w:noProof/>
        </w:rPr>
      </w:pPr>
      <w:r>
        <w:rPr>
          <w:noProof/>
        </w:rPr>
        <w:t>2.</w:t>
      </w:r>
      <w:r>
        <w:rPr>
          <w:noProof/>
        </w:rPr>
        <w:tab/>
        <w:t>Giorgio Saccerdoti</w:t>
      </w:r>
    </w:p>
    <w:p w:rsidR="00931924" w:rsidRDefault="00C96E03">
      <w:pPr>
        <w:rPr>
          <w:noProof/>
        </w:rPr>
      </w:pPr>
      <w:r>
        <w:rPr>
          <w:noProof/>
        </w:rPr>
        <w:t>3.</w:t>
      </w:r>
      <w:r>
        <w:rPr>
          <w:noProof/>
        </w:rPr>
        <w:tab/>
        <w:t>Jacques Bourgeois</w:t>
      </w:r>
    </w:p>
    <w:p w:rsidR="00931924" w:rsidRDefault="00C96E03">
      <w:pPr>
        <w:rPr>
          <w:noProof/>
        </w:rPr>
      </w:pPr>
      <w:r>
        <w:rPr>
          <w:noProof/>
        </w:rPr>
        <w:t>4.</w:t>
      </w:r>
      <w:r>
        <w:rPr>
          <w:noProof/>
        </w:rPr>
        <w:tab/>
        <w:t xml:space="preserve">Pieter Jan Kuijper </w:t>
      </w:r>
    </w:p>
    <w:p w:rsidR="00931924" w:rsidRDefault="00C96E03">
      <w:pPr>
        <w:spacing w:after="360"/>
        <w:rPr>
          <w:noProof/>
        </w:rPr>
      </w:pPr>
      <w:r>
        <w:rPr>
          <w:noProof/>
        </w:rPr>
        <w:t>5.</w:t>
      </w:r>
      <w:r>
        <w:rPr>
          <w:noProof/>
        </w:rPr>
        <w:tab/>
        <w:t>Ramon Torrent</w:t>
      </w:r>
    </w:p>
    <w:p w:rsidR="00931924" w:rsidRDefault="00C96E03">
      <w:pPr>
        <w:rPr>
          <w:b/>
          <w:bCs/>
          <w:noProof/>
        </w:rPr>
      </w:pPr>
      <w:r>
        <w:rPr>
          <w:b/>
          <w:noProof/>
        </w:rPr>
        <w:t>Présidents</w:t>
      </w:r>
    </w:p>
    <w:p w:rsidR="00931924" w:rsidRDefault="00C96E03">
      <w:pPr>
        <w:pStyle w:val="ManualNumPar1"/>
        <w:rPr>
          <w:noProof/>
        </w:rPr>
      </w:pPr>
      <w:r>
        <w:rPr>
          <w:noProof/>
        </w:rPr>
        <w:t>1.</w:t>
      </w:r>
      <w:r>
        <w:rPr>
          <w:noProof/>
        </w:rPr>
        <w:tab/>
      </w:r>
      <w:r>
        <w:rPr>
          <w:rStyle w:val="Strong"/>
          <w:b w:val="0"/>
          <w:noProof/>
        </w:rPr>
        <w:t>David Unterhalter (Afrique du Sud)</w:t>
      </w:r>
    </w:p>
    <w:p w:rsidR="00931924" w:rsidRDefault="00C96E03">
      <w:pPr>
        <w:rPr>
          <w:noProof/>
        </w:rPr>
      </w:pPr>
      <w:r>
        <w:rPr>
          <w:noProof/>
        </w:rPr>
        <w:t>2.</w:t>
      </w:r>
      <w:r>
        <w:rPr>
          <w:noProof/>
        </w:rPr>
        <w:tab/>
        <w:t>Merit Janow (États-Unis)</w:t>
      </w:r>
    </w:p>
    <w:p w:rsidR="00931924" w:rsidRDefault="00C96E03">
      <w:pPr>
        <w:rPr>
          <w:noProof/>
        </w:rPr>
      </w:pPr>
      <w:r>
        <w:rPr>
          <w:noProof/>
        </w:rPr>
        <w:t>3.</w:t>
      </w:r>
      <w:r>
        <w:rPr>
          <w:noProof/>
        </w:rPr>
        <w:tab/>
        <w:t>Helge Seland (Norvège)</w:t>
      </w:r>
    </w:p>
    <w:p w:rsidR="00931924" w:rsidRDefault="00C96E03">
      <w:pPr>
        <w:rPr>
          <w:noProof/>
        </w:rPr>
      </w:pPr>
      <w:r>
        <w:rPr>
          <w:noProof/>
        </w:rPr>
        <w:t>4.</w:t>
      </w:r>
      <w:r>
        <w:rPr>
          <w:noProof/>
        </w:rPr>
        <w:tab/>
        <w:t>Leora Blumberg</w:t>
      </w:r>
      <w:r>
        <w:rPr>
          <w:b/>
          <w:noProof/>
        </w:rPr>
        <w:t xml:space="preserve"> </w:t>
      </w:r>
      <w:r>
        <w:rPr>
          <w:noProof/>
        </w:rPr>
        <w:t>(Afrique du Sud)</w:t>
      </w:r>
    </w:p>
    <w:p w:rsidR="00931924" w:rsidRDefault="00C96E03">
      <w:pPr>
        <w:rPr>
          <w:noProof/>
        </w:rPr>
      </w:pPr>
      <w:r>
        <w:rPr>
          <w:noProof/>
        </w:rPr>
        <w:t>5.</w:t>
      </w:r>
      <w:r>
        <w:rPr>
          <w:noProof/>
        </w:rPr>
        <w:tab/>
        <w:t>William Davey (États-Unis)</w:t>
      </w:r>
      <w:r>
        <w:rPr>
          <w:rStyle w:val="CommentReference"/>
          <w:noProof/>
        </w:rPr>
        <w:t xml:space="preserve"> </w:t>
      </w:r>
    </w:p>
    <w:sectPr w:rsidR="00931924">
      <w:pgSz w:w="11907" w:h="1683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E03" w:rsidRDefault="00C96E03">
      <w:pPr>
        <w:spacing w:before="0" w:after="0"/>
      </w:pPr>
      <w:r>
        <w:separator/>
      </w:r>
    </w:p>
  </w:endnote>
  <w:endnote w:type="continuationSeparator" w:id="0">
    <w:p w:rsidR="00C96E03" w:rsidRDefault="00C96E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924" w:rsidRDefault="00C96E03">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924" w:rsidRDefault="00C96E03">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sidR="00EB2BA8">
      <w:rPr>
        <w:noProof/>
      </w:rPr>
      <w:t>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924" w:rsidRDefault="00931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E03" w:rsidRDefault="00C96E03">
      <w:pPr>
        <w:spacing w:before="0" w:after="0"/>
      </w:pPr>
      <w:r>
        <w:separator/>
      </w:r>
    </w:p>
  </w:footnote>
  <w:footnote w:type="continuationSeparator" w:id="0">
    <w:p w:rsidR="00C96E03" w:rsidRDefault="00C96E0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9E740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C844DD0"/>
    <w:lvl w:ilvl="0">
      <w:start w:val="1"/>
      <w:numFmt w:val="decimal"/>
      <w:pStyle w:val="ListNumber3"/>
      <w:lvlText w:val="%1."/>
      <w:lvlJc w:val="left"/>
      <w:pPr>
        <w:tabs>
          <w:tab w:val="num" w:pos="926"/>
        </w:tabs>
        <w:ind w:left="926" w:hanging="360"/>
      </w:pPr>
    </w:lvl>
  </w:abstractNum>
  <w:abstractNum w:abstractNumId="2">
    <w:nsid w:val="FFFFFF7F"/>
    <w:multiLevelType w:val="singleLevel"/>
    <w:tmpl w:val="4CF85452"/>
    <w:lvl w:ilvl="0">
      <w:start w:val="1"/>
      <w:numFmt w:val="decimal"/>
      <w:pStyle w:val="ListNumber2"/>
      <w:lvlText w:val="%1."/>
      <w:lvlJc w:val="left"/>
      <w:pPr>
        <w:tabs>
          <w:tab w:val="num" w:pos="643"/>
        </w:tabs>
        <w:ind w:left="643" w:hanging="360"/>
      </w:pPr>
    </w:lvl>
  </w:abstractNum>
  <w:abstractNum w:abstractNumId="3">
    <w:nsid w:val="FFFFFF81"/>
    <w:multiLevelType w:val="singleLevel"/>
    <w:tmpl w:val="7F80F62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558456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65E151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59A009A"/>
    <w:lvl w:ilvl="0">
      <w:start w:val="1"/>
      <w:numFmt w:val="decimal"/>
      <w:pStyle w:val="ListNumber"/>
      <w:lvlText w:val="%1."/>
      <w:lvlJc w:val="left"/>
      <w:pPr>
        <w:tabs>
          <w:tab w:val="num" w:pos="360"/>
        </w:tabs>
        <w:ind w:left="360" w:hanging="360"/>
      </w:pPr>
    </w:lvl>
  </w:abstractNum>
  <w:abstractNum w:abstractNumId="7">
    <w:nsid w:val="FFFFFF89"/>
    <w:multiLevelType w:val="singleLevel"/>
    <w:tmpl w:val="0268883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QCDateTime" w:val="2015-09-07 07:37:4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0"/>
    <w:docVar w:name="LW_ACCOMPAGNANT.CP" w:val="à la"/>
    <w:docVar w:name="LW_ANNEX_NBR_FIRST" w:val="1"/>
    <w:docVar w:name="LW_ANNEX_NBR_LAST" w:val="1"/>
    <w:docVar w:name="LW_CONFIDENCE" w:val=" "/>
    <w:docVar w:name="LW_CONST_RESTREINT_UE" w:val="RESTREINT UE"/>
    <w:docVar w:name="LW_CORRIGENDUM" w:val="&lt;UNUSED&gt;"/>
    <w:docVar w:name="LW_COVERPAGE_GUID" w:val="D882F84AA5B5476A8C90B7DE27DA9452"/>
    <w:docVar w:name="LW_CROSSREFERENCE" w:val="&lt;UNUSED&gt;"/>
    <w:docVar w:name="LW_DocType" w:val="ANNEX"/>
    <w:docVar w:name="LW_EMISSION" w:val="16.9.2015"/>
    <w:docVar w:name="LW_EMISSION_ISODATE" w:val="2015-09-16"/>
    <w:docVar w:name="LW_EMISSION_LOCATION" w:val="BRX"/>
    <w:docVar w:name="LW_EMISSION_PREFIX" w:val="Bruxelles, le "/>
    <w:docVar w:name="LW_EMISSION_SUFFIX" w:val=" "/>
    <w:docVar w:name="LW_ID_DOCSTRUCTURE" w:val="COM/ANNEX"/>
    <w:docVar w:name="LW_ID_DOCTYPE" w:val="SG-017"/>
    <w:docVar w:name="LW_LANGUE" w:val="FR"/>
    <w:docVar w:name="LW_MARKING" w:val="&lt;UNUSED&gt;"/>
    <w:docVar w:name="LW_NOM.INST" w:val="COMMISSION EUROPÉENNE"/>
    <w:docVar w:name="LW_NOM.INST_JOINTDOC" w:val="&lt;EMPTY&gt;"/>
    <w:docVar w:name="LW_OBJETACTEPRINCIPAL.CP" w:val="relative aux positions à adopter par l\u8217?Union au sein du sous-comité du commerce et du développement durable et du comité d\u8217?association dans sa configuration «Commerce» institués par l\u8217?accord d\u8217?association entre l\u8217?Union européenne et la Communauté européenne de l\u8217?énergie atomique et leurs États membres, d\u8217?une part, et la Géorgie, d\u8217?autre part_x000b_"/>
    <w:docVar w:name="LW_PART_NBR" w:val="1"/>
    <w:docVar w:name="LW_PART_NBR_TOTAL" w:val="1"/>
    <w:docVar w:name="LW_REF.INST.NEW" w:val="COM"/>
    <w:docVar w:name="LW_REF.INST.NEW_ADOPTED" w:val="final"/>
    <w:docVar w:name="LW_REF.INST.NEW_TEXT" w:val="(2015) 456"/>
    <w:docVar w:name="LW_REF.INTERNE" w:val="&lt;UNUSED&gt;"/>
    <w:docVar w:name="LW_SUPERTITRE" w:val="&lt;UNUSED&gt;"/>
    <w:docVar w:name="LW_TITRE.OBJ.CP" w:val="&lt;UNUSED&gt;"/>
    <w:docVar w:name="LW_TYPE.DOC.CP" w:val="ANNEXE"/>
    <w:docVar w:name="LW_TYPEACTEPRINCIPAL.CP" w:val="proposition de décision du Conseil"/>
  </w:docVars>
  <w:rsids>
    <w:rsidRoot w:val="00931924"/>
    <w:rsid w:val="007534B2"/>
    <w:rsid w:val="00931924"/>
    <w:rsid w:val="00C96E03"/>
    <w:rsid w:val="00EB2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before="120" w:after="120"/>
      <w:jc w:val="both"/>
    </w:pPr>
    <w:rPr>
      <w:rFonts w:ascii="Times New Roman" w:hAnsi="Times New Roman"/>
      <w:sz w:val="24"/>
      <w:szCs w:val="22"/>
      <w:lang w:val="fr-FR" w:eastAsia="fr-FR" w:bidi="fr-FR"/>
    </w:rPr>
  </w:style>
  <w:style w:type="paragraph" w:styleId="Heading1">
    <w:name w:val="heading 1"/>
    <w:basedOn w:val="Normal"/>
    <w:next w:val="Text1"/>
    <w:link w:val="Heading1Char"/>
    <w:uiPriority w:val="9"/>
    <w:qFormat/>
    <w:pPr>
      <w:keepNext/>
      <w:numPr>
        <w:numId w:val="43"/>
      </w:numPr>
      <w:spacing w:before="360"/>
      <w:outlineLvl w:val="0"/>
    </w:pPr>
    <w:rPr>
      <w:rFonts w:eastAsia="Times New Roman"/>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imes New Roman"/>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imes New Roman"/>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imes New Roman"/>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Strong">
    <w:name w:val="Strong"/>
    <w:uiPriority w:val="22"/>
    <w:qFormat/>
    <w:rPr>
      <w:b/>
      <w:bCs/>
    </w:rPr>
  </w:style>
  <w:style w:type="paragraph" w:styleId="Revision">
    <w:name w:val="Revision"/>
    <w:hidden/>
    <w:uiPriority w:val="99"/>
    <w:semiHidden/>
    <w:pPr>
      <w:spacing w:after="200" w:line="276" w:lineRule="auto"/>
    </w:pPr>
    <w:rPr>
      <w:rFonts w:ascii="Times New Roman" w:hAnsi="Times New Roman"/>
      <w:sz w:val="24"/>
      <w:szCs w:val="22"/>
      <w:lang w:val="fr-FR" w:eastAsia="fr-FR" w:bidi="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link w:val="Header"/>
    <w:uiPriority w:val="99"/>
    <w:rPr>
      <w:rFonts w:ascii="Times New Roman"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link w:val="Heading1"/>
    <w:uiPriority w:val="9"/>
    <w:rPr>
      <w:rFonts w:ascii="Times New Roman" w:eastAsia="Times New Roman" w:hAnsi="Times New Roman" w:cs="Times New Roman"/>
      <w:b/>
      <w:bCs/>
      <w:smallCaps/>
      <w:sz w:val="24"/>
      <w:szCs w:val="28"/>
      <w:shd w:val="clear" w:color="auto" w:fill="auto"/>
      <w:lang w:val="en-GB"/>
    </w:rPr>
  </w:style>
  <w:style w:type="character" w:customStyle="1" w:styleId="Heading2Char">
    <w:name w:val="Heading 2 Char"/>
    <w:link w:val="Heading2"/>
    <w:uiPriority w:val="9"/>
    <w:semiHidden/>
    <w:rPr>
      <w:rFonts w:ascii="Times New Roman" w:eastAsia="Times New Roman" w:hAnsi="Times New Roman" w:cs="Times New Roman"/>
      <w:b/>
      <w:bCs/>
      <w:sz w:val="24"/>
      <w:szCs w:val="26"/>
      <w:shd w:val="clear" w:color="auto" w:fill="auto"/>
      <w:lang w:val="en-GB"/>
    </w:rPr>
  </w:style>
  <w:style w:type="character" w:customStyle="1" w:styleId="Heading3Char">
    <w:name w:val="Heading 3 Char"/>
    <w:link w:val="Heading3"/>
    <w:uiPriority w:val="9"/>
    <w:semiHidden/>
    <w:rPr>
      <w:rFonts w:ascii="Times New Roman" w:eastAsia="Times New Roman" w:hAnsi="Times New Roman" w:cs="Times New Roman"/>
      <w:bCs/>
      <w:i/>
      <w:sz w:val="24"/>
      <w:shd w:val="clear" w:color="auto" w:fill="auto"/>
      <w:lang w:val="en-GB"/>
    </w:rPr>
  </w:style>
  <w:style w:type="character" w:customStyle="1" w:styleId="Heading4Char">
    <w:name w:val="Heading 4 Char"/>
    <w:link w:val="Heading4"/>
    <w:uiPriority w:val="9"/>
    <w:semiHidden/>
    <w:rPr>
      <w:rFonts w:ascii="Times New Roman" w:eastAsia="Times New Roman"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6933">
      <w:bodyDiv w:val="1"/>
      <w:marLeft w:val="0"/>
      <w:marRight w:val="0"/>
      <w:marTop w:val="0"/>
      <w:marBottom w:val="0"/>
      <w:divBdr>
        <w:top w:val="none" w:sz="0" w:space="0" w:color="auto"/>
        <w:left w:val="none" w:sz="0" w:space="0" w:color="auto"/>
        <w:bottom w:val="none" w:sz="0" w:space="0" w:color="auto"/>
        <w:right w:val="none" w:sz="0" w:space="0" w:color="auto"/>
      </w:divBdr>
    </w:div>
    <w:div w:id="528681294">
      <w:bodyDiv w:val="1"/>
      <w:marLeft w:val="0"/>
      <w:marRight w:val="0"/>
      <w:marTop w:val="0"/>
      <w:marBottom w:val="0"/>
      <w:divBdr>
        <w:top w:val="none" w:sz="0" w:space="0" w:color="auto"/>
        <w:left w:val="none" w:sz="0" w:space="0" w:color="auto"/>
        <w:bottom w:val="none" w:sz="0" w:space="0" w:color="auto"/>
        <w:right w:val="none" w:sz="0" w:space="0" w:color="auto"/>
      </w:divBdr>
    </w:div>
    <w:div w:id="804813585">
      <w:bodyDiv w:val="1"/>
      <w:marLeft w:val="0"/>
      <w:marRight w:val="0"/>
      <w:marTop w:val="0"/>
      <w:marBottom w:val="0"/>
      <w:divBdr>
        <w:top w:val="none" w:sz="0" w:space="0" w:color="auto"/>
        <w:left w:val="none" w:sz="0" w:space="0" w:color="auto"/>
        <w:bottom w:val="none" w:sz="0" w:space="0" w:color="auto"/>
        <w:right w:val="none" w:sz="0" w:space="0" w:color="auto"/>
      </w:divBdr>
    </w:div>
    <w:div w:id="140256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2</TotalTime>
  <Pages>8</Pages>
  <Words>1136</Words>
  <Characters>6459</Characters>
  <Application>Microsoft Office Word</Application>
  <DocSecurity>0</DocSecurity>
  <Lines>184</Lines>
  <Paragraphs>130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MOLLER</dc:creator>
  <cp:keywords/>
  <cp:lastModifiedBy>LAGES CARVALHO Patrick (SG)</cp:lastModifiedBy>
  <cp:revision>9</cp:revision>
  <cp:lastPrinted>2015-08-05T13:39:00Z</cp:lastPrinted>
  <dcterms:created xsi:type="dcterms:W3CDTF">2015-09-01T08:20:00Z</dcterms:created>
  <dcterms:modified xsi:type="dcterms:W3CDTF">2015-09-07T06:27:00Z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20140113</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Yellow (DQC version 03)</vt:lpwstr>
  </property>
</Properties>
</file>