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BA" w:rsidRDefault="0060630F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851F4BB82CFB446F82800C85D13EED5F" style="width:450.75pt;height:393.75pt">
            <v:imagedata r:id="rId8" o:title=""/>
          </v:shape>
        </w:pict>
      </w:r>
    </w:p>
    <w:p w:rsidR="001A73BA" w:rsidRDefault="001A73BA">
      <w:pPr>
        <w:rPr>
          <w:noProof/>
        </w:rPr>
        <w:sectPr w:rsidR="001A73BA"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1A73BA" w:rsidRDefault="0060630F">
      <w:pPr>
        <w:pStyle w:val="Exposdesmotifstitre"/>
        <w:rPr>
          <w:noProof/>
        </w:rPr>
      </w:pPr>
      <w:r>
        <w:rPr>
          <w:noProof/>
        </w:rPr>
        <w:lastRenderedPageBreak/>
        <w:t>ОБЯСНИТЕЛЕН МЕМОРАНДУМ</w:t>
      </w:r>
    </w:p>
    <w:p w:rsidR="001A73BA" w:rsidRDefault="0060630F"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 w:rsidR="001A73BA" w:rsidRDefault="0060630F">
      <w:pPr>
        <w:pStyle w:val="Bullet0"/>
        <w:numPr>
          <w:ilvl w:val="0"/>
          <w:numId w:val="9"/>
        </w:numPr>
        <w:rPr>
          <w:b/>
          <w:noProof/>
        </w:rPr>
      </w:pPr>
      <w:r>
        <w:rPr>
          <w:b/>
          <w:noProof/>
        </w:rPr>
        <w:t>Основания и цели на предложението</w:t>
      </w:r>
    </w:p>
    <w:p w:rsidR="001A73BA" w:rsidRDefault="0060630F">
      <w:pPr>
        <w:rPr>
          <w:noProof/>
          <w:color w:val="000000"/>
          <w:szCs w:val="20"/>
        </w:rPr>
      </w:pPr>
      <w:r>
        <w:rPr>
          <w:noProof/>
          <w:color w:val="000000"/>
        </w:rPr>
        <w:t xml:space="preserve">Приложеното предложение е правният инструмент, с който се определят позициите, които да бъдат заети от името на Съюза в рамките на орган, създаден по силата на споразумение за асоцииране между Съюза и трета държава. </w:t>
      </w:r>
      <w:r>
        <w:rPr>
          <w:noProof/>
        </w:rPr>
        <w:t>По-конкретно то е свързано с прилагането</w:t>
      </w:r>
      <w:r>
        <w:rPr>
          <w:noProof/>
        </w:rPr>
        <w:t xml:space="preserve"> на Споразумението за асоцииране между Европейския съюз и Европейската общност за атомна енергия и техните държави членки, от една страна, и Грузия, от друга страна („Споразумението“).</w:t>
      </w:r>
      <w:r>
        <w:rPr>
          <w:noProof/>
          <w:color w:val="000000"/>
        </w:rPr>
        <w:t xml:space="preserve"> </w:t>
      </w:r>
    </w:p>
    <w:p w:rsidR="001A73BA" w:rsidRDefault="0060630F">
      <w:pPr>
        <w:rPr>
          <w:noProof/>
          <w:color w:val="000000"/>
          <w:szCs w:val="20"/>
        </w:rPr>
      </w:pPr>
      <w:r>
        <w:rPr>
          <w:noProof/>
          <w:color w:val="000000"/>
        </w:rPr>
        <w:t>Споразумението за асоцииране беше подписано на 27 юни 2014 г. и се при</w:t>
      </w:r>
      <w:r>
        <w:rPr>
          <w:noProof/>
          <w:color w:val="000000"/>
        </w:rPr>
        <w:t>лага временно от 1 септември 2014 г. в очакване на ратифицирането му от държавите членки. С Решение 2014/494/ЕС на Съвета от 16 юни 2014 г.</w:t>
      </w:r>
      <w:r>
        <w:rPr>
          <w:rStyle w:val="FootnoteReference"/>
          <w:noProof/>
          <w:color w:val="000000"/>
        </w:rPr>
        <w:footnoteReference w:id="1"/>
      </w:r>
      <w:r>
        <w:rPr>
          <w:noProof/>
          <w:color w:val="000000"/>
        </w:rPr>
        <w:t xml:space="preserve"> беше одобрено подписването на Споразумението от името на Европейския съюз, на Европейската общност за атомна енерги</w:t>
      </w:r>
      <w:r>
        <w:rPr>
          <w:noProof/>
          <w:color w:val="000000"/>
        </w:rPr>
        <w:t xml:space="preserve">я и на техните държави членки и временното прилагане на някои разпоредби от него. </w:t>
      </w:r>
    </w:p>
    <w:p w:rsidR="001A73BA" w:rsidRDefault="0060630F">
      <w:pPr>
        <w:rPr>
          <w:noProof/>
          <w:color w:val="000000"/>
          <w:szCs w:val="20"/>
        </w:rPr>
      </w:pPr>
      <w:r>
        <w:rPr>
          <w:noProof/>
          <w:color w:val="000000"/>
        </w:rPr>
        <w:t xml:space="preserve">Със Споразумението беше създаден Комитетът за асоцииране в състав „Търговия“, който упражнява контрол върху прилагането на дял IV (Търговия и свързани с търговията въпроси) </w:t>
      </w:r>
      <w:r>
        <w:rPr>
          <w:noProof/>
          <w:color w:val="000000"/>
        </w:rPr>
        <w:t xml:space="preserve">от Споразумението и решава свързаните с това въпроси. Този комитет трябва да състави списък на арбитри, за да се гарантира доброто функциониране на механизма за уреждане на спорове, в съответствие с член 268 от Споразумението. </w:t>
      </w:r>
    </w:p>
    <w:p w:rsidR="001A73BA" w:rsidRDefault="0060630F">
      <w:pPr>
        <w:rPr>
          <w:noProof/>
          <w:color w:val="000000"/>
          <w:szCs w:val="20"/>
        </w:rPr>
      </w:pPr>
      <w:r>
        <w:rPr>
          <w:noProof/>
          <w:color w:val="000000"/>
        </w:rPr>
        <w:t>В Споразумението се предвижд</w:t>
      </w:r>
      <w:r>
        <w:rPr>
          <w:noProof/>
          <w:color w:val="000000"/>
        </w:rPr>
        <w:t>а също така създаването на Подкомитета по търговия и устойчиво развитие, с което се потвърждава отново ангажиментът на двете страни по Споразумението за постигане на устойчиво развитие, както и това, че икономическото развитие, социалното развитие и опазва</w:t>
      </w:r>
      <w:r>
        <w:rPr>
          <w:noProof/>
          <w:color w:val="000000"/>
        </w:rPr>
        <w:t>нето на околната среда са взаимнообусловените и взаимноукрепващи се стълбове на устойчивото развитие.</w:t>
      </w:r>
    </w:p>
    <w:p w:rsidR="001A73BA" w:rsidRDefault="0060630F">
      <w:pPr>
        <w:rPr>
          <w:noProof/>
          <w:color w:val="000000"/>
          <w:szCs w:val="20"/>
        </w:rPr>
      </w:pPr>
      <w:r>
        <w:rPr>
          <w:noProof/>
          <w:color w:val="000000"/>
        </w:rPr>
        <w:t>В съответствие с член 243 от Споразумението Подкомитетът по търговия и устойчиво развитие трябва да договори на своето първо заседание списък на лица, кои</w:t>
      </w:r>
      <w:r>
        <w:rPr>
          <w:noProof/>
          <w:color w:val="000000"/>
        </w:rPr>
        <w:t>то желаят и могат да изпълняват функцията на експерти в процедурите на експертната комисия по търговия и устойчиво развитие.</w:t>
      </w:r>
    </w:p>
    <w:p w:rsidR="001A73BA" w:rsidRDefault="0060630F">
      <w:pPr>
        <w:pStyle w:val="Bullet0"/>
        <w:rPr>
          <w:b/>
          <w:noProof/>
          <w:color w:val="000000"/>
          <w:szCs w:val="20"/>
        </w:rPr>
      </w:pPr>
      <w:r>
        <w:rPr>
          <w:b/>
          <w:noProof/>
          <w:color w:val="000000"/>
        </w:rPr>
        <w:t>Съгласуваност със съществуващите разпоредби в тази област на политиката</w:t>
      </w:r>
    </w:p>
    <w:p w:rsidR="001A73BA" w:rsidRDefault="0060630F">
      <w:pPr>
        <w:rPr>
          <w:noProof/>
          <w:color w:val="000000"/>
          <w:lang w:val="fr-BE"/>
        </w:rPr>
      </w:pPr>
      <w:r>
        <w:rPr>
          <w:noProof/>
          <w:color w:val="000000"/>
        </w:rPr>
        <w:t>Настоящото предложение касае прилагането на общата търговск</w:t>
      </w:r>
      <w:r>
        <w:rPr>
          <w:noProof/>
          <w:color w:val="000000"/>
        </w:rPr>
        <w:t>а политика на Съюза по отношение на конкретна държава от Източното партньорство на базата на разпоредбите на горепосоченото Споразумение за асоцииране. С него се цели създаването на необходимите институционални инструменти, които ще направят възможно ефика</w:t>
      </w:r>
      <w:r>
        <w:rPr>
          <w:noProof/>
          <w:color w:val="000000"/>
        </w:rPr>
        <w:t>сното уреждане от страна на Съюза и на Грузия на двустранните спорове във връзка с прилагането и тълкуването на Споразумението. То е в съответствие с подхода на Съюза към договарянето или прилагането на механизмите за уреждане на спорове в рамките на спора</w:t>
      </w:r>
      <w:r>
        <w:rPr>
          <w:noProof/>
          <w:color w:val="000000"/>
        </w:rPr>
        <w:t>зуменията за свободна търговия с други търговски партньори, както и към търговията и устойчивото развитие.</w:t>
      </w:r>
    </w:p>
    <w:p w:rsidR="00A4675F" w:rsidRDefault="00A4675F">
      <w:pPr>
        <w:rPr>
          <w:noProof/>
          <w:color w:val="000000"/>
          <w:lang w:val="fr-BE"/>
        </w:rPr>
      </w:pPr>
    </w:p>
    <w:p w:rsidR="00A4675F" w:rsidRPr="00A4675F" w:rsidRDefault="00A4675F">
      <w:pPr>
        <w:rPr>
          <w:noProof/>
          <w:color w:val="000000"/>
          <w:szCs w:val="20"/>
          <w:lang w:val="fr-BE"/>
        </w:rPr>
      </w:pPr>
      <w:bookmarkStart w:id="0" w:name="_GoBack"/>
      <w:bookmarkEnd w:id="0"/>
    </w:p>
    <w:p w:rsidR="001A73BA" w:rsidRDefault="0060630F">
      <w:pPr>
        <w:pStyle w:val="Bullet0"/>
        <w:rPr>
          <w:b/>
          <w:noProof/>
          <w:color w:val="000000"/>
          <w:szCs w:val="20"/>
        </w:rPr>
      </w:pPr>
      <w:r>
        <w:rPr>
          <w:b/>
          <w:noProof/>
          <w:color w:val="000000"/>
        </w:rPr>
        <w:lastRenderedPageBreak/>
        <w:t>Съгласуваност с другите политики на Съюза</w:t>
      </w:r>
    </w:p>
    <w:p w:rsidR="001A73BA" w:rsidRDefault="0060630F">
      <w:pPr>
        <w:rPr>
          <w:noProof/>
          <w:color w:val="000000"/>
          <w:szCs w:val="20"/>
        </w:rPr>
      </w:pPr>
      <w:r>
        <w:rPr>
          <w:noProof/>
          <w:color w:val="000000"/>
        </w:rPr>
        <w:t>Настоящото предложение е в духа на другите външни политики на Съюза и същевременно ги допълва, особено Евро</w:t>
      </w:r>
      <w:r>
        <w:rPr>
          <w:noProof/>
          <w:color w:val="000000"/>
        </w:rPr>
        <w:t>пейската политика на съседство и политиката на сътрудничество за развитие по отношение на Грузия.</w:t>
      </w:r>
    </w:p>
    <w:p w:rsidR="001A73BA" w:rsidRDefault="0060630F"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</w:r>
      <w:r>
        <w:rPr>
          <w:caps/>
          <w:smallCaps w:val="0"/>
          <w:noProof/>
        </w:rPr>
        <w:t>Правно основание, субсидиарност и пропорционалност</w:t>
      </w:r>
    </w:p>
    <w:p w:rsidR="001A73BA" w:rsidRDefault="0060630F">
      <w:pPr>
        <w:pStyle w:val="Bullet0"/>
        <w:rPr>
          <w:b/>
          <w:noProof/>
          <w:color w:val="000000"/>
          <w:szCs w:val="20"/>
        </w:rPr>
      </w:pPr>
      <w:r>
        <w:rPr>
          <w:b/>
          <w:noProof/>
        </w:rPr>
        <w:t>Правно основание</w:t>
      </w:r>
    </w:p>
    <w:p w:rsidR="001A73BA" w:rsidRDefault="0060630F">
      <w:pPr>
        <w:autoSpaceDE w:val="0"/>
        <w:autoSpaceDN w:val="0"/>
        <w:adjustRightInd w:val="0"/>
        <w:rPr>
          <w:noProof/>
          <w:color w:val="000000"/>
          <w:szCs w:val="20"/>
        </w:rPr>
      </w:pPr>
      <w:r>
        <w:rPr>
          <w:noProof/>
        </w:rPr>
        <w:t>Правното основание за определяне на позицията, която Съюзът да заеме в рамките на комит</w:t>
      </w:r>
      <w:r>
        <w:rPr>
          <w:noProof/>
        </w:rPr>
        <w:t>етите, създадени със Споразумението за асоцииране между Съюза и Грузия, е Договорът за функционирането на Европейския съюз, и по-специално член 207, параграф 4, във връзка с член 218, параграф 9 от него.</w:t>
      </w:r>
      <w:r>
        <w:rPr>
          <w:noProof/>
          <w:color w:val="000000"/>
        </w:rPr>
        <w:t xml:space="preserve"> </w:t>
      </w:r>
    </w:p>
    <w:p w:rsidR="001A73BA" w:rsidRDefault="0060630F">
      <w:pPr>
        <w:pStyle w:val="Bullet0"/>
        <w:rPr>
          <w:b/>
          <w:noProof/>
        </w:rPr>
      </w:pPr>
      <w:r>
        <w:rPr>
          <w:b/>
          <w:noProof/>
          <w:u w:color="000000"/>
          <w:bdr w:val="nil"/>
        </w:rPr>
        <w:t>Субсидиарност</w:t>
      </w:r>
      <w:r>
        <w:rPr>
          <w:b/>
          <w:noProof/>
        </w:rPr>
        <w:t xml:space="preserve"> (при неизключителна компетентност)</w:t>
      </w:r>
    </w:p>
    <w:p w:rsidR="001A73BA" w:rsidRDefault="0060630F">
      <w:pPr>
        <w:rPr>
          <w:noProof/>
        </w:rPr>
      </w:pPr>
      <w:r>
        <w:rPr>
          <w:noProof/>
        </w:rPr>
        <w:t xml:space="preserve">В </w:t>
      </w:r>
      <w:r>
        <w:rPr>
          <w:noProof/>
        </w:rPr>
        <w:t>съответствие с член 3 от ДФЕС общата търговска политика е от изключителната компетентност на Съюза. Поради това принципът на субсидиарност не се прилага.</w:t>
      </w:r>
    </w:p>
    <w:p w:rsidR="001A73BA" w:rsidRDefault="0060630F">
      <w:pPr>
        <w:pStyle w:val="Bullet0"/>
        <w:rPr>
          <w:b/>
          <w:noProof/>
        </w:rPr>
      </w:pPr>
      <w:r>
        <w:rPr>
          <w:b/>
          <w:noProof/>
        </w:rPr>
        <w:t>Пропорционалност</w:t>
      </w:r>
    </w:p>
    <w:p w:rsidR="001A73BA" w:rsidRDefault="0060630F">
      <w:pPr>
        <w:rPr>
          <w:noProof/>
        </w:rPr>
      </w:pPr>
      <w:r>
        <w:rPr>
          <w:noProof/>
        </w:rPr>
        <w:t>Настоящото предложение е необходимо с оглед изпълнението на международните ангажимент</w:t>
      </w:r>
      <w:r>
        <w:rPr>
          <w:noProof/>
        </w:rPr>
        <w:t xml:space="preserve">и на Съюза, залегнали в споразумението с Грузия. </w:t>
      </w:r>
    </w:p>
    <w:p w:rsidR="001A73BA" w:rsidRDefault="0060630F">
      <w:pPr>
        <w:pStyle w:val="Bullet0"/>
        <w:rPr>
          <w:b/>
          <w:noProof/>
        </w:rPr>
      </w:pPr>
      <w:r>
        <w:rPr>
          <w:b/>
          <w:noProof/>
        </w:rPr>
        <w:t>Избор на инструмент</w:t>
      </w:r>
    </w:p>
    <w:p w:rsidR="001A73BA" w:rsidRDefault="0060630F">
      <w:pPr>
        <w:rPr>
          <w:noProof/>
        </w:rPr>
      </w:pPr>
      <w:r>
        <w:rPr>
          <w:noProof/>
        </w:rPr>
        <w:t>Настоящото предложение е в съответствие с член 218, параграф 9 от ДФЕС, който предвижда приемането на решения от Съвета в подобни случаи. Не съществува друг правен инструмент, който да м</w:t>
      </w:r>
      <w:r>
        <w:rPr>
          <w:noProof/>
        </w:rPr>
        <w:t xml:space="preserve">оже да бъде използван за постигане на целта, изложена в настоящото предложение. </w:t>
      </w:r>
    </w:p>
    <w:p w:rsidR="001A73BA" w:rsidRDefault="0060630F"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РЕЗУЛТАТИ ОТ ПОСЛЕДВАЩИТЕ ОЦЕНКИ, КОНСУЛТАЦИИ СЪС ЗАИНТЕРЕСОВАНИТЕ СТРАНИ И ОЦЕНКИ НА ВЪЗДЕЙСТВИЕТО </w:t>
      </w:r>
    </w:p>
    <w:p w:rsidR="001A73BA" w:rsidRDefault="0060630F"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 xml:space="preserve">Последващи </w:t>
      </w:r>
      <w:r>
        <w:rPr>
          <w:b/>
          <w:noProof/>
        </w:rPr>
        <w:t>оценки/проверки за пригодност на действащото законодателство</w:t>
      </w:r>
    </w:p>
    <w:p w:rsidR="001A73BA" w:rsidRDefault="0060630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 w:rsidR="001A73BA" w:rsidRDefault="0060630F"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Консултации със заинтересованите страни</w:t>
      </w:r>
    </w:p>
    <w:p w:rsidR="001A73BA" w:rsidRDefault="0060630F">
      <w:pPr>
        <w:rPr>
          <w:noProof/>
          <w:color w:val="000000"/>
          <w:szCs w:val="20"/>
        </w:rPr>
      </w:pPr>
      <w:r>
        <w:rPr>
          <w:noProof/>
        </w:rPr>
        <w:t>Във връзка с настоящото предложение не са необходими консултации със заинтересованите страни.</w:t>
      </w:r>
    </w:p>
    <w:p w:rsidR="001A73BA" w:rsidRDefault="0060630F"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Събиране и използване на експертни становища</w:t>
      </w:r>
    </w:p>
    <w:p w:rsidR="001A73BA" w:rsidRDefault="0060630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Комисията взе предвид информацията, предоставена от държавите</w:t>
      </w:r>
      <w:r>
        <w:rPr>
          <w:noProof/>
        </w:rPr>
        <w:t xml:space="preserve"> членки през последните години по отношение на граждани на Съюза, които са подходящи да изпълняват функцията на арбитри по спорове, възникнали в рамките на търговските споразумения на Съюза, и притежават необходимата квалификация за това.</w:t>
      </w:r>
    </w:p>
    <w:p w:rsidR="001A73BA" w:rsidRDefault="0060630F"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Оценка на въздейс</w:t>
      </w:r>
      <w:r>
        <w:rPr>
          <w:b/>
          <w:noProof/>
          <w:u w:color="000000"/>
          <w:bdr w:val="nil"/>
        </w:rPr>
        <w:t>твието</w:t>
      </w:r>
    </w:p>
    <w:p w:rsidR="001A73BA" w:rsidRDefault="0060630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Предложението касае прилагането на институционалните аспекти на Споразумението за асоцииране между Съюза и Грузия, и по-специално дял IV (Търговия и свързани с търговията въпроси) от него. Предложението няма отражение върху икономическата, </w:t>
      </w:r>
      <w:r>
        <w:rPr>
          <w:noProof/>
        </w:rPr>
        <w:lastRenderedPageBreak/>
        <w:t>социалнат</w:t>
      </w:r>
      <w:r>
        <w:rPr>
          <w:noProof/>
        </w:rPr>
        <w:t xml:space="preserve">а или екологичната политика на Съюза. Споразумението за асоцииране се прилага временно от 1 септември 2014 г. и неговото прилагане е в началната си фаза. </w:t>
      </w:r>
    </w:p>
    <w:p w:rsidR="001A73BA" w:rsidRDefault="0060630F"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Пригодност и опростяване на законодателството</w:t>
      </w:r>
    </w:p>
    <w:p w:rsidR="001A73BA" w:rsidRDefault="0060630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Споразумението за асоцииране между Съюза и Грузия не е </w:t>
      </w:r>
      <w:r>
        <w:rPr>
          <w:noProof/>
        </w:rPr>
        <w:t xml:space="preserve">предмет на процедури по програмата REFIT, не предполага никакви разходи за МСП и не поражда проблеми от гледна точка на цифровата среда. </w:t>
      </w:r>
    </w:p>
    <w:p w:rsidR="001A73BA" w:rsidRDefault="0060630F"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Основни права</w:t>
      </w:r>
    </w:p>
    <w:p w:rsidR="001A73BA" w:rsidRDefault="0060630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Предложението няма последствия за защитата на основните права. </w:t>
      </w:r>
    </w:p>
    <w:p w:rsidR="001A73BA" w:rsidRDefault="0060630F"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 w:rsidR="001A73BA" w:rsidRDefault="0060630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</w:t>
      </w:r>
      <w:r>
        <w:rPr>
          <w:noProof/>
        </w:rPr>
        <w:t>.</w:t>
      </w:r>
    </w:p>
    <w:p w:rsidR="001A73BA" w:rsidRDefault="0060630F"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 w:rsidR="001A73BA" w:rsidRDefault="0060630F"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Планове за изпълнение и договорености за контрол, оценка и докладване</w:t>
      </w:r>
    </w:p>
    <w:p w:rsidR="001A73BA" w:rsidRDefault="0060630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Изпълнението на Споразумението за асоцииране подлежи на редовен преглед от страна на Съвета за асоцииране ЕС — Грузия. Европейската комисия също така пое ангажимент </w:t>
      </w:r>
      <w:r>
        <w:rPr>
          <w:noProof/>
        </w:rPr>
        <w:t>ежегодно да представя пред Европейския парламент доклад относно прилагането на дял IV (Търговия и свързани с търговията въпроси) от Споразумението, включително относно елементите, включени в настоящото предложение.</w:t>
      </w:r>
    </w:p>
    <w:p w:rsidR="001A73BA" w:rsidRDefault="0060630F"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Обяснителни документи (за директивите)</w:t>
      </w:r>
    </w:p>
    <w:p w:rsidR="001A73BA" w:rsidRDefault="0060630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</w:t>
      </w:r>
      <w:r>
        <w:rPr>
          <w:noProof/>
        </w:rPr>
        <w:t xml:space="preserve"> се прилага.</w:t>
      </w:r>
    </w:p>
    <w:p w:rsidR="001A73BA" w:rsidRDefault="0060630F"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Подробно разяснение на конкретни разпоредби на предложението</w:t>
      </w:r>
    </w:p>
    <w:p w:rsidR="001A73BA" w:rsidRDefault="0060630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  <w:color w:val="000000"/>
        </w:rPr>
        <w:t xml:space="preserve">Целта на предложението е да се приеме позиция на Съюза във връзка с прилагането на частта от Споразумението за асоцииране между Съюза и Грузия, отнасяща се до търговията. </w:t>
      </w:r>
      <w:r>
        <w:rPr>
          <w:noProof/>
        </w:rPr>
        <w:t>Дял IV (Тър</w:t>
      </w:r>
      <w:r>
        <w:rPr>
          <w:noProof/>
        </w:rPr>
        <w:t>говия и свързани с търговията въпроси) от Споразумението включва глава 14 (Уреждане на спорове), която предвижда механизъм за разрешаване на търговски спорове между страните по Споразумението, свързани с прилагането или тълкуването на частта от Споразумени</w:t>
      </w:r>
      <w:r>
        <w:rPr>
          <w:noProof/>
        </w:rPr>
        <w:t>ето, отнасяща се до търговията.</w:t>
      </w:r>
      <w:r>
        <w:rPr>
          <w:noProof/>
          <w:color w:val="000000"/>
        </w:rPr>
        <w:t xml:space="preserve"> Арбитражната процедура, уредена в глава 14, предвижда, че страната, подала жалбата, може да поиска образуването на арбитражен съд за разрешаване на конкретен двустранен спор. С член 268 от Споразумението са уредени правилата</w:t>
      </w:r>
      <w:r>
        <w:rPr>
          <w:noProof/>
          <w:color w:val="000000"/>
        </w:rPr>
        <w:t xml:space="preserve"> относно състава на арбитражния съд. Споразумението предвижда съставянето на списък на квалифицирани лица, които могат да изпълняват функцията на арбитри. </w:t>
      </w:r>
      <w:r>
        <w:rPr>
          <w:noProof/>
        </w:rPr>
        <w:t>В съответствие с това съвместно с правителството на Грузия бе обсъден проект на списък на арбитри, ко</w:t>
      </w:r>
      <w:r>
        <w:rPr>
          <w:noProof/>
        </w:rPr>
        <w:t>ито желаят и могат да влязат в състава на арбитражния съд. Списъкът включва петима кандидат-арбитри от Съюза, петима кандидат-арбитри от Грузия и петима граждани на трети държави, които могат да изпълняват функцията на председатели на арбитражния съд. Спис</w:t>
      </w:r>
      <w:r>
        <w:rPr>
          <w:noProof/>
        </w:rPr>
        <w:t>ъкът ще се използва в случаите, когато е необходимо да бъде образуван арбитражен съд.</w:t>
      </w:r>
    </w:p>
    <w:p w:rsidR="001A73BA" w:rsidRDefault="0060630F">
      <w:pPr>
        <w:rPr>
          <w:noProof/>
          <w:color w:val="000000"/>
          <w:szCs w:val="20"/>
        </w:rPr>
      </w:pPr>
      <w:r>
        <w:rPr>
          <w:noProof/>
          <w:color w:val="000000"/>
        </w:rPr>
        <w:t>Дял IV (Търговия и свързани с търговията въпроси) от това Споразумение включва също така глава 13 (Търговия и устойчиво развитие), в която се предвижда, че двете страни п</w:t>
      </w:r>
      <w:r>
        <w:rPr>
          <w:noProof/>
          <w:color w:val="000000"/>
        </w:rPr>
        <w:t xml:space="preserve">о Споразумението се ангажират да насърчават развитието на международната </w:t>
      </w:r>
      <w:r>
        <w:rPr>
          <w:noProof/>
          <w:color w:val="000000"/>
        </w:rPr>
        <w:lastRenderedPageBreak/>
        <w:t>търговия по начин, който допринася за постигането на целта за устойчиво развитие, и да гарантират, че тази цел е интегрирана и отразена на всяко равнище на техните търговски отношения</w:t>
      </w:r>
      <w:r>
        <w:rPr>
          <w:noProof/>
          <w:color w:val="000000"/>
        </w:rPr>
        <w:t>. За всеки въпрос, който може да възникне, страните полагат максимални усилия да постигнат взаимно удовлетворяващо решение чрез консултации на правителствено равнище. Ако обаче някоя от страните установи, че въпросът не е бил разрешен в задоволителна степе</w:t>
      </w:r>
      <w:r>
        <w:rPr>
          <w:noProof/>
          <w:color w:val="000000"/>
        </w:rPr>
        <w:t>н чрез консултации на правителствено равнище, в Споразумението се предвижда възможност страната да поиска свикването на експертна комисия с цел разглеждане на въпроса. В член 243, параграф 3 от Споразумението се предвижда, че Подкомитетът по търговия и уст</w:t>
      </w:r>
      <w:r>
        <w:rPr>
          <w:noProof/>
          <w:color w:val="000000"/>
        </w:rPr>
        <w:t>ойчиво развитие трябва да състави списък от най-малко 15 лица, които желаят и могат да изпълняват функцията на експерти в процедурите на експертната комисия.</w:t>
      </w:r>
    </w:p>
    <w:p w:rsidR="001A73BA" w:rsidRDefault="001A73BA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color w:val="000000"/>
          <w:szCs w:val="20"/>
        </w:rPr>
        <w:sectPr w:rsidR="001A73BA">
          <w:footerReference w:type="default" r:id="rId10"/>
          <w:footerReference w:type="first" r:id="rId1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1A73BA" w:rsidRDefault="0060630F">
      <w:pPr>
        <w:pStyle w:val="Rfrenceinterinstitutionnelle"/>
        <w:rPr>
          <w:noProof/>
        </w:rPr>
      </w:pPr>
      <w:r>
        <w:rPr>
          <w:noProof/>
        </w:rPr>
        <w:lastRenderedPageBreak/>
        <w:t>2015/0206 (NLE)</w:t>
      </w:r>
    </w:p>
    <w:p w:rsidR="001A73BA" w:rsidRDefault="0060630F">
      <w:pPr>
        <w:pStyle w:val="Statut"/>
        <w:rPr>
          <w:noProof/>
        </w:rPr>
      </w:pPr>
      <w:r>
        <w:rPr>
          <w:noProof/>
        </w:rPr>
        <w:t>Предложение за</w:t>
      </w:r>
    </w:p>
    <w:p w:rsidR="001A73BA" w:rsidRDefault="0060630F"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 w:rsidR="001A73BA" w:rsidRDefault="0060630F">
      <w:pPr>
        <w:pStyle w:val="Titreobjet"/>
        <w:rPr>
          <w:noProof/>
        </w:rPr>
      </w:pPr>
      <w:r>
        <w:rPr>
          <w:noProof/>
        </w:rPr>
        <w:t>относно позициите, които да бъдат заети от името на Европейския съюз в рамките на Подкомитета по търговия и устойчиво развитие и на Комитета за асоцииране в състав „Търговия“, създадени съ</w:t>
      </w:r>
      <w:r>
        <w:rPr>
          <w:noProof/>
        </w:rPr>
        <w:t>с Споразумението за асоцииране между Европейския съюз и Европейската общност за атомна енергия и техните държави членки, от една страна, и Грузия, от друга страна</w:t>
      </w:r>
    </w:p>
    <w:p w:rsidR="001A73BA" w:rsidRDefault="0060630F"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 w:rsidR="001A73BA" w:rsidRDefault="0060630F">
      <w:pPr>
        <w:rPr>
          <w:rFonts w:eastAsia="Times New Roman"/>
          <w:noProof/>
          <w:szCs w:val="24"/>
        </w:rPr>
      </w:pPr>
      <w:r>
        <w:rPr>
          <w:noProof/>
        </w:rPr>
        <w:t>като взе предвид Договора за функционирането на Европейския съюз</w:t>
      </w:r>
      <w:r>
        <w:rPr>
          <w:noProof/>
        </w:rPr>
        <w:t>, и по-специално член 207, параграф 4, първа алинея, във връзка с член 218, параграф 9 от него,</w:t>
      </w:r>
    </w:p>
    <w:p w:rsidR="001A73BA" w:rsidRDefault="0060630F"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 w:rsidR="001A73BA" w:rsidRDefault="0060630F">
      <w:pPr>
        <w:rPr>
          <w:noProof/>
        </w:rPr>
      </w:pPr>
      <w:r>
        <w:rPr>
          <w:noProof/>
        </w:rPr>
        <w:t>като има предвид, че:</w:t>
      </w:r>
    </w:p>
    <w:p w:rsidR="001A73BA" w:rsidRDefault="0060630F"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 xml:space="preserve">В член 431, параграфи 3 и 4 от Споразумението за асоцииране между Европейския </w:t>
      </w:r>
      <w:r>
        <w:rPr>
          <w:noProof/>
        </w:rPr>
        <w:t>съюз и Европейската общност за атомна енергия и техните държави членки, от една страна, и Грузия, от друга страна („Споразумението“), се предвижда временното прилагане на части от Споразумението.</w:t>
      </w:r>
    </w:p>
    <w:p w:rsidR="001A73BA" w:rsidRDefault="0060630F"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>В член 3 от Решение 2014/494/ЕС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от 16 юни 201</w:t>
      </w:r>
      <w:r>
        <w:rPr>
          <w:noProof/>
        </w:rPr>
        <w:t>4 г. се определят разпоредбите на Споразумението, които да се прилагат временно, включително разпоредбите относно създаването и работата на Подкомитета по търговия и устойчиво развитие и на Комитета за асоцииране в състав „Търговия“, относно търговията и у</w:t>
      </w:r>
      <w:r>
        <w:rPr>
          <w:noProof/>
        </w:rPr>
        <w:t xml:space="preserve">стойчивото развитие и относно уреждането на спорове. </w:t>
      </w:r>
    </w:p>
    <w:p w:rsidR="001A73BA" w:rsidRDefault="0060630F"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В член 240 от Споразумението се предвижда, че Подкомитетът по търговия и устойчиво развитие трябва да изготви свой процедурен правилник.</w:t>
      </w:r>
    </w:p>
    <w:p w:rsidR="001A73BA" w:rsidRDefault="0060630F"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</w:r>
      <w:r>
        <w:rPr>
          <w:noProof/>
        </w:rPr>
        <w:t>В член 243 от Споразумението се предвижда, че Подкомитетът по търговия и устойчиво развитие трябва да договори на своето първо заседание списък на лица, които желаят и могат да изпълняват функцията на експерти в процедурите на експертната комисия по търгов</w:t>
      </w:r>
      <w:r>
        <w:rPr>
          <w:noProof/>
        </w:rPr>
        <w:t xml:space="preserve">ия и устойчиво развитие. </w:t>
      </w:r>
    </w:p>
    <w:p w:rsidR="001A73BA" w:rsidRDefault="0060630F">
      <w:pPr>
        <w:pStyle w:val="ManualConsidrant"/>
        <w:rPr>
          <w:noProof/>
        </w:rPr>
      </w:pPr>
      <w:r>
        <w:rPr>
          <w:noProof/>
        </w:rPr>
        <w:t>(5)</w:t>
      </w:r>
      <w:r>
        <w:rPr>
          <w:noProof/>
        </w:rPr>
        <w:tab/>
        <w:t xml:space="preserve">В член 268 от Споразумението се предвижда, че Комитетът за асоцииране в състав „Търговия“ трябва да постигне съгласие по списък на лица, които да изпълняват функцията на арбитри в производствата за уреждане на спорове, в срок </w:t>
      </w:r>
      <w:r>
        <w:rPr>
          <w:noProof/>
        </w:rPr>
        <w:t>от 6 месеца от началото на временното прилагане на Споразумението.</w:t>
      </w:r>
    </w:p>
    <w:p w:rsidR="001A73BA" w:rsidRDefault="0060630F">
      <w:pPr>
        <w:pStyle w:val="ManualConsidrant"/>
        <w:rPr>
          <w:noProof/>
        </w:rPr>
      </w:pPr>
      <w:r>
        <w:rPr>
          <w:noProof/>
        </w:rPr>
        <w:t>(6)</w:t>
      </w:r>
      <w:r>
        <w:rPr>
          <w:noProof/>
        </w:rPr>
        <w:tab/>
        <w:t>Поради това е целесъобразно да се определи позицията на Съюза по отношение на процедурния правилник на Подкомитета по търговия и устойчиво развитие и списъка на лица, които желаят и мог</w:t>
      </w:r>
      <w:r>
        <w:rPr>
          <w:noProof/>
        </w:rPr>
        <w:t xml:space="preserve">ат да изпълняват функцията на експерти в процедурите на експертната комисия по търговия и устойчиво развитие, които </w:t>
      </w:r>
      <w:r>
        <w:rPr>
          <w:noProof/>
        </w:rPr>
        <w:lastRenderedPageBreak/>
        <w:t>да бъдат приети от този подкомитет, както и позицията по отношение на списъка на лица, които да изпълняват функцията на арбитри при уреждане</w:t>
      </w:r>
      <w:r>
        <w:rPr>
          <w:noProof/>
        </w:rPr>
        <w:t>то на спорове, който да бъде приет от Комитета за асоцииране в състав „Търговия“,</w:t>
      </w:r>
    </w:p>
    <w:p w:rsidR="001A73BA" w:rsidRDefault="0060630F"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 w:rsidR="001A73BA" w:rsidRDefault="0060630F">
      <w:pPr>
        <w:pStyle w:val="Titrearticle"/>
        <w:rPr>
          <w:noProof/>
        </w:rPr>
      </w:pPr>
      <w:r>
        <w:rPr>
          <w:noProof/>
        </w:rPr>
        <w:t>Член 1</w:t>
      </w:r>
    </w:p>
    <w:p w:rsidR="001A73BA" w:rsidRDefault="0060630F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Позицията, която Съюзът трябва да заеме в рамките на Подкомитета по търговия и устойчиво развитие, създаден по силата на член 240 от Спора</w:t>
      </w:r>
      <w:r>
        <w:rPr>
          <w:noProof/>
        </w:rPr>
        <w:t xml:space="preserve">зумението за асоцииране между Европейския съюз и Европейската общност за атомна енергия и техните държави членки, от една страна, и Грузия, от друга страна, във връзка с приемането на процедурния правилник на Подкомитета по търговия и устойчиво развитие и </w:t>
      </w:r>
      <w:r>
        <w:rPr>
          <w:noProof/>
        </w:rPr>
        <w:t>на списъка на лицата, които желаят и могат да изпълняват функцията на експерти в процедурите на експертната комисия по търговия и устойчиво развитие, се основава на приложените към настоящото решение проекти на решения на посочения подкомитет.</w:t>
      </w:r>
    </w:p>
    <w:p w:rsidR="001A73BA" w:rsidRDefault="0060630F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Представи</w:t>
      </w:r>
      <w:r>
        <w:rPr>
          <w:noProof/>
        </w:rPr>
        <w:t>телите на Съюза в Подкомитета по търговия и устойчиво развитие могат да одобрят незначителни промени в проектите на решения, без да е необходимо допълнително решение на Съвета.</w:t>
      </w:r>
    </w:p>
    <w:p w:rsidR="001A73BA" w:rsidRDefault="0060630F">
      <w:pPr>
        <w:pStyle w:val="Titrearticle"/>
        <w:rPr>
          <w:noProof/>
        </w:rPr>
      </w:pPr>
      <w:r>
        <w:rPr>
          <w:noProof/>
        </w:rPr>
        <w:t>Член 2</w:t>
      </w:r>
    </w:p>
    <w:p w:rsidR="001A73BA" w:rsidRDefault="0060630F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Позицията, която Съюзът трябва да заеме в рамките на Комитета за асоц</w:t>
      </w:r>
      <w:r>
        <w:rPr>
          <w:noProof/>
        </w:rPr>
        <w:t>ииране в състав „Търговия“, създаден по силата на член 408 от Споразумението за асоцииране между Европейския съюз и Европейската общност за атомна енергия и техните държави членки, от една страна, и Грузия, от друга страна, във връзка с приемането на списъ</w:t>
      </w:r>
      <w:r>
        <w:rPr>
          <w:noProof/>
        </w:rPr>
        <w:t>ка на лица, които да изпълняват функцията на арбитри при уреждането на спорове, се основава на приложения към настоящото решение проект на решение на посочения комитет.</w:t>
      </w:r>
    </w:p>
    <w:p w:rsidR="001A73BA" w:rsidRDefault="0060630F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Представителите на Съюза в Комитета за асоцииране в състав „Търговия“ могат да одобр</w:t>
      </w:r>
      <w:r>
        <w:rPr>
          <w:noProof/>
        </w:rPr>
        <w:t>ят незначителни промени в проекта на решение, без да е необходимо допълнително решение на Съвета.</w:t>
      </w:r>
    </w:p>
    <w:p w:rsidR="001A73BA" w:rsidRDefault="0060630F">
      <w:pPr>
        <w:pStyle w:val="Titrearticle"/>
        <w:rPr>
          <w:noProof/>
        </w:rPr>
      </w:pPr>
      <w:r>
        <w:rPr>
          <w:noProof/>
        </w:rPr>
        <w:t>Член 3</w:t>
      </w:r>
    </w:p>
    <w:p w:rsidR="001A73BA" w:rsidRDefault="0060630F">
      <w:pPr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 w:rsidR="001A73BA" w:rsidRDefault="0060630F"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 w:rsidR="001A73BA" w:rsidRDefault="0060630F"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 w:rsidR="001A73BA" w:rsidRDefault="0060630F"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 w:rsidR="001A73BA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30F" w:rsidRDefault="0060630F">
      <w:pPr>
        <w:spacing w:before="0" w:after="0"/>
      </w:pPr>
      <w:r>
        <w:separator/>
      </w:r>
    </w:p>
  </w:endnote>
  <w:endnote w:type="continuationSeparator" w:id="0">
    <w:p w:rsidR="0060630F" w:rsidRDefault="006063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3BA" w:rsidRDefault="0060630F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3BA" w:rsidRDefault="0060630F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A4675F">
      <w:rPr>
        <w:noProof/>
      </w:rPr>
      <w:t>7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3BA" w:rsidRDefault="001A73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30F" w:rsidRDefault="0060630F">
      <w:pPr>
        <w:spacing w:before="0" w:after="0"/>
      </w:pPr>
      <w:r>
        <w:separator/>
      </w:r>
    </w:p>
  </w:footnote>
  <w:footnote w:type="continuationSeparator" w:id="0">
    <w:p w:rsidR="0060630F" w:rsidRDefault="0060630F">
      <w:pPr>
        <w:spacing w:before="0" w:after="0"/>
      </w:pPr>
      <w:r>
        <w:continuationSeparator/>
      </w:r>
    </w:p>
  </w:footnote>
  <w:footnote w:id="1">
    <w:p w:rsidR="001A73BA" w:rsidRDefault="0060630F">
      <w:pPr>
        <w:pStyle w:val="FootnoteText"/>
      </w:pPr>
      <w:r>
        <w:rPr>
          <w:rStyle w:val="FootnoteReference"/>
        </w:rPr>
        <w:footnoteRef/>
      </w:r>
      <w:r>
        <w:tab/>
        <w:t>ОВ L 261, 30.8.2014 г., стр. 1.</w:t>
      </w:r>
    </w:p>
  </w:footnote>
  <w:footnote w:id="2">
    <w:p w:rsidR="001A73BA" w:rsidRDefault="0060630F">
      <w:pPr>
        <w:pStyle w:val="FootnoteText"/>
      </w:pPr>
      <w:r>
        <w:rPr>
          <w:rStyle w:val="FootnoteReference"/>
        </w:rPr>
        <w:footnoteRef/>
      </w:r>
      <w:r>
        <w:tab/>
        <w:t>Решение на Съвета от 16 юни 2014 г. за подписване от името на Европейския съюз и временно прилагане на Споразумението за асоцииране между Европейския съюз и Европейската общност за атомна енергия и техните държави членки, от една страна, и Грузия, от дру</w:t>
      </w:r>
      <w:r>
        <w:t xml:space="preserve">га страна (ОВ L 261, 30.8.2014 г., стр. 1).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38E9C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3145C1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50632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FFC1FA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4BCF52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E587F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792B8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BE629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4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doNotTrackMove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VERPAGE_EXISTS" w:val="True"/>
    <w:docVar w:name="DQCDateTime" w:val="2015-09-07 07:37:1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851F4BB82CFB446F82800C85D13EED5F"/>
    <w:docVar w:name="LW_CROSSREFERENCE" w:val="&lt;UNUSED&gt;"/>
    <w:docVar w:name="LW_DocType" w:val="COM"/>
    <w:docVar w:name="LW_EMISSION" w:val="16.9.2015"/>
    <w:docVar w:name="LW_EMISSION_ISODATE" w:val="2015-09-16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206"/>
    <w:docVar w:name="LW_REF.II.NEW.CP_YEAR" w:val="2015"/>
    <w:docVar w:name="LW_REF.INST.NEW" w:val="COM"/>
    <w:docVar w:name="LW_REF.INST.NEW_ADOPTED" w:val="final"/>
    <w:docVar w:name="LW_REF.INST.NEW_TEXT" w:val="(2015) 456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080?\u1090?\u1077?, \u1082?\u1086?\u1080?\u1090?\u1086? \u1076?\u1072? \u1073?\u1098?\u1076?\u1072?\u1090? \u1079?\u1072?\u1077?\u1090?\u1080? \u1086?\u1090? \u1080?\u1084?\u1077?\u1090?\u1086? \u1085?\u1072? \u1045?\u1074?\u1088?\u1086?\u1087?\u1077?\u1081?\u1089?\u1082?\u1080?\u1103? \u1089?\u1098?\u1102?\u1079? \u1074? \u1088?\u1072?\u1084?\u1082?\u1080?\u1090?\u1077? \u1085?\u1072? \u1055?\u1086?\u1076?\u1082?\u1086?\u1084?\u1080?\u1090?\u1077?\u1090?\u1072? \u1087?\u1086? \u1090?\u1098?\u1088?\u1075?\u1086?\u1074?\u1080?\u1103? \u1080? \u1091?\u1089?\u1090?\u1086?\u1081?\u1095?\u1080?\u1074?\u1086? \u1088?\u1072?\u1079?\u1074?\u1080?\u1090?\u1080?\u1077? \u1080? \u1085?\u1072? \u1050?\u1086?\u1084?\u1080?\u1090?\u1077?\u1090?\u1072? \u1079?\u1072? \u1072?\u1089?\u1086?\u1094?\u1080?\u1080?\u1088?\u1072?\u1085?\u1077? \u1074? \u1089?\u1098?\u1089?\u1090?\u1072?\u1074? \u8222?\u1058?\u1098?\u1088?\u1075?\u1086?\u1074?\u1080?\u1103?\u8220?, \u1089?\u1098?\u1079?\u1076?\u1072?\u1076?\u1077?\u1085?\u1080? \u1089?\u1098?\u1089? \u1057?\u1087?\u1086?\u1088?\u1072?\u1079?\u1091?\u1084?\u1077?\u1085?\u1080?\u1077?\u1090?\u1086? \u1079?\u1072? \u1072?\u1089?\u1086?\u1094?\u1080?\u1080?\u1088?\u1072?\u1085?\u1077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43?\u1088?\u1091?\u1079?\u1080?\u1103?, \u1086?\u1090? \u1076?\u1088?\u1091?\u1075?\u1072? \u1089?\u1090?\u1088?\u1072?\u1085?\u1072?"/>
    <w:docVar w:name="LW_TYPE.DOC.CP" w:val="\u1056?\u1045?\u1064?\u1045?\u1053?\u1048?\u1045? \u1053?\u1040? \u1057?\u1066?\u1042?\u1045?\u1058?\u1040?"/>
  </w:docVars>
  <w:rsids>
    <w:rsidRoot w:val="001A73BA"/>
    <w:rsid w:val="001A73BA"/>
    <w:rsid w:val="0060630F"/>
    <w:rsid w:val="00A4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before="120" w:after="120"/>
      <w:jc w:val="both"/>
    </w:pPr>
    <w:rPr>
      <w:rFonts w:ascii="Times New Roman" w:hAnsi="Times New Roman"/>
      <w:sz w:val="24"/>
      <w:szCs w:val="22"/>
      <w:lang w:val="bg-BG" w:eastAsia="bg-BG" w:bidi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="Times New Roman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="Times New Roman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pPr>
      <w:spacing w:after="200" w:line="276" w:lineRule="auto"/>
    </w:pPr>
    <w:rPr>
      <w:rFonts w:ascii="Times New Roman" w:hAnsi="Times New Roman"/>
      <w:sz w:val="24"/>
      <w:szCs w:val="22"/>
      <w:lang w:val="bg-BG" w:eastAsia="bg-BG" w:bidi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link w:val="Heading2"/>
    <w:uiPriority w:val="9"/>
    <w:semiHidden/>
    <w:rPr>
      <w:rFonts w:ascii="Times New Roman" w:eastAsia="Times New Roman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link w:val="Heading3"/>
    <w:uiPriority w:val="9"/>
    <w:semiHidden/>
    <w:rPr>
      <w:rFonts w:ascii="Times New Roman" w:eastAsia="Times New Roman" w:hAnsi="Times New Roman"/>
      <w:bCs/>
      <w:i/>
      <w:sz w:val="24"/>
      <w:lang w:val="en-GB"/>
    </w:rPr>
  </w:style>
  <w:style w:type="character" w:customStyle="1" w:styleId="Heading4Char">
    <w:name w:val="Heading 4 Char"/>
    <w:link w:val="Heading4"/>
    <w:uiPriority w:val="9"/>
    <w:semiHidden/>
    <w:rPr>
      <w:rFonts w:ascii="Times New Roman" w:eastAsia="Times New Roman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rPr>
      <w:color w:val="0000FF"/>
      <w:shd w:val="clear" w:color="auto" w:fill="auto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rPr>
      <w:b/>
      <w:u w:val="single"/>
      <w:shd w:val="clear" w:color="auto" w:fill="auto"/>
    </w:rPr>
  </w:style>
  <w:style w:type="character" w:customStyle="1" w:styleId="Deleted">
    <w:name w:val="Deleted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3</TotalTime>
  <Pages>7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LAGES CARVALHO Patrick (SG)</cp:lastModifiedBy>
  <cp:revision>19</cp:revision>
  <dcterms:created xsi:type="dcterms:W3CDTF">2015-09-04T13:11:00Z</dcterms:created>
  <dcterms:modified xsi:type="dcterms:W3CDTF">2015-09-07T06:01:00Z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20140113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Yellow (DQC version 03)</vt:lpwstr>
  </property>
</Properties>
</file>