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729F24CE31E042268049AF66AC0A4EF6" style="width:450.75pt;height:351.7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keepNext/>
        <w:spacing w:before="360"/>
        <w:outlineLvl w:val="0"/>
        <w:rPr>
          <w:rFonts w:eastAsia="Calibri"/>
          <w:b/>
          <w:smallCaps/>
          <w:noProof/>
        </w:rPr>
      </w:pPr>
      <w:r>
        <w:rPr>
          <w:b/>
          <w:smallCaps/>
          <w:noProof/>
        </w:rPr>
        <w:t>1.</w:t>
      </w:r>
      <w:r>
        <w:rPr>
          <w:noProof/>
        </w:rPr>
        <w:tab/>
      </w:r>
      <w:r>
        <w:rPr>
          <w:b/>
          <w:smallCaps/>
          <w:noProof/>
        </w:rPr>
        <w:t>КОНТЕКСТ НА ПРЕДЛОЖЕНИЕТО</w:t>
      </w:r>
    </w:p>
    <w:p>
      <w:pPr>
        <w:spacing w:before="0"/>
        <w:rPr>
          <w:rFonts w:eastAsia="Calibri"/>
          <w:noProof/>
          <w:szCs w:val="24"/>
        </w:rPr>
      </w:pPr>
      <w:r>
        <w:rPr>
          <w:noProof/>
        </w:rPr>
        <w:t>Вътрешното споразумение за създаване на единадесетия Европейски фонд за развитие (11-ия ЕФР) влезе в сила на 1 март 2015 г. след ратифицирането му от всички държави членки.</w:t>
      </w:r>
    </w:p>
    <w:p>
      <w:pPr>
        <w:spacing w:before="0"/>
        <w:rPr>
          <w:rFonts w:eastAsia="Calibri"/>
          <w:noProof/>
          <w:szCs w:val="24"/>
        </w:rPr>
      </w:pPr>
      <w:r>
        <w:rPr>
          <w:noProof/>
        </w:rPr>
        <w:t>Докато 11-ият ЕФР не е включен в бюджета на ЕС и финансовият пакет за него е определен във Вътрешното споразумение, средствата ще бъдат изпълнявани съгласно Финансовия регламент за 11-ия ЕФР, който е съобразен в максимална степен с Финансовия регламент и Правилата за неговото прилагане.</w:t>
      </w:r>
    </w:p>
    <w:p>
      <w:pPr>
        <w:spacing w:before="0"/>
        <w:rPr>
          <w:rFonts w:eastAsia="Calibri"/>
          <w:noProof/>
          <w:szCs w:val="24"/>
        </w:rPr>
      </w:pPr>
      <w:r>
        <w:rPr>
          <w:noProof/>
        </w:rPr>
        <w:t xml:space="preserve">Финансовият регламент за 11-ия ЕФР бе приет на 2 март 2015 г. и влезе в сила на 6 март 2015 г. </w:t>
      </w:r>
    </w:p>
    <w:p>
      <w:pPr>
        <w:spacing w:before="0"/>
        <w:rPr>
          <w:rFonts w:eastAsia="Calibri"/>
          <w:noProof/>
          <w:szCs w:val="24"/>
        </w:rPr>
      </w:pPr>
      <w:r>
        <w:rPr>
          <w:noProof/>
        </w:rPr>
        <w:t>Предлага се изясняване на действащите разпоредби. То отразява опита, натрупан напоследък по отношение на отчетите на ЕФР.</w:t>
      </w:r>
    </w:p>
    <w:p>
      <w:pPr>
        <w:autoSpaceDE w:val="0"/>
        <w:autoSpaceDN w:val="0"/>
        <w:adjustRightInd w:val="0"/>
        <w:spacing w:before="0" w:after="0"/>
        <w:rPr>
          <w:rFonts w:eastAsia="Calibri"/>
          <w:noProof/>
          <w:szCs w:val="24"/>
        </w:rPr>
      </w:pPr>
      <w:r>
        <w:rPr>
          <w:noProof/>
        </w:rPr>
        <w:t>Обосновката за изменението, предложено от Комисията, е представена по-долу.</w:t>
      </w:r>
    </w:p>
    <w:p>
      <w:pPr>
        <w:keepNext/>
        <w:spacing w:before="360"/>
        <w:outlineLvl w:val="0"/>
        <w:rPr>
          <w:rFonts w:eastAsia="Calibri"/>
          <w:b/>
          <w:smallCaps/>
          <w:noProof/>
        </w:rPr>
      </w:pPr>
      <w:r>
        <w:rPr>
          <w:b/>
          <w:smallCaps/>
          <w:noProof/>
        </w:rPr>
        <w:t>2.</w:t>
      </w:r>
      <w:r>
        <w:rPr>
          <w:noProof/>
        </w:rPr>
        <w:tab/>
      </w:r>
      <w:r>
        <w:rPr>
          <w:b/>
          <w:smallCaps/>
          <w:noProof/>
        </w:rPr>
        <w:t>СЪДЪРЖАНИЕ НА ПРЕДЛОЖЕНИЕТО</w:t>
      </w:r>
    </w:p>
    <w:p>
      <w:pPr>
        <w:spacing w:before="0"/>
        <w:rPr>
          <w:rFonts w:eastAsia="Calibri"/>
          <w:noProof/>
          <w:szCs w:val="24"/>
        </w:rPr>
      </w:pPr>
      <w:r>
        <w:rPr>
          <w:noProof/>
        </w:rPr>
        <w:t>Гарантиране, че по сметките „Европейска комисия—ЕФР“ (член 22, параграф 3 от Регламент (ЕС) 2015/323 на Съвета) не се начисляват такси и отрицателни лихви:</w:t>
      </w:r>
    </w:p>
    <w:p>
      <w:pPr>
        <w:spacing w:before="0"/>
        <w:rPr>
          <w:rFonts w:eastAsia="Calibri"/>
          <w:noProof/>
          <w:szCs w:val="24"/>
        </w:rPr>
      </w:pPr>
      <w:r>
        <w:rPr>
          <w:noProof/>
        </w:rPr>
        <w:t xml:space="preserve">Съгласно член 22, параграф 3 от Регламент (ЕС) 2015/323 на Съвета вноските за ЕФР се кредитират от всяка държава членка по специална сметка „Европейска комисия—Европейски фонд за развитие“, която се открива в централната банка на съответната държава членка или в посочена от нея финансова институция. </w:t>
      </w:r>
    </w:p>
    <w:p>
      <w:pPr>
        <w:spacing w:before="0"/>
        <w:rPr>
          <w:rFonts w:eastAsia="Calibri"/>
          <w:noProof/>
          <w:szCs w:val="24"/>
        </w:rPr>
      </w:pPr>
      <w:r>
        <w:rPr>
          <w:noProof/>
        </w:rPr>
        <w:t xml:space="preserve">Следва да бъде изяснено, че по тези специални сметки, открити от държавите членки на името на Комисията с цел депозиране на вноските за ЕФР, докато станат необходими за извършване на плащания, не трябва да се начисляват не само такси, но и лихви (положителни или отрицателни). Целта на тази разпоредба е да се предотвратят загуби за бюджета на ЕФР. Всяка такса, прилагана към тези сметки, би била равносилна на намаляване на наличните средства в бюджета на ЕФР. Във връзка с това отрицателните лихви също следва да се избягват, тъй като имат същия отрицателен ефект като таксите. Поради това се предлага съответната държава членка да компенсира бюджета на ЕФР за каквато и да е такса или отрицателна лихва, прилагани по отношение на сметката за средствата на ЕФР, открита от нея на името на Комисията съгласно член 22, параграф 3 от Регламент (ЕС) 2015/323 на Съвета. </w:t>
      </w:r>
    </w:p>
    <w:p>
      <w:pPr>
        <w:spacing w:before="0"/>
        <w:rPr>
          <w:rFonts w:eastAsia="Calibri"/>
          <w:noProof/>
          <w:szCs w:val="24"/>
        </w:rPr>
      </w:pPr>
      <w:r>
        <w:rPr>
          <w:noProof/>
        </w:rPr>
        <w:t>Това изменение допълнително гарантира, че бюджетът на ЕФР не е отрицателно засегнат от Решение 2014/337/ЕС (ЕЦБ/2014/23) на Европейската централна банка от 5 юни 2014 г.</w:t>
      </w:r>
      <w:r>
        <w:rPr>
          <w:rStyle w:val="FootnoteReference"/>
          <w:noProof/>
        </w:rPr>
        <w:footnoteReference w:id="2"/>
      </w:r>
      <w:r>
        <w:rPr>
          <w:noProof/>
        </w:rPr>
        <w:t>, в което се предвижда отрицателен лихвен процент, водещ до задължение за притежателите на депозити за плащане в полза на съответната национална централна банка (НЦБ), включително правото на тази НЦБ да дебитира съответната държавна депозитна сметка, или от подобни решения на други централни банки от ЕС, в които, в съответствие с член 22 от Регламент (ЕС) 2015/323 на Съвета, трябва да бъдат държани средства на ЕФР. В този контекст следва да се припомни, че досега Комисията не е искала държавите членки да начисляват лихви по сметките на ЕФР в случай на положителни лихвени проценти по депозитите на ЕЦБ.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2015/0213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Регламент (ЕС) 2015/323 от 2 март 2015 г. относно финансовия регламент, приложим за 11-ия Европейски фонд за развитие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 xml:space="preserve">като взе предвид Договора за Европейския съюз и Договора за функционирането на Европейския съюз, </w:t>
      </w:r>
    </w:p>
    <w:p>
      <w:pPr>
        <w:rPr>
          <w:noProof/>
          <w:szCs w:val="24"/>
        </w:rPr>
      </w:pPr>
      <w:r>
        <w:rPr>
          <w:noProof/>
        </w:rPr>
        <w:t>като взе предвид Вътрешното споразумение между представителите на правителствата на държавите — членки на Европейския съюз, заседаващи в рамките на Съвета, относно финансирането на помощта от Европейския съюз съгласно многогодишната финансова рамка за периода 2014—2020 г. в съответствие със Споразумението за партньорство АКТБ—ЕС и за разпределението на финансовата помощ за отвъдморските страни и територии, за които се прилага част четвърта от Договора за функционирането на Европейския съюз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(наричано по-нататък „Вътрешното споразумение“), и по-специално член 10, параграф 2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становището на Европейската сметна палата</w:t>
      </w:r>
      <w:r>
        <w:rPr>
          <w:rStyle w:val="FootnoteReference"/>
          <w:noProof/>
        </w:rPr>
        <w:footnoteReference w:id="4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като взе предвид становището на Европейската инвестиционна банка относно разпоредбите, които се отнасят до нея</w:t>
      </w:r>
      <w:r>
        <w:rPr>
          <w:rStyle w:val="FootnoteReference"/>
          <w:noProof/>
        </w:rPr>
        <w:footnoteReference w:id="5"/>
      </w:r>
      <w:r>
        <w:rPr>
          <w:noProof/>
        </w:rPr>
        <w:t>,</w:t>
      </w:r>
    </w:p>
    <w:p>
      <w:pPr>
        <w:rPr>
          <w:noProof/>
          <w:szCs w:val="24"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rFonts w:eastAsia="Calibri"/>
          <w:noProof/>
          <w:szCs w:val="24"/>
        </w:rPr>
      </w:pPr>
      <w:r>
        <w:t>(1)</w:t>
      </w:r>
      <w:r>
        <w:tab/>
      </w:r>
      <w:r>
        <w:rPr>
          <w:noProof/>
        </w:rPr>
        <w:t>На 5 юни 2014 г. Европейската централна банка прие решение</w:t>
      </w:r>
      <w:r>
        <w:rPr>
          <w:rStyle w:val="FootnoteReference"/>
          <w:noProof/>
        </w:rPr>
        <w:footnoteReference w:id="6"/>
      </w:r>
      <w:r>
        <w:rPr>
          <w:noProof/>
        </w:rPr>
        <w:t>, в което се предвижда отрицателен лихвен процент, водещ до задължение за притежателите на депозити за плащане в полза на съответната национална централна банка (НЦБ), включително правото на тази НЦБ да дебитира съответната държавна депозитна сметка. Други централни банки от ЕС, в които, в съответствие с член 22 от Финансовия регламент, приложим за 11-ия ЕФР, трябва да бъдат държани средства на ЕФР, приеха подобни решения.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Съгласно член 22, параграф 3 от Регламент (ЕС) 2015/323 на Съвета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от 2 март 2015 г. относно финансовия регламент, приложим за 11-ия Европейски фонд за развитие (11-и ЕФР), вноските за ЕФР се кредитират от всяка държава членка по специална сметка „Европейска комисия—Европейски фонд за развитие“, която се открива в централната банка на съответната държава членка или в посочена от нея финансова институция. </w:t>
      </w:r>
    </w:p>
    <w:p>
      <w:pPr>
        <w:pStyle w:val="ManualConsidrant"/>
        <w:rPr>
          <w:i/>
          <w:noProof/>
        </w:rPr>
      </w:pPr>
      <w:r>
        <w:t>(3)</w:t>
      </w:r>
      <w:r>
        <w:tab/>
      </w:r>
      <w:r>
        <w:rPr>
          <w:noProof/>
        </w:rPr>
        <w:t>Следва да бъде изяснено, че по тези специални сметки, открити от държавите членки на името на Комисията с цел депозиране на вноските за ЕФР, докато станат необходими за извършване на плащания, не трябва да бъдат начислявани никакви такси и лихви. Целта на тази разпоредба е да се предотвратят загуби за бюджета на ЕФР. Всяка такса, прилагана към тези сметки, би била равносилна на намаляване на наличните средства в бюджета на ЕФР. Във връзка с това отрицателните лихви също следва да се избягват, тъй като имат същия отрицателен ефект като таксите. Поради това съответната държава членка следва да компенсира бюджета на ЕФР за каквато и да е такса или отрицателна лихва, прилагани по отношение на сметката за средствата на ЕФР, открита от нея на името на Комисията съгласно член 22, параграф 3 от Регламент (ЕС) 2015/323 на Съвета.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Поради това Регламент (ЕС) 2015/323 следва да бъде съответно изменен,</w:t>
      </w:r>
    </w:p>
    <w:p>
      <w:pPr>
        <w:pStyle w:val="Formuledadoption"/>
        <w:rPr>
          <w:noProof/>
        </w:rPr>
      </w:pPr>
      <w:r>
        <w:rPr>
          <w:noProof/>
        </w:rPr>
        <w:t>ПРИЕ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 22 от Регламент (ЕС) 2015/323 се заменя със следното:</w:t>
      </w:r>
    </w:p>
    <w:p>
      <w:pPr>
        <w:spacing w:before="360"/>
        <w:jc w:val="center"/>
        <w:rPr>
          <w:rFonts w:eastAsia="Times New Roman"/>
          <w:i/>
          <w:iCs/>
          <w:noProof/>
          <w:color w:val="000000"/>
          <w:szCs w:val="24"/>
        </w:rPr>
      </w:pPr>
      <w:r>
        <w:rPr>
          <w:i/>
          <w:noProof/>
          <w:color w:val="000000"/>
        </w:rPr>
        <w:t>„Член 22</w:t>
      </w:r>
    </w:p>
    <w:p>
      <w:pPr>
        <w:spacing w:before="60"/>
        <w:jc w:val="center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noProof/>
          <w:color w:val="000000"/>
        </w:rPr>
        <w:t>Плащане на частите на вноските</w:t>
      </w:r>
    </w:p>
    <w:p>
      <w:pPr>
        <w:spacing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1. Поканите за вноски първо усвояват, една след друга, сумите, предвидени за предходни Европейски фондове за развитие.</w:t>
      </w:r>
    </w:p>
    <w:p>
      <w:pPr>
        <w:spacing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2. Вноските на държавите членки се определят в евро и се заплащат в евро.</w:t>
      </w:r>
    </w:p>
    <w:p>
      <w:pPr>
        <w:spacing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3. Вноската, посочена в член 21, параграф 7, буква а), се кредитира от всяка държава членка по специална сметка „Европейска комисия—Европейски фонд за развитие“, която се открива в централната банка на съответната държава членка или в посочена от нея финансова институция. Сумата по тези вноски остава в тези специални сметки до момента, когато трябва да бъдат направени плащанията. Комисията се стреми да прави всички тегления от специалните сметки по такъв начин, че да поддържа разпределение на активите в тези сметки, което съответства на алгоритъма за вноските съгласно член 1, параграф 2, буква а) от Вътрешното споразумение.</w:t>
      </w:r>
    </w:p>
    <w:p>
      <w:pPr>
        <w:spacing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Вноската, посочена в член 21, параграф 7, буква б) от настоящия регламент, се кредитира от всяка държава членка в съответствие с член 53, параграф 1.</w:t>
      </w:r>
    </w:p>
    <w:p>
      <w:pPr>
        <w:spacing w:after="0"/>
        <w:rPr>
          <w:rStyle w:val="Added"/>
          <w:b w:val="0"/>
          <w:noProof/>
          <w:u w:val="none"/>
        </w:rPr>
      </w:pPr>
      <w:r>
        <w:rPr>
          <w:rStyle w:val="Added"/>
          <w:b w:val="0"/>
          <w:noProof/>
          <w:u w:val="none"/>
        </w:rPr>
        <w:t xml:space="preserve">4. По сметката, посочена в параграф 3, не се начисляват никакви такси и лихви. </w:t>
      </w:r>
    </w:p>
    <w:p>
      <w:pPr>
        <w:spacing w:after="0"/>
        <w:rPr>
          <w:noProof/>
          <w:color w:val="000000"/>
        </w:rPr>
      </w:pPr>
      <w:r>
        <w:rPr>
          <w:rStyle w:val="Added"/>
          <w:b w:val="0"/>
          <w:noProof/>
          <w:u w:val="none"/>
        </w:rPr>
        <w:t>5. Всяка държава членка обезщетява Комисията за всички такси или отрицателни лихви, приложени към тази сметка, на първия работен ден на втория месец след прилагането на тези такси или отрицателни лихви.“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на третия ден след деня на публикуването му в </w:t>
      </w:r>
      <w:r>
        <w:rPr>
          <w:rStyle w:val="italic"/>
          <w:noProof/>
          <w:color w:val="000000"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  <w:rPr>
          <w:rFonts w:ascii="Calibri" w:hAnsi="Calibri"/>
        </w:rPr>
      </w:pPr>
      <w:r>
        <w:rPr>
          <w:rStyle w:val="FootnoteReference"/>
        </w:rPr>
        <w:footnoteRef/>
      </w:r>
      <w:r>
        <w:tab/>
        <w:t>2014/337/ЕС: Решение на Европейската централна банка от 5 юни 2014 г. относно олихвяването на депозити, салда и наличности от свръхрезерви (ЕЦБ/2014/23), ОВ L 168, 7.6.2014 г., стр. 115.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ОВ L 210, 6.8.2013 г., стр. 1.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ОВ С […], […] г., стр. […].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ОВ C […], […] г., стр. […].</w:t>
      </w:r>
    </w:p>
  </w:footnote>
  <w:footnote w:id="6">
    <w:p>
      <w:pPr>
        <w:pStyle w:val="FootnoteText"/>
        <w:rPr>
          <w:rFonts w:ascii="Calibri" w:hAnsi="Calibri"/>
        </w:rPr>
      </w:pPr>
      <w:r>
        <w:rPr>
          <w:rStyle w:val="FootnoteReference"/>
        </w:rPr>
        <w:footnoteRef/>
      </w:r>
      <w:r>
        <w:tab/>
        <w:t>2014/337/ЕС: Решение на Европейската централна банка от 5 юни 2014 г. относно олихвяването на депозити, салда и наличности от свръхрезерви (ЕЦБ/2014/23), ОВ L 168, 7.6.2014 г., стр. 115.</w:t>
      </w:r>
    </w:p>
  </w:footnote>
  <w:footnote w:id="7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ОВ L 58, 3.3.2015 г., стр. 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856DA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E9AC7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052D1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484A9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AF4C3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16A81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44235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FFEA38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9-15 13:25:26"/>
    <w:docVar w:name="DQCRepairStyles" w:val=";Considérant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729F24CE31E042268049AF66AC0A4EF6"/>
    <w:docVar w:name="LW_CROSSREFERENCE" w:val="&lt;UNUSED&gt;"/>
    <w:docVar w:name="LW_DocType" w:val="COM"/>
    <w:docVar w:name="LW_EMISSION" w:val="16.9.2015"/>
    <w:docVar w:name="LW_EMISSION_ISODATE" w:val="2015-09-16"/>
    <w:docVar w:name="LW_EMISSION_LOCATION" w:val="BRX"/>
    <w:docVar w:name="LW_EMISSION_PREFIX" w:val="Брюксел, "/>
    <w:docVar w:name="LW_EMISSION_SUFFIX" w:val=" \u1075?."/>
    <w:docVar w:name="LW_ID_DOCMODEL" w:val="SJ-016"/>
    <w:docVar w:name="LW_ID_DOCSIGNATURE" w:val="SJ-016"/>
    <w:docVar w:name="LW_ID_DOCSTRUCTURE" w:val="COM/PL/ORG"/>
    <w:docVar w:name="LW_ID_DOCTYPE" w:val="SJ-016"/>
    <w:docVar w:name="LW_ID_STATUT" w:val="SJ-016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13"/>
    <w:docVar w:name="LW_REF.II.NEW.CP_YEAR" w:val="2015"/>
    <w:docVar w:name="LW_REF.INST.NEW" w:val="COM"/>
    <w:docVar w:name="LW_REF.INST.NEW_ADOPTED" w:val="final"/>
    <w:docVar w:name="LW_REF.INST.NEW_TEXT" w:val="(2015) 463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 (\u1045?\u1057?) 2015/323 \u1086?\u1090? 2 \u1084?\u1072?\u1088?\u1090? 2015 \u1075?. \u1086?\u1090?\u1085?\u1086?\u1089?\u1085?\u1086? \u1092?\u1080?\u1085?\u1072?\u1085?\u1089?\u1086?\u1074?\u1080?\u1103? \u1088?\u1077?\u1075?\u1083?\u1072?\u1084?\u1077?\u1085?\u1090?, \u1087?\u1088?\u1080?\u1083?\u1086?\u1078?\u1080?\u1084? \u1079?\u1072? 11-\u1080?\u1103? \u1045?\u1074?\u1088?\u1086?\u1087?\u1077?\u1081?\u1089?\u1082?\u1080? \u1092?\u1086?\u1085?\u1076? \u1079?\u1072? \u1088?\u1072?\u1079?\u1074?\u1080?\u1090?\u1080?\u1077?"/>
    <w:docVar w:name="LW_TYPE.DOC.CP" w:val="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before="0"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  <w:lang w:val="bg-BG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Normal1">
    <w:name w:val="Normal1"/>
    <w:basedOn w:val="Normal"/>
    <w:pPr>
      <w:spacing w:after="0"/>
    </w:pPr>
    <w:rPr>
      <w:rFonts w:eastAsia="Times New Roman"/>
      <w:szCs w:val="24"/>
    </w:rPr>
  </w:style>
  <w:style w:type="paragraph" w:customStyle="1" w:styleId="sti-art">
    <w:name w:val="sti-art"/>
    <w:basedOn w:val="Normal"/>
    <w:pPr>
      <w:spacing w:before="60"/>
      <w:jc w:val="center"/>
    </w:pPr>
    <w:rPr>
      <w:rFonts w:eastAsia="Times New Roman"/>
      <w:b/>
      <w:bCs/>
      <w:szCs w:val="24"/>
    </w:rPr>
  </w:style>
  <w:style w:type="paragraph" w:customStyle="1" w:styleId="ti-art">
    <w:name w:val="ti-art"/>
    <w:basedOn w:val="Normal"/>
    <w:pPr>
      <w:spacing w:before="360"/>
      <w:jc w:val="center"/>
    </w:pPr>
    <w:rPr>
      <w:rFonts w:eastAsia="Times New Roman"/>
      <w:i/>
      <w:iCs/>
      <w:szCs w:val="24"/>
    </w:rPr>
  </w:style>
  <w:style w:type="character" w:customStyle="1" w:styleId="italic">
    <w:name w:val="italic"/>
    <w:rPr>
      <w:i/>
      <w:iCs/>
    </w:rPr>
  </w:style>
  <w:style w:type="paragraph" w:customStyle="1" w:styleId="doc-ti">
    <w:name w:val="doc-ti"/>
    <w:basedOn w:val="Normal"/>
    <w:pPr>
      <w:spacing w:before="240"/>
      <w:jc w:val="center"/>
    </w:pPr>
    <w:rPr>
      <w:rFonts w:eastAsia="Times New Roman"/>
      <w:b/>
      <w:bCs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 w:line="240" w:lineRule="auto"/>
      <w:jc w:val="both"/>
    </w:pPr>
    <w:rPr>
      <w:rFonts w:ascii="Times New Roman" w:eastAsiaTheme="minorHAnsi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2">
    <w:name w:val="List Number 2"/>
    <w:basedOn w:val="Normal"/>
    <w:pPr>
      <w:numPr>
        <w:numId w:val="5"/>
      </w:numPr>
      <w:contextualSpacing/>
    </w:pPr>
    <w:rPr>
      <w:rFonts w:eastAsia="Times New Roman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Normal2">
    <w:name w:val="Normal2"/>
    <w:basedOn w:val="Normal"/>
    <w:pPr>
      <w:spacing w:after="0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before="0"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  <w:lang w:val="bg-BG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Normal1">
    <w:name w:val="Normal1"/>
    <w:basedOn w:val="Normal"/>
    <w:pPr>
      <w:spacing w:after="0"/>
    </w:pPr>
    <w:rPr>
      <w:rFonts w:eastAsia="Times New Roman"/>
      <w:szCs w:val="24"/>
    </w:rPr>
  </w:style>
  <w:style w:type="paragraph" w:customStyle="1" w:styleId="sti-art">
    <w:name w:val="sti-art"/>
    <w:basedOn w:val="Normal"/>
    <w:pPr>
      <w:spacing w:before="60"/>
      <w:jc w:val="center"/>
    </w:pPr>
    <w:rPr>
      <w:rFonts w:eastAsia="Times New Roman"/>
      <w:b/>
      <w:bCs/>
      <w:szCs w:val="24"/>
    </w:rPr>
  </w:style>
  <w:style w:type="paragraph" w:customStyle="1" w:styleId="ti-art">
    <w:name w:val="ti-art"/>
    <w:basedOn w:val="Normal"/>
    <w:pPr>
      <w:spacing w:before="360"/>
      <w:jc w:val="center"/>
    </w:pPr>
    <w:rPr>
      <w:rFonts w:eastAsia="Times New Roman"/>
      <w:i/>
      <w:iCs/>
      <w:szCs w:val="24"/>
    </w:rPr>
  </w:style>
  <w:style w:type="character" w:customStyle="1" w:styleId="italic">
    <w:name w:val="italic"/>
    <w:rPr>
      <w:i/>
      <w:iCs/>
    </w:rPr>
  </w:style>
  <w:style w:type="paragraph" w:customStyle="1" w:styleId="doc-ti">
    <w:name w:val="doc-ti"/>
    <w:basedOn w:val="Normal"/>
    <w:pPr>
      <w:spacing w:before="240"/>
      <w:jc w:val="center"/>
    </w:pPr>
    <w:rPr>
      <w:rFonts w:eastAsia="Times New Roman"/>
      <w:b/>
      <w:bCs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 w:line="240" w:lineRule="auto"/>
      <w:jc w:val="both"/>
    </w:pPr>
    <w:rPr>
      <w:rFonts w:ascii="Times New Roman" w:eastAsiaTheme="minorHAnsi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2">
    <w:name w:val="List Number 2"/>
    <w:basedOn w:val="Normal"/>
    <w:pPr>
      <w:numPr>
        <w:numId w:val="5"/>
      </w:numPr>
      <w:contextualSpacing/>
    </w:pPr>
    <w:rPr>
      <w:rFonts w:eastAsia="Times New Roman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Normal2">
    <w:name w:val="Normal2"/>
    <w:basedOn w:val="Normal"/>
    <w:pPr>
      <w:spacing w:after="0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9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1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8212">
          <w:marLeft w:val="810"/>
          <w:marRight w:val="8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EB44-A1CF-46AF-B38E-9B3022B0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6</Pages>
  <Words>1179</Words>
  <Characters>6407</Characters>
  <Application>Microsoft Office Word</Application>
  <DocSecurity>0</DocSecurity>
  <Lines>123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2015-07-28T13:35:00Z</cp:lastPrinted>
  <dcterms:created xsi:type="dcterms:W3CDTF">2015-09-09T08:04:00Z</dcterms:created>
  <dcterms:modified xsi:type="dcterms:W3CDTF">2015-09-15T11:25:00Z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SJ-016</vt:lpwstr>
  </property>
  <property fmtid="{D5CDD505-2E9C-101B-9397-08002B2CF9AE}" pid="10" name="DQCStatus">
    <vt:lpwstr>Green (DQC version 03)</vt:lpwstr>
  </property>
</Properties>
</file>