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DD24E83CC189437288D225D6E3BEBDC7" style="width:450.75pt;height:33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CORRIGENDUM</w:t>
      </w:r>
    </w:p>
    <w:p>
      <w:pPr>
        <w:pStyle w:val="Titreobjet"/>
        <w:rPr>
          <w:noProof/>
        </w:rPr>
      </w:pPr>
      <w:bookmarkStart w:id="1" w:name="_CopyToNewDocument_"/>
      <w:r>
        <w:rPr>
          <w:noProof/>
        </w:rPr>
        <w:t>to Commission Delegated Decision C(2015) 3754 final of 5.6.2015 on the equivalence of the solvency and prudential regime for insurance and reinsurance</w:t>
      </w:r>
      <w:r>
        <w:rPr>
          <w:noProof/>
        </w:rPr>
        <w:br/>
        <w:t>undertakings in force in Switzerland based on Articles 172 (2), 227(4) and 260(3) of</w:t>
      </w:r>
      <w:r>
        <w:rPr>
          <w:noProof/>
        </w:rPr>
        <w:br/>
        <w:t>Directive 2009/138/EC of the European Parliament and of the Council</w:t>
      </w:r>
    </w:p>
    <w:bookmarkEnd w:id="1"/>
    <w:p>
      <w:pPr>
        <w:autoSpaceDE w:val="0"/>
        <w:autoSpaceDN w:val="0"/>
        <w:adjustRightInd w:val="0"/>
        <w:rPr>
          <w:rFonts w:ascii="EUAlbertina" w:hAnsi="EUAlbertina"/>
          <w:noProof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  <w:t>On page 9, in Article 2,</w:t>
      </w:r>
    </w:p>
    <w:p>
      <w:pPr>
        <w:autoSpaceDE w:val="0"/>
        <w:autoSpaceDN w:val="0"/>
        <w:adjustRightInd w:val="0"/>
        <w:rPr>
          <w:i/>
          <w:noProof/>
        </w:rPr>
      </w:pPr>
      <w:r>
        <w:rPr>
          <w:i/>
          <w:noProof/>
        </w:rPr>
        <w:t>for:</w:t>
      </w:r>
      <w:r>
        <w:rPr>
          <w:noProof/>
        </w:rPr>
        <w:t xml:space="preserve"> 'Title I of, Chapter VI of Directive 2009/138/EU'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read</w:t>
      </w:r>
      <w:r>
        <w:rPr>
          <w:noProof/>
        </w:rPr>
        <w:t>: 'Chapter VI of Title I of Directive 2009/138/EU'.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6BA29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FBC47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56EF0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25A71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DA4F9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55A31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97A2A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6202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9-16 14:29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VERPAGE_GUID" w:val="DD24E83CC189437288D225D6E3BEBDC7"/>
    <w:docVar w:name="LW_CROSSREFERENCE" w:val="&lt;UNUSED&gt;"/>
    <w:docVar w:name="LW_DocType" w:val="COM"/>
    <w:docVar w:name="LW_EMISSION" w:val="16.9.2015"/>
    <w:docVar w:name="LW_EMISSION_ISODATE" w:val="2015-09-16"/>
    <w:docVar w:name="LW_EMISSION_LOCATION" w:val="BRX"/>
    <w:docVar w:name="LW_EMISSION_PREFIX" w:val="Brussels, "/>
    <w:docVar w:name="LW_EMISSION_SUFFIX" w:val=" "/>
    <w:docVar w:name="LW_ID_DOCMODEL" w:val="SG-035"/>
    <w:docVar w:name="LW_ID_DOCSTRUCTURE" w:val="COM/PRELIM/CORR"/>
    <w:docVar w:name="LW_ID_DOCTYPE" w:val="SG-035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5) 6203"/>
    <w:docVar w:name="LW_REF.INTERNE" w:val="&lt;UNUSED&gt;"/>
    <w:docVar w:name="LW_SOUS.TITRE.OBJ.CP" w:val="&lt;UNUSED&gt;"/>
    <w:docVar w:name="LW_SUPERTITRE" w:val="&lt;UNUSED&gt;"/>
    <w:docVar w:name="LW_TITRE.OBJ.CP" w:val="to Commission Delegated Decision C(2015) 3754 final of 5.6.2015 on the equivalence of the solvency and prudential regime for insurance and reinsurance_x000b_undertakings in force in Switzerland based on Articles 172 (2), 227(4) and 260(3) of_x000b_Directive 2009/138/EC of the European Parliament and of the Council"/>
    <w:docVar w:name="LW_TYPE.DOC.CP" w:val="CORRIGENDUM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2</Pages>
  <Words>72</Words>
  <Characters>387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dcterms:created xsi:type="dcterms:W3CDTF">2015-08-24T14:54:00Z</dcterms:created>
  <dcterms:modified xsi:type="dcterms:W3CDTF">2015-09-16T12:29:00Z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SG-035</vt:lpwstr>
  </property>
  <property fmtid="{D5CDD505-2E9C-101B-9397-08002B2CF9AE}" pid="10" name="DQCStatus">
    <vt:lpwstr>Green (DQC version 03)</vt:lpwstr>
  </property>
</Properties>
</file>