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8D33AB" w:rsidRDefault="00BC2B10" w:rsidP="008D33A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9eb905-d588-4082-bae4-6e5dfa07603f_0" style="width:568.5pt;height:489.75pt">
            <v:imagedata r:id="rId8" o:title=""/>
          </v:shape>
        </w:pict>
      </w:r>
      <w:bookmarkEnd w:id="0"/>
    </w:p>
    <w:p w:rsidR="008D66DC" w:rsidRPr="008D33AB" w:rsidRDefault="008D66DC" w:rsidP="008D66DC">
      <w:pPr>
        <w:numPr>
          <w:ilvl w:val="0"/>
          <w:numId w:val="30"/>
        </w:numPr>
        <w:tabs>
          <w:tab w:val="clear" w:pos="567"/>
        </w:tabs>
      </w:pPr>
      <w:r w:rsidRPr="008D33AB">
        <w:t>Приемане на предварителния дневен ред</w:t>
      </w:r>
    </w:p>
    <w:p w:rsidR="008D66DC" w:rsidRPr="008D33AB" w:rsidRDefault="008D66DC" w:rsidP="00220A4B">
      <w:pPr>
        <w:pStyle w:val="Title"/>
        <w:spacing w:after="0"/>
        <w:rPr>
          <w:i w:val="0"/>
          <w:iCs/>
        </w:rPr>
      </w:pPr>
      <w:r w:rsidRPr="008D33AB">
        <w:rPr>
          <w:i w:val="0"/>
        </w:rPr>
        <w:t>Обсъждания на законодателни актове</w:t>
      </w:r>
    </w:p>
    <w:p w:rsidR="008D66DC" w:rsidRPr="008D33AB" w:rsidRDefault="008D66DC" w:rsidP="008D66DC">
      <w:pPr>
        <w:jc w:val="center"/>
        <w:rPr>
          <w:b/>
          <w:bCs/>
        </w:rPr>
      </w:pPr>
      <w:r w:rsidRPr="008D33AB">
        <w:rPr>
          <w:b/>
        </w:rPr>
        <w:t>(открито обсъждане съгласно член 16, параграф 8 от Договора за Европейския съюз)</w:t>
      </w:r>
    </w:p>
    <w:p w:rsidR="008D66DC" w:rsidRPr="008D33AB" w:rsidRDefault="008D66DC" w:rsidP="008D66DC">
      <w:pPr>
        <w:jc w:val="center"/>
        <w:rPr>
          <w:i/>
          <w:iCs/>
        </w:rPr>
      </w:pPr>
    </w:p>
    <w:p w:rsidR="008D66DC" w:rsidRPr="008D33AB" w:rsidRDefault="00E5103D" w:rsidP="00220A4B">
      <w:pPr>
        <w:pStyle w:val="PointManual"/>
      </w:pPr>
      <w:r w:rsidRPr="008D33AB">
        <w:t>–</w:t>
      </w:r>
      <w:r w:rsidRPr="008D33AB">
        <w:tab/>
        <w:t xml:space="preserve">(евентуално) Одобряване на списъка на точки А </w:t>
      </w:r>
    </w:p>
    <w:p w:rsidR="008D66DC" w:rsidRPr="008D33AB" w:rsidRDefault="00E5103D" w:rsidP="00220A4B">
      <w:pPr>
        <w:pStyle w:val="PointManual"/>
      </w:pPr>
      <w:r w:rsidRPr="008D33AB">
        <w:t>–</w:t>
      </w:r>
      <w:r w:rsidRPr="008D33AB">
        <w:tab/>
        <w:t>Задължителен автоматичен обмен на информация в областта на данъчното облагане (*)</w:t>
      </w:r>
    </w:p>
    <w:p w:rsidR="008D66DC" w:rsidRPr="008D33AB" w:rsidRDefault="008D66DC" w:rsidP="00085027">
      <w:pPr>
        <w:pStyle w:val="Dash1"/>
      </w:pPr>
      <w:r w:rsidRPr="008D33AB">
        <w:t>Предложение за директива на Съвета за изменение на Директива 2011/16/ЕС по отношение на задължителния автоматичен обмен на информация в областта на данъчното облагане</w:t>
      </w:r>
    </w:p>
    <w:p w:rsidR="008D66DC" w:rsidRPr="008D33AB" w:rsidRDefault="008D66DC" w:rsidP="00220A4B">
      <w:pPr>
        <w:pStyle w:val="DashEqual2"/>
      </w:pPr>
      <w:r w:rsidRPr="008D33AB">
        <w:t>Политическо споразумение</w:t>
      </w:r>
    </w:p>
    <w:p w:rsidR="008D66DC" w:rsidRPr="008D33AB" w:rsidRDefault="002D344B" w:rsidP="00220A4B">
      <w:pPr>
        <w:pStyle w:val="PointManual"/>
      </w:pPr>
      <w:r w:rsidRPr="008D33AB">
        <w:br w:type="page"/>
      </w:r>
      <w:r w:rsidRPr="008D33AB">
        <w:lastRenderedPageBreak/>
        <w:t>–</w:t>
      </w:r>
      <w:r w:rsidRPr="008D33AB">
        <w:tab/>
        <w:t>Други въпроси</w:t>
      </w:r>
    </w:p>
    <w:p w:rsidR="008D66DC" w:rsidRPr="008D33AB" w:rsidRDefault="008D66DC" w:rsidP="00085027">
      <w:pPr>
        <w:pStyle w:val="Dash1"/>
      </w:pPr>
      <w:r w:rsidRPr="008D33AB">
        <w:t>Текущи законодателни предложения</w:t>
      </w:r>
    </w:p>
    <w:p w:rsidR="008D66DC" w:rsidRPr="008D33AB" w:rsidRDefault="008D66DC" w:rsidP="008D66DC">
      <w:pPr>
        <w:ind w:left="567" w:firstLine="567"/>
      </w:pPr>
      <w:r w:rsidRPr="008D33AB">
        <w:rPr>
          <w:i/>
        </w:rPr>
        <w:t>=</w:t>
      </w:r>
      <w:r w:rsidRPr="008D33AB">
        <w:tab/>
        <w:t>Информация от председателството</w:t>
      </w:r>
    </w:p>
    <w:p w:rsidR="008D66DC" w:rsidRPr="008D33AB" w:rsidRDefault="008D66DC" w:rsidP="00220A4B">
      <w:pPr>
        <w:pStyle w:val="Title"/>
        <w:rPr>
          <w:i w:val="0"/>
          <w:iCs/>
        </w:rPr>
      </w:pPr>
      <w:r w:rsidRPr="008D33AB">
        <w:rPr>
          <w:i w:val="0"/>
        </w:rPr>
        <w:t>Незаконодателни дейности</w:t>
      </w:r>
    </w:p>
    <w:p w:rsidR="008D66DC" w:rsidRPr="008D33AB" w:rsidRDefault="00E5103D" w:rsidP="00247F36">
      <w:pPr>
        <w:pStyle w:val="PointManual"/>
      </w:pPr>
      <w:r w:rsidRPr="008D33AB">
        <w:t>–</w:t>
      </w:r>
      <w:r w:rsidRPr="008D33AB">
        <w:tab/>
        <w:t xml:space="preserve">(евентуално) Одобряване на списъка на точки „А“ </w:t>
      </w:r>
    </w:p>
    <w:p w:rsidR="008D66DC" w:rsidRPr="008D33AB" w:rsidRDefault="00E5103D" w:rsidP="00220A4B">
      <w:pPr>
        <w:pStyle w:val="PointManual"/>
      </w:pPr>
      <w:r w:rsidRPr="008D33AB">
        <w:t>–</w:t>
      </w:r>
      <w:r w:rsidRPr="008D33AB">
        <w:tab/>
        <w:t>Изграждане на банковия съюз</w:t>
      </w:r>
    </w:p>
    <w:p w:rsidR="008D66DC" w:rsidRPr="008D33AB" w:rsidRDefault="008D66DC" w:rsidP="008D66DC">
      <w:pPr>
        <w:ind w:left="1134" w:hanging="567"/>
        <w:outlineLvl w:val="0"/>
      </w:pPr>
      <w:r w:rsidRPr="008D33AB">
        <w:rPr>
          <w:i/>
        </w:rPr>
        <w:t>=</w:t>
      </w:r>
      <w:r w:rsidRPr="008D33AB">
        <w:tab/>
        <w:t>Информация за актуалното състояние на съответните досиета</w:t>
      </w:r>
    </w:p>
    <w:p w:rsidR="008D66DC" w:rsidRPr="008D33AB" w:rsidRDefault="00E5103D" w:rsidP="00220A4B">
      <w:pPr>
        <w:pStyle w:val="PointManual"/>
      </w:pPr>
      <w:r w:rsidRPr="008D33AB">
        <w:t>–</w:t>
      </w:r>
      <w:r w:rsidRPr="008D33AB">
        <w:tab/>
        <w:t>(евентуално) Съюз на капиталовите пазари</w:t>
      </w:r>
    </w:p>
    <w:p w:rsidR="008D66DC" w:rsidRPr="008D33AB" w:rsidRDefault="008D66DC" w:rsidP="008D66DC">
      <w:pPr>
        <w:ind w:left="1134" w:hanging="567"/>
        <w:outlineLvl w:val="0"/>
      </w:pPr>
      <w:r w:rsidRPr="008D33AB">
        <w:rPr>
          <w:i/>
        </w:rPr>
        <w:t>=</w:t>
      </w:r>
      <w:r w:rsidRPr="008D33AB">
        <w:tab/>
        <w:t>Представяне на плана за действие от Комисията и обмен на мнения</w:t>
      </w:r>
    </w:p>
    <w:p w:rsidR="008D66DC" w:rsidRPr="008D33AB" w:rsidRDefault="00E5103D" w:rsidP="00220A4B">
      <w:pPr>
        <w:pStyle w:val="PointManual"/>
      </w:pPr>
      <w:r w:rsidRPr="008D33AB">
        <w:t>–</w:t>
      </w:r>
      <w:r w:rsidRPr="008D33AB">
        <w:tab/>
        <w:t>(евентуално) Единен механизъм за преструктуриране (*)</w:t>
      </w:r>
    </w:p>
    <w:p w:rsidR="008D66DC" w:rsidRPr="008D33AB" w:rsidRDefault="008D66DC" w:rsidP="00085027">
      <w:pPr>
        <w:pStyle w:val="Dash1"/>
      </w:pPr>
      <w:r w:rsidRPr="008D33AB">
        <w:t>Условия за мостовото финансиране</w:t>
      </w:r>
    </w:p>
    <w:p w:rsidR="008D66DC" w:rsidRPr="008D33AB" w:rsidRDefault="008D66DC" w:rsidP="008D66DC">
      <w:pPr>
        <w:ind w:left="1701" w:hanging="567"/>
        <w:outlineLvl w:val="1"/>
      </w:pPr>
      <w:r w:rsidRPr="008D33AB">
        <w:rPr>
          <w:i/>
        </w:rPr>
        <w:t>=</w:t>
      </w:r>
      <w:r w:rsidRPr="008D33AB">
        <w:tab/>
        <w:t>Политическо споразумение</w:t>
      </w:r>
    </w:p>
    <w:p w:rsidR="008D66DC" w:rsidRPr="008D33AB" w:rsidRDefault="00E5103D" w:rsidP="00220A4B">
      <w:pPr>
        <w:pStyle w:val="PointManual"/>
      </w:pPr>
      <w:r w:rsidRPr="008D33AB">
        <w:t>–</w:t>
      </w:r>
      <w:r w:rsidRPr="008D33AB">
        <w:tab/>
        <w:t>Европейски семестър 2015 г. — извлечени поуки</w:t>
      </w:r>
      <w:r w:rsidRPr="008D33AB">
        <w:tab/>
        <w:t>Обмен на мнения</w:t>
      </w:r>
    </w:p>
    <w:p w:rsidR="008D66DC" w:rsidRPr="008D33AB" w:rsidRDefault="00E5103D" w:rsidP="00220A4B">
      <w:pPr>
        <w:pStyle w:val="PointManual"/>
      </w:pPr>
      <w:r w:rsidRPr="008D33AB">
        <w:t>–</w:t>
      </w:r>
      <w:r w:rsidRPr="008D33AB">
        <w:tab/>
        <w:t>Пакт за стабилност и растеж</w:t>
      </w:r>
    </w:p>
    <w:p w:rsidR="008D66DC" w:rsidRPr="008D33AB" w:rsidRDefault="008D66DC" w:rsidP="00085027">
      <w:pPr>
        <w:pStyle w:val="Dash1"/>
      </w:pPr>
      <w:r w:rsidRPr="008D33AB">
        <w:t>Обща позиция относно гъвкавостта в Пакта за стабилност и растеж</w:t>
      </w:r>
    </w:p>
    <w:p w:rsidR="008D66DC" w:rsidRPr="008D33AB" w:rsidRDefault="008D66DC" w:rsidP="002D344B">
      <w:pPr>
        <w:pStyle w:val="DashEqual2"/>
      </w:pPr>
      <w:r w:rsidRPr="008D33AB">
        <w:t>Актуално състояние и ориентационен дебат</w:t>
      </w:r>
    </w:p>
    <w:p w:rsidR="008D66DC" w:rsidRPr="008D33AB" w:rsidRDefault="00E5103D" w:rsidP="00ED585C">
      <w:pPr>
        <w:pStyle w:val="PointManual"/>
      </w:pPr>
      <w:r w:rsidRPr="008D33AB">
        <w:t>–</w:t>
      </w:r>
      <w:r w:rsidRPr="008D33AB">
        <w:tab/>
        <w:t>Подготовка и последващи действия по международните срещи</w:t>
      </w:r>
    </w:p>
    <w:p w:rsidR="008D66DC" w:rsidRPr="008D33AB" w:rsidRDefault="008D66DC" w:rsidP="005F0B55">
      <w:pPr>
        <w:numPr>
          <w:ilvl w:val="0"/>
          <w:numId w:val="30"/>
        </w:numPr>
        <w:tabs>
          <w:tab w:val="clear" w:pos="567"/>
        </w:tabs>
        <w:spacing w:before="120"/>
        <w:ind w:left="1134"/>
      </w:pPr>
      <w:r w:rsidRPr="008D33AB">
        <w:t>Последващи действия след срещата на министрите на финансите на държавите от Г-20 от 4 и 5 септември 2015 г. в Анкара</w:t>
      </w:r>
    </w:p>
    <w:p w:rsidR="008D66DC" w:rsidRPr="008D33AB" w:rsidRDefault="008D66DC" w:rsidP="005F0B55">
      <w:pPr>
        <w:pStyle w:val="DashEqual2"/>
      </w:pPr>
      <w:r w:rsidRPr="008D33AB">
        <w:t xml:space="preserve">Информация от председателството и Комисията </w:t>
      </w:r>
    </w:p>
    <w:p w:rsidR="008D66DC" w:rsidRPr="008D33AB" w:rsidRDefault="008D66DC" w:rsidP="005F0B55">
      <w:pPr>
        <w:numPr>
          <w:ilvl w:val="0"/>
          <w:numId w:val="30"/>
        </w:numPr>
        <w:tabs>
          <w:tab w:val="clear" w:pos="567"/>
        </w:tabs>
        <w:spacing w:before="120"/>
        <w:ind w:left="1134"/>
      </w:pPr>
      <w:r w:rsidRPr="008D33AB">
        <w:t xml:space="preserve">Подготовка за срещата на министрите на финансите на държавите от Г-20 на 8 октомври 2015 г. в Лима </w:t>
      </w:r>
    </w:p>
    <w:p w:rsidR="008D66DC" w:rsidRPr="008D33AB" w:rsidRDefault="008D66DC" w:rsidP="005F0B55">
      <w:pPr>
        <w:pStyle w:val="DashEqual2"/>
      </w:pPr>
      <w:r w:rsidRPr="008D33AB">
        <w:t xml:space="preserve">Приемане на проекта на техническите задания </w:t>
      </w:r>
    </w:p>
    <w:p w:rsidR="008D66DC" w:rsidRPr="008D33AB" w:rsidRDefault="008D66DC" w:rsidP="005F0B55">
      <w:pPr>
        <w:numPr>
          <w:ilvl w:val="0"/>
          <w:numId w:val="30"/>
        </w:numPr>
        <w:tabs>
          <w:tab w:val="clear" w:pos="567"/>
        </w:tabs>
        <w:spacing w:before="120"/>
        <w:ind w:left="1134"/>
      </w:pPr>
      <w:r w:rsidRPr="008D33AB">
        <w:t>Изявление на председателя на ЕКОФИН пред Международния паричен и финансов комитет (МПФК) в рамките на годишните срещи на МВФ</w:t>
      </w:r>
    </w:p>
    <w:p w:rsidR="008D66DC" w:rsidRPr="008D33AB" w:rsidRDefault="008D66DC" w:rsidP="002D344B">
      <w:pPr>
        <w:pStyle w:val="DashEqual2"/>
      </w:pPr>
      <w:r w:rsidRPr="008D33AB">
        <w:t xml:space="preserve">Приемане на проекта за изявление </w:t>
      </w:r>
    </w:p>
    <w:p w:rsidR="008D66DC" w:rsidRPr="008D33AB" w:rsidRDefault="00220A4B" w:rsidP="00220A4B">
      <w:pPr>
        <w:pStyle w:val="PointManual"/>
      </w:pPr>
      <w:r w:rsidRPr="008D33AB">
        <w:t>–</w:t>
      </w:r>
      <w:r w:rsidRPr="008D33AB">
        <w:tab/>
        <w:t>Други въпроси</w:t>
      </w:r>
    </w:p>
    <w:p w:rsidR="00E5103D" w:rsidRPr="008D33AB" w:rsidRDefault="00E5103D" w:rsidP="00E5103D">
      <w:pPr>
        <w:pStyle w:val="PointManual"/>
        <w:spacing w:before="480"/>
      </w:pPr>
    </w:p>
    <w:p w:rsidR="00E5103D" w:rsidRPr="008D33AB" w:rsidRDefault="00E5103D" w:rsidP="00E5103D">
      <w:pPr>
        <w:pStyle w:val="PointManual"/>
        <w:spacing w:before="480"/>
      </w:pPr>
      <w:r w:rsidRPr="008D33AB">
        <w:t>____________________</w:t>
      </w:r>
    </w:p>
    <w:p w:rsidR="00E5103D" w:rsidRPr="008D33AB" w:rsidRDefault="00E5103D" w:rsidP="00E5103D">
      <w:pPr>
        <w:pStyle w:val="PointManual"/>
        <w:spacing w:before="120"/>
      </w:pPr>
      <w:r w:rsidRPr="008D33AB">
        <w:t>(*) Точки, по които може да бъде поискано гласуване</w:t>
      </w:r>
    </w:p>
    <w:p w:rsidR="00297F1D" w:rsidRPr="008D33AB" w:rsidRDefault="00297F1D" w:rsidP="00297F1D">
      <w:pPr>
        <w:spacing w:before="360"/>
        <w:jc w:val="center"/>
        <w:rPr>
          <w:snapToGrid w:val="0"/>
        </w:rPr>
      </w:pPr>
      <w:r w:rsidRPr="008D33AB">
        <w:t>o</w:t>
      </w:r>
    </w:p>
    <w:p w:rsidR="00297F1D" w:rsidRPr="008D33AB" w:rsidRDefault="00297F1D" w:rsidP="00297F1D">
      <w:pPr>
        <w:spacing w:before="120"/>
        <w:jc w:val="center"/>
        <w:rPr>
          <w:snapToGrid w:val="0"/>
        </w:rPr>
      </w:pPr>
      <w:r w:rsidRPr="008D33AB">
        <w:t>o</w:t>
      </w:r>
      <w:r w:rsidRPr="008D33AB">
        <w:tab/>
        <w:t>o</w:t>
      </w:r>
    </w:p>
    <w:p w:rsidR="00660807" w:rsidRPr="008D33AB" w:rsidRDefault="00660807" w:rsidP="00660807">
      <w:pPr>
        <w:pStyle w:val="NormalCentered"/>
      </w:pPr>
      <w:r w:rsidRPr="008D33AB">
        <w:br w:type="page"/>
      </w:r>
    </w:p>
    <w:p w:rsidR="008D66DC" w:rsidRPr="008D33AB" w:rsidRDefault="008D66DC" w:rsidP="008D66DC">
      <w:pPr>
        <w:rPr>
          <w:b/>
          <w:bCs/>
          <w:u w:val="single"/>
        </w:rPr>
      </w:pPr>
      <w:r w:rsidRPr="008D33AB">
        <w:rPr>
          <w:b/>
          <w:u w:val="single"/>
        </w:rPr>
        <w:t>p.m.</w:t>
      </w:r>
    </w:p>
    <w:p w:rsidR="008D66DC" w:rsidRPr="008D33AB" w:rsidRDefault="008D66DC" w:rsidP="008D66DC">
      <w:pPr>
        <w:rPr>
          <w:b/>
          <w:bCs/>
          <w:i/>
          <w:iCs/>
          <w:u w:val="single"/>
        </w:rPr>
      </w:pPr>
    </w:p>
    <w:p w:rsidR="008D66DC" w:rsidRPr="008D33AB" w:rsidRDefault="008D66DC" w:rsidP="008D66DC">
      <w:pPr>
        <w:rPr>
          <w:b/>
          <w:bCs/>
          <w:u w:val="single"/>
        </w:rPr>
      </w:pPr>
      <w:r w:rsidRPr="008D33AB">
        <w:rPr>
          <w:b/>
          <w:u w:val="single"/>
        </w:rPr>
        <w:t>понеделник, 5 октомври 2015 г.</w:t>
      </w:r>
    </w:p>
    <w:p w:rsidR="008D66DC" w:rsidRPr="008D33AB" w:rsidRDefault="008D66DC" w:rsidP="008D66DC">
      <w:pPr>
        <w:rPr>
          <w:u w:val="single"/>
        </w:rPr>
      </w:pPr>
    </w:p>
    <w:p w:rsidR="008D66DC" w:rsidRPr="008D33AB" w:rsidRDefault="008D66DC" w:rsidP="008D66DC">
      <w:r w:rsidRPr="008D33AB">
        <w:rPr>
          <w:b/>
        </w:rPr>
        <w:t>15,00 ч.</w:t>
      </w:r>
      <w:r w:rsidRPr="008D33AB">
        <w:tab/>
        <w:t>Еврогрупа</w:t>
      </w:r>
    </w:p>
    <w:p w:rsidR="008D66DC" w:rsidRPr="008D33AB" w:rsidRDefault="008D66DC" w:rsidP="008D66DC"/>
    <w:p w:rsidR="008D66DC" w:rsidRPr="008D33AB" w:rsidRDefault="008D66DC" w:rsidP="008D66DC">
      <w:r w:rsidRPr="008D33AB">
        <w:rPr>
          <w:b/>
        </w:rPr>
        <w:t>19,00 ч.</w:t>
      </w:r>
      <w:r w:rsidRPr="008D33AB">
        <w:tab/>
        <w:t>Съвет на гуверньорите на ЕМС</w:t>
      </w:r>
    </w:p>
    <w:p w:rsidR="008D66DC" w:rsidRPr="008D33AB" w:rsidRDefault="008D66DC" w:rsidP="008D66DC">
      <w:pPr>
        <w:rPr>
          <w:b/>
          <w:bCs/>
          <w:u w:val="single"/>
        </w:rPr>
      </w:pPr>
    </w:p>
    <w:p w:rsidR="008D66DC" w:rsidRPr="008D33AB" w:rsidRDefault="008D66DC" w:rsidP="008D66DC">
      <w:pPr>
        <w:rPr>
          <w:b/>
          <w:bCs/>
          <w:u w:val="single"/>
        </w:rPr>
      </w:pPr>
      <w:r w:rsidRPr="008D33AB">
        <w:rPr>
          <w:b/>
          <w:u w:val="single"/>
        </w:rPr>
        <w:t>вторник, 6 октомври 2015 г.</w:t>
      </w:r>
    </w:p>
    <w:p w:rsidR="008D66DC" w:rsidRPr="008D33AB" w:rsidRDefault="008D66DC" w:rsidP="008D66DC">
      <w:pPr>
        <w:rPr>
          <w:u w:val="single"/>
        </w:rPr>
      </w:pPr>
    </w:p>
    <w:p w:rsidR="008D66DC" w:rsidRPr="008D33AB" w:rsidRDefault="008D66DC" w:rsidP="008D66DC">
      <w:r w:rsidRPr="008D33AB">
        <w:rPr>
          <w:b/>
        </w:rPr>
        <w:t>8,15 ч.</w:t>
      </w:r>
      <w:r w:rsidRPr="008D33AB">
        <w:tab/>
      </w:r>
      <w:r w:rsidRPr="008D33AB">
        <w:tab/>
        <w:t>Съвет на директорите на ЕМС</w:t>
      </w:r>
    </w:p>
    <w:p w:rsidR="008D66DC" w:rsidRPr="008D33AB" w:rsidRDefault="008D66DC" w:rsidP="008D66DC"/>
    <w:p w:rsidR="008D66DC" w:rsidRPr="008D33AB" w:rsidRDefault="008D66DC" w:rsidP="008D66DC">
      <w:r w:rsidRPr="008D33AB">
        <w:rPr>
          <w:b/>
        </w:rPr>
        <w:t>9,00 ч.</w:t>
      </w:r>
      <w:r w:rsidRPr="008D33AB">
        <w:t xml:space="preserve"> </w:t>
      </w:r>
      <w:r w:rsidRPr="008D33AB">
        <w:tab/>
      </w:r>
      <w:r w:rsidRPr="008D33AB">
        <w:tab/>
        <w:t xml:space="preserve">Работна закуска на ЕКОФИН </w:t>
      </w:r>
    </w:p>
    <w:p w:rsidR="008D66DC" w:rsidRPr="008D33AB" w:rsidRDefault="008D66DC" w:rsidP="008D66DC"/>
    <w:p w:rsidR="00601803" w:rsidRPr="008D33AB" w:rsidRDefault="008D66DC" w:rsidP="001A677B">
      <w:r w:rsidRPr="008D33AB">
        <w:rPr>
          <w:b/>
        </w:rPr>
        <w:t>10,00 ч.</w:t>
      </w:r>
      <w:r w:rsidRPr="008D33AB">
        <w:tab/>
        <w:t>Съвет (ЕКОФИН)</w:t>
      </w:r>
    </w:p>
    <w:p w:rsidR="00601803" w:rsidRPr="008D33AB" w:rsidRDefault="00601803" w:rsidP="00601803">
      <w:pPr>
        <w:pStyle w:val="FinalLine"/>
      </w:pPr>
    </w:p>
    <w:p w:rsidR="00601803" w:rsidRPr="00BC2B10" w:rsidRDefault="008E1413" w:rsidP="008E1413">
      <w:pPr>
        <w:pStyle w:val="NB"/>
        <w:rPr>
          <w:b/>
          <w:bCs/>
        </w:rPr>
      </w:pPr>
      <w:r w:rsidRPr="00BC2B10">
        <w:rPr>
          <w:b/>
          <w:bCs/>
        </w:rPr>
        <w:t>NB:</w:t>
      </w:r>
      <w:r w:rsidRPr="00BC2B10">
        <w:rPr>
          <w:b/>
          <w:bCs/>
        </w:rPr>
        <w:tab/>
        <w:t>Моля изпратете до служба „Протокол“ във възможно най-кратък срок списък на делегатите, които ще участват в заседанието, на адрес protocole.participants@consilium.europa.eu.</w:t>
      </w:r>
    </w:p>
    <w:p w:rsidR="00FC4670" w:rsidRPr="00BC2B10" w:rsidRDefault="008E1413" w:rsidP="008E1413">
      <w:pPr>
        <w:pStyle w:val="NB"/>
        <w:rPr>
          <w:b/>
          <w:bCs/>
        </w:rPr>
      </w:pPr>
      <w:r w:rsidRPr="00BC2B10">
        <w:rPr>
          <w:b/>
          <w:bCs/>
        </w:rPr>
        <w:t>NB:</w:t>
      </w:r>
      <w:r w:rsidRPr="00BC2B10">
        <w:rPr>
          <w:b/>
          <w:bCs/>
        </w:rPr>
        <w:tab/>
        <w:t xml:space="preserve">Делегатите, които се нуждаят от еднодневни служебни карти, за да посещават заседанията, следва да се запознаят с док. 14387/1/12 REV 1 във връзка с </w:t>
      </w:r>
      <w:bookmarkStart w:id="1" w:name="_GoBack"/>
      <w:bookmarkEnd w:id="1"/>
      <w:r w:rsidRPr="00BC2B10">
        <w:rPr>
          <w:b/>
          <w:bCs/>
        </w:rPr>
        <w:t>начина за получаването им.</w:t>
      </w:r>
    </w:p>
    <w:sectPr w:rsidR="00FC4670" w:rsidRPr="00BC2B10" w:rsidSect="008D33AB">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A" w:rsidRPr="008D33AB" w:rsidRDefault="00D7749A" w:rsidP="008D3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D33AB" w:rsidRPr="00D94637" w:rsidTr="008D33AB">
      <w:trPr>
        <w:jc w:val="center"/>
      </w:trPr>
      <w:tc>
        <w:tcPr>
          <w:tcW w:w="5000" w:type="pct"/>
          <w:gridSpan w:val="7"/>
          <w:shd w:val="clear" w:color="auto" w:fill="auto"/>
          <w:tcMar>
            <w:top w:w="57" w:type="dxa"/>
          </w:tcMar>
        </w:tcPr>
        <w:p w:rsidR="008D33AB" w:rsidRPr="00D94637" w:rsidRDefault="008D33AB" w:rsidP="00D94637">
          <w:pPr>
            <w:pStyle w:val="FooterText"/>
            <w:pBdr>
              <w:top w:val="single" w:sz="4" w:space="1" w:color="auto"/>
            </w:pBdr>
            <w:spacing w:before="200"/>
            <w:rPr>
              <w:sz w:val="2"/>
              <w:szCs w:val="2"/>
            </w:rPr>
          </w:pPr>
          <w:bookmarkStart w:id="2" w:name="FOOTER_STANDARD"/>
        </w:p>
      </w:tc>
    </w:tr>
    <w:tr w:rsidR="008D33AB" w:rsidRPr="00B310DC" w:rsidTr="008D33AB">
      <w:trPr>
        <w:jc w:val="center"/>
      </w:trPr>
      <w:tc>
        <w:tcPr>
          <w:tcW w:w="2500" w:type="pct"/>
          <w:gridSpan w:val="2"/>
          <w:shd w:val="clear" w:color="auto" w:fill="auto"/>
          <w:tcMar>
            <w:top w:w="0" w:type="dxa"/>
          </w:tcMar>
        </w:tcPr>
        <w:p w:rsidR="008D33AB" w:rsidRPr="00AD7BF2" w:rsidRDefault="008D33AB" w:rsidP="004F54B2">
          <w:pPr>
            <w:pStyle w:val="FooterText"/>
          </w:pPr>
          <w:r>
            <w:t>CM 3846/15</w:t>
          </w:r>
          <w:r w:rsidRPr="002511D8">
            <w:t xml:space="preserve"> </w:t>
          </w:r>
        </w:p>
      </w:tc>
      <w:tc>
        <w:tcPr>
          <w:tcW w:w="625" w:type="pct"/>
          <w:shd w:val="clear" w:color="auto" w:fill="auto"/>
          <w:tcMar>
            <w:top w:w="0" w:type="dxa"/>
          </w:tcMar>
        </w:tcPr>
        <w:p w:rsidR="008D33AB" w:rsidRPr="00AD7BF2" w:rsidRDefault="008D33AB" w:rsidP="00D94637">
          <w:pPr>
            <w:pStyle w:val="FooterText"/>
            <w:jc w:val="center"/>
          </w:pPr>
        </w:p>
      </w:tc>
      <w:tc>
        <w:tcPr>
          <w:tcW w:w="1287" w:type="pct"/>
          <w:gridSpan w:val="3"/>
          <w:shd w:val="clear" w:color="auto" w:fill="auto"/>
          <w:tcMar>
            <w:top w:w="0" w:type="dxa"/>
          </w:tcMar>
        </w:tcPr>
        <w:p w:rsidR="008D33AB" w:rsidRPr="002511D8" w:rsidRDefault="008D33AB" w:rsidP="00D94637">
          <w:pPr>
            <w:pStyle w:val="FooterText"/>
            <w:jc w:val="center"/>
          </w:pPr>
        </w:p>
      </w:tc>
      <w:tc>
        <w:tcPr>
          <w:tcW w:w="588" w:type="pct"/>
          <w:shd w:val="clear" w:color="auto" w:fill="auto"/>
          <w:tcMar>
            <w:top w:w="0" w:type="dxa"/>
          </w:tcMar>
        </w:tcPr>
        <w:p w:rsidR="008D33AB" w:rsidRPr="00B310DC" w:rsidRDefault="008D33AB" w:rsidP="00D94637">
          <w:pPr>
            <w:pStyle w:val="FooterText"/>
            <w:jc w:val="right"/>
          </w:pPr>
          <w:r>
            <w:fldChar w:fldCharType="begin"/>
          </w:r>
          <w:r>
            <w:instrText xml:space="preserve"> PAGE  \* MERGEFORMAT </w:instrText>
          </w:r>
          <w:r>
            <w:fldChar w:fldCharType="separate"/>
          </w:r>
          <w:r w:rsidR="00BC2B10">
            <w:rPr>
              <w:noProof/>
            </w:rPr>
            <w:t>3</w:t>
          </w:r>
          <w:r>
            <w:fldChar w:fldCharType="end"/>
          </w:r>
        </w:p>
      </w:tc>
    </w:tr>
    <w:tr w:rsidR="008D33AB" w:rsidRPr="00D94637" w:rsidTr="008D33AB">
      <w:trPr>
        <w:jc w:val="center"/>
      </w:trPr>
      <w:tc>
        <w:tcPr>
          <w:tcW w:w="1774" w:type="pct"/>
          <w:shd w:val="clear" w:color="auto" w:fill="auto"/>
        </w:tcPr>
        <w:p w:rsidR="008D33AB" w:rsidRPr="00AD7BF2" w:rsidRDefault="008D33AB" w:rsidP="00D94637">
          <w:pPr>
            <w:pStyle w:val="FooterText"/>
            <w:spacing w:before="40"/>
          </w:pPr>
        </w:p>
      </w:tc>
      <w:tc>
        <w:tcPr>
          <w:tcW w:w="1455" w:type="pct"/>
          <w:gridSpan w:val="3"/>
          <w:shd w:val="clear" w:color="auto" w:fill="auto"/>
        </w:tcPr>
        <w:p w:rsidR="008D33AB" w:rsidRPr="00AD7BF2" w:rsidRDefault="008D33AB" w:rsidP="00D204D6">
          <w:pPr>
            <w:pStyle w:val="FooterText"/>
            <w:spacing w:before="40"/>
            <w:jc w:val="center"/>
          </w:pPr>
        </w:p>
      </w:tc>
      <w:tc>
        <w:tcPr>
          <w:tcW w:w="1147" w:type="pct"/>
          <w:shd w:val="clear" w:color="auto" w:fill="auto"/>
        </w:tcPr>
        <w:p w:rsidR="008D33AB" w:rsidRPr="00D94637" w:rsidRDefault="008D33AB" w:rsidP="00D94637">
          <w:pPr>
            <w:pStyle w:val="FooterText"/>
            <w:jc w:val="right"/>
            <w:rPr>
              <w:b/>
              <w:position w:val="-4"/>
              <w:sz w:val="36"/>
            </w:rPr>
          </w:pPr>
        </w:p>
      </w:tc>
      <w:tc>
        <w:tcPr>
          <w:tcW w:w="625" w:type="pct"/>
          <w:gridSpan w:val="2"/>
          <w:shd w:val="clear" w:color="auto" w:fill="auto"/>
        </w:tcPr>
        <w:p w:rsidR="008D33AB" w:rsidRPr="00D94637" w:rsidRDefault="008D33AB" w:rsidP="00D94637">
          <w:pPr>
            <w:pStyle w:val="FooterText"/>
            <w:jc w:val="right"/>
            <w:rPr>
              <w:sz w:val="16"/>
            </w:rPr>
          </w:pPr>
          <w:r>
            <w:rPr>
              <w:b/>
              <w:position w:val="-4"/>
              <w:sz w:val="36"/>
            </w:rPr>
            <w:t>BG</w:t>
          </w:r>
        </w:p>
      </w:tc>
    </w:tr>
    <w:bookmarkEnd w:id="2"/>
  </w:tbl>
  <w:p w:rsidR="00601803" w:rsidRPr="008D33AB" w:rsidRDefault="00601803" w:rsidP="008D33A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D33AB" w:rsidRPr="00D94637" w:rsidTr="008D33AB">
      <w:trPr>
        <w:jc w:val="center"/>
      </w:trPr>
      <w:tc>
        <w:tcPr>
          <w:tcW w:w="5000" w:type="pct"/>
          <w:gridSpan w:val="7"/>
          <w:shd w:val="clear" w:color="auto" w:fill="auto"/>
          <w:tcMar>
            <w:top w:w="57" w:type="dxa"/>
          </w:tcMar>
        </w:tcPr>
        <w:p w:rsidR="008D33AB" w:rsidRPr="00D94637" w:rsidRDefault="008D33AB" w:rsidP="00D94637">
          <w:pPr>
            <w:pStyle w:val="FooterText"/>
            <w:pBdr>
              <w:top w:val="single" w:sz="4" w:space="1" w:color="auto"/>
            </w:pBdr>
            <w:spacing w:before="200"/>
            <w:rPr>
              <w:sz w:val="2"/>
              <w:szCs w:val="2"/>
            </w:rPr>
          </w:pPr>
        </w:p>
      </w:tc>
    </w:tr>
    <w:tr w:rsidR="008D33AB" w:rsidRPr="00B310DC" w:rsidTr="008D33AB">
      <w:trPr>
        <w:jc w:val="center"/>
      </w:trPr>
      <w:tc>
        <w:tcPr>
          <w:tcW w:w="2500" w:type="pct"/>
          <w:gridSpan w:val="2"/>
          <w:shd w:val="clear" w:color="auto" w:fill="auto"/>
          <w:tcMar>
            <w:top w:w="0" w:type="dxa"/>
          </w:tcMar>
        </w:tcPr>
        <w:p w:rsidR="008D33AB" w:rsidRPr="00AD7BF2" w:rsidRDefault="008D33AB" w:rsidP="004F54B2">
          <w:pPr>
            <w:pStyle w:val="FooterText"/>
          </w:pPr>
          <w:r>
            <w:t>CM 3846/15</w:t>
          </w:r>
          <w:r w:rsidRPr="002511D8">
            <w:t xml:space="preserve"> </w:t>
          </w:r>
        </w:p>
      </w:tc>
      <w:tc>
        <w:tcPr>
          <w:tcW w:w="625" w:type="pct"/>
          <w:shd w:val="clear" w:color="auto" w:fill="auto"/>
          <w:tcMar>
            <w:top w:w="0" w:type="dxa"/>
          </w:tcMar>
        </w:tcPr>
        <w:p w:rsidR="008D33AB" w:rsidRPr="00AD7BF2" w:rsidRDefault="008D33AB" w:rsidP="00D94637">
          <w:pPr>
            <w:pStyle w:val="FooterText"/>
            <w:jc w:val="center"/>
          </w:pPr>
        </w:p>
      </w:tc>
      <w:tc>
        <w:tcPr>
          <w:tcW w:w="1287" w:type="pct"/>
          <w:gridSpan w:val="3"/>
          <w:shd w:val="clear" w:color="auto" w:fill="auto"/>
          <w:tcMar>
            <w:top w:w="0" w:type="dxa"/>
          </w:tcMar>
        </w:tcPr>
        <w:p w:rsidR="008D33AB" w:rsidRPr="002511D8" w:rsidRDefault="008D33AB" w:rsidP="00D94637">
          <w:pPr>
            <w:pStyle w:val="FooterText"/>
            <w:jc w:val="center"/>
          </w:pPr>
        </w:p>
      </w:tc>
      <w:tc>
        <w:tcPr>
          <w:tcW w:w="588" w:type="pct"/>
          <w:shd w:val="clear" w:color="auto" w:fill="auto"/>
          <w:tcMar>
            <w:top w:w="0" w:type="dxa"/>
          </w:tcMar>
        </w:tcPr>
        <w:p w:rsidR="008D33AB" w:rsidRPr="00B310DC" w:rsidRDefault="008D33AB" w:rsidP="00D94637">
          <w:pPr>
            <w:pStyle w:val="FooterText"/>
            <w:jc w:val="right"/>
          </w:pPr>
          <w:r>
            <w:fldChar w:fldCharType="begin"/>
          </w:r>
          <w:r>
            <w:instrText xml:space="preserve"> PAGE  \* MERGEFORMAT </w:instrText>
          </w:r>
          <w:r>
            <w:fldChar w:fldCharType="separate"/>
          </w:r>
          <w:r w:rsidR="00BC2B10">
            <w:rPr>
              <w:noProof/>
            </w:rPr>
            <w:t>1</w:t>
          </w:r>
          <w:r>
            <w:fldChar w:fldCharType="end"/>
          </w:r>
        </w:p>
      </w:tc>
    </w:tr>
    <w:tr w:rsidR="008D33AB" w:rsidRPr="00D94637" w:rsidTr="008D33AB">
      <w:trPr>
        <w:jc w:val="center"/>
      </w:trPr>
      <w:tc>
        <w:tcPr>
          <w:tcW w:w="1774" w:type="pct"/>
          <w:shd w:val="clear" w:color="auto" w:fill="auto"/>
        </w:tcPr>
        <w:p w:rsidR="008D33AB" w:rsidRPr="00AD7BF2" w:rsidRDefault="008D33AB" w:rsidP="00D94637">
          <w:pPr>
            <w:pStyle w:val="FooterText"/>
            <w:spacing w:before="40"/>
          </w:pPr>
        </w:p>
      </w:tc>
      <w:tc>
        <w:tcPr>
          <w:tcW w:w="1455" w:type="pct"/>
          <w:gridSpan w:val="3"/>
          <w:shd w:val="clear" w:color="auto" w:fill="auto"/>
        </w:tcPr>
        <w:p w:rsidR="008D33AB" w:rsidRPr="00AD7BF2" w:rsidRDefault="008D33AB" w:rsidP="00D204D6">
          <w:pPr>
            <w:pStyle w:val="FooterText"/>
            <w:spacing w:before="40"/>
            <w:jc w:val="center"/>
          </w:pPr>
        </w:p>
      </w:tc>
      <w:tc>
        <w:tcPr>
          <w:tcW w:w="1147" w:type="pct"/>
          <w:shd w:val="clear" w:color="auto" w:fill="auto"/>
        </w:tcPr>
        <w:p w:rsidR="008D33AB" w:rsidRPr="00D94637" w:rsidRDefault="008D33AB" w:rsidP="00D94637">
          <w:pPr>
            <w:pStyle w:val="FooterText"/>
            <w:jc w:val="right"/>
            <w:rPr>
              <w:b/>
              <w:position w:val="-4"/>
              <w:sz w:val="36"/>
            </w:rPr>
          </w:pPr>
        </w:p>
      </w:tc>
      <w:tc>
        <w:tcPr>
          <w:tcW w:w="625" w:type="pct"/>
          <w:gridSpan w:val="2"/>
          <w:shd w:val="clear" w:color="auto" w:fill="auto"/>
        </w:tcPr>
        <w:p w:rsidR="008D33AB" w:rsidRPr="00D94637" w:rsidRDefault="008D33AB" w:rsidP="00D94637">
          <w:pPr>
            <w:pStyle w:val="FooterText"/>
            <w:jc w:val="right"/>
            <w:rPr>
              <w:sz w:val="16"/>
            </w:rPr>
          </w:pPr>
          <w:r>
            <w:rPr>
              <w:b/>
              <w:position w:val="-4"/>
              <w:sz w:val="36"/>
            </w:rPr>
            <w:t>BG</w:t>
          </w:r>
        </w:p>
      </w:tc>
    </w:tr>
  </w:tbl>
  <w:p w:rsidR="00601803" w:rsidRPr="008D33AB" w:rsidRDefault="00601803" w:rsidP="008D33A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A" w:rsidRPr="008D33AB" w:rsidRDefault="00D7749A" w:rsidP="008D3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A" w:rsidRPr="008D33AB" w:rsidRDefault="00D7749A" w:rsidP="008D33A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A" w:rsidRPr="008D33AB" w:rsidRDefault="00D7749A" w:rsidP="008D33A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559eb905-d588-4082-bae4-6e5dfa07603f&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_x000d__x000a_      &lt;formattedtext&gt;_x000d__x000a_        &lt;xaml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amp;lt;FlowDocument xmlns=&quot;http://schemas.microsoft.com/winfx/2006/xaml/presentation&quot;&amp;gt;&amp;lt;Paragraph&amp;g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amp;#1057;&amp;#1066;&amp;#1054;&amp;#1041;&amp;#1065;&amp;#1045;&amp;#1053;&amp;#1048;&amp;#1045;&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9-21&lt;/text&gt;_x000d__x000a_  &lt;/metadata&gt;_x000d__x000a_  &lt;metadata key=&quot;md_Prefix&quot; translate=&quot;false&quot;&gt;_x000d__x000a_    &lt;text&gt;CM&lt;/text&gt;_x000d__x000a_  &lt;/metadata&gt;_x000d__x000a_  &lt;metadata key=&quot;md_DocumentNumber&quot; translate=&quot;false&quot;&gt;_x000d__x000a_    &lt;text&gt;384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ECOFIN&lt;/text&gt;_x000d__x000a_    &lt;/textlist&gt;_x000d__x000a_  &lt;/metadata&gt;_x000d__x000a_  &lt;metadata key=&quot;md_Contact&quot; translate=&quot;false&quot;&gt;_x000d__x000a_    &lt;text&gt;Mr Hans GILBERS_x000d__x000a_hans.gilbers@consiium.europa.eu&lt;/text&gt;_x000d__x000a_  &lt;/metadata&gt;_x000d__x000a_  &lt;metadata key=&quot;md_ContactPhoneFax&quot; translate=&quot;false&quot;&gt;_x000d__x000a_    &lt;text&gt;+32.2-281.9891/6685&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amp;#1086; &amp;#1079;&amp;#1072;&amp;#1089;&amp;#1077;&amp;#1076;&amp;#1072;&amp;#1085;&amp;#1080;&amp;#1077; &amp;#1085;&amp;#1072; &amp;#1057;&amp;#1066;&amp;#1042;&amp;#1045;&amp;#1058;&amp;#1040; &amp;#1053;&amp;#1040; &amp;#1045;&amp;#1042;&amp;#1056;&amp;#1054;&amp;#1055;&amp;#1045;&amp;#1049;&amp;#1057;&amp;#1050;&amp;#1048;&amp;#1071; &amp;#1057;&amp;#1066;&amp;#1070;&amp;#1047; (&amp;#1048;&amp;#1082;&amp;#1086;&amp;#1085;&amp;#1086;&amp;#1084;&amp;#1080;&amp;#1095;&amp;#1077;&amp;#1089;&amp;#1082;&amp;#1080; &amp;#1080; &amp;#1092;&amp;#1080;&amp;#1085;&amp;#1072;&amp;#1085;&amp;#1089;&amp;#1086;&amp;#1074;&amp;#1080; &amp;#1074;&amp;#1098;&amp;#1087;&amp;#1088;&amp;#1086;&amp;#1089;&amp;#1080;)&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amp;#1086;&amp;lt;/Run&amp;gt; &amp;#1079;&amp;#1072;&amp;#1089;&amp;#1077;&amp;#1076;&amp;#1072;&amp;#1085;&amp;#1080;&amp;#1077; &amp;#1085;&amp;#1072; &amp;#1057;&amp;#1066;&amp;#1042;&amp;#1045;&amp;#1058;&amp;#1040; &amp;#1053;&amp;#1040; &amp;#1045;&amp;#1042;&amp;#1056;&amp;#1054;&amp;#1055;&amp;#1045;&amp;#1049;&amp;#1057;&amp;#1050;&amp;#1048;&amp;#1071; &amp;#1057;&amp;#1066;&amp;#1070;&amp;#1047;&amp;lt;LineBreak /&amp;gt;(&amp;#1048;&amp;#1082;&amp;#1086;&amp;#1085;&amp;#1086;&amp;#1084;&amp;#1080;&amp;#1095;&amp;#1077;&amp;#1089;&amp;#1082;&amp;#1080; &amp;#1080; &amp;#1092;&amp;#1080;&amp;#1085;&amp;#1072;&amp;#1085;&amp;#1089;&amp;#1086;&amp;#1074;&amp;#1080; &amp;#1074;&amp;#1098;&amp;#1087;&amp;#1088;&amp;#1086;&amp;#1089;&amp;#1080;)&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97F1D"/>
    <w:rsid w:val="002A2AE8"/>
    <w:rsid w:val="002D344B"/>
    <w:rsid w:val="002F34CF"/>
    <w:rsid w:val="003731F4"/>
    <w:rsid w:val="003C6E8B"/>
    <w:rsid w:val="005157F5"/>
    <w:rsid w:val="00537968"/>
    <w:rsid w:val="005F0B55"/>
    <w:rsid w:val="00601803"/>
    <w:rsid w:val="0063379B"/>
    <w:rsid w:val="00647588"/>
    <w:rsid w:val="00660807"/>
    <w:rsid w:val="00697EAD"/>
    <w:rsid w:val="006A38C5"/>
    <w:rsid w:val="006C1AD4"/>
    <w:rsid w:val="006D6DE2"/>
    <w:rsid w:val="006E33E2"/>
    <w:rsid w:val="006F4741"/>
    <w:rsid w:val="00735048"/>
    <w:rsid w:val="007477FC"/>
    <w:rsid w:val="0075756A"/>
    <w:rsid w:val="007E4FB3"/>
    <w:rsid w:val="007F0319"/>
    <w:rsid w:val="00825503"/>
    <w:rsid w:val="008826F8"/>
    <w:rsid w:val="008D33AB"/>
    <w:rsid w:val="008D66DC"/>
    <w:rsid w:val="008E1413"/>
    <w:rsid w:val="009B245C"/>
    <w:rsid w:val="00A25310"/>
    <w:rsid w:val="00A469D7"/>
    <w:rsid w:val="00B25317"/>
    <w:rsid w:val="00BA5399"/>
    <w:rsid w:val="00BC2B10"/>
    <w:rsid w:val="00BE1373"/>
    <w:rsid w:val="00BE6FDF"/>
    <w:rsid w:val="00D451E4"/>
    <w:rsid w:val="00D7749A"/>
    <w:rsid w:val="00D8097C"/>
    <w:rsid w:val="00E5103D"/>
    <w:rsid w:val="00ED585C"/>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8D33A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character" w:customStyle="1" w:styleId="PointManualChar">
    <w:name w:val="Point Manual Char"/>
    <w:link w:val="PointManual"/>
    <w:rsid w:val="00E5103D"/>
    <w:rPr>
      <w:sz w:val="24"/>
      <w:szCs w:val="24"/>
      <w:lang w:val="bg-BG" w:eastAsia="bg-BG"/>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8D33A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character" w:customStyle="1" w:styleId="PointManualChar">
    <w:name w:val="Point Manual Char"/>
    <w:link w:val="PointManual"/>
    <w:rsid w:val="00E5103D"/>
    <w:rPr>
      <w:sz w:val="24"/>
      <w:szCs w:val="24"/>
      <w:lang w:val="bg-BG" w:eastAsia="bg-BG"/>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342</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GUSHEVA Rumyana</cp:lastModifiedBy>
  <cp:revision>2</cp:revision>
  <cp:lastPrinted>2015-09-21T13:56:00Z</cp:lastPrinted>
  <dcterms:created xsi:type="dcterms:W3CDTF">2015-09-22T11:37:00Z</dcterms:created>
  <dcterms:modified xsi:type="dcterms:W3CDTF">2015-09-22T11:37:00Z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