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40263EAC8D844FC8628EE8CD0EDB791" style="width:450.8pt;height:365.6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widowControl w:val="0"/>
        <w:autoSpaceDE w:val="0"/>
        <w:autoSpaceDN w:val="0"/>
        <w:adjustRightInd w:val="0"/>
        <w:rPr>
          <w:rFonts w:eastAsia="Calibri"/>
          <w:noProof/>
        </w:rPr>
      </w:pPr>
      <w:r>
        <w:rPr>
          <w:noProof/>
        </w:rPr>
        <w:t>Le règlement (CE) n° 539/2001</w:t>
      </w:r>
      <w:r>
        <w:rPr>
          <w:rStyle w:val="FootnoteReference"/>
          <w:noProof/>
        </w:rPr>
        <w:footnoteReference w:id="1"/>
      </w:r>
      <w:r>
        <w:rPr>
          <w:noProof/>
        </w:rPr>
        <w:t xml:space="preserve"> du Conseil fixe la liste des pays tiers dont les ressortissants sont soumis à l'obligation de visa pour franchir les frontières extérieures des États membres et la liste de ceux dont les ressortissants sont exemptés de cette obligation. Il est appliqué par tous les États membres, à l'exception de l'Irlande et du Royaume-Uni.</w:t>
      </w:r>
    </w:p>
    <w:p>
      <w:pPr>
        <w:widowControl w:val="0"/>
        <w:autoSpaceDE w:val="0"/>
        <w:autoSpaceDN w:val="0"/>
        <w:adjustRightInd w:val="0"/>
        <w:rPr>
          <w:rFonts w:eastAsia="Calibri"/>
          <w:noProof/>
        </w:rPr>
      </w:pPr>
      <w:r>
        <w:rPr>
          <w:noProof/>
        </w:rPr>
        <w:t>Le règlement (UE) n° 509/2014 du Parlement européen et du Conseil</w:t>
      </w:r>
      <w:r>
        <w:rPr>
          <w:rStyle w:val="FootnoteReference"/>
          <w:noProof/>
        </w:rPr>
        <w:footnoteReference w:id="2"/>
      </w:r>
      <w:r>
        <w:rPr>
          <w:noProof/>
        </w:rPr>
        <w:t xml:space="preserve"> a modifié le règlement (CE) n° 539/2001 en transférant 19 pays vers l'annexe II, laquelle énumère les pays tiers dont les ressortissants sont exemptés de l'obligation de visa. Ces 19 pays sont les suivants: la Colombie, la Dominique, les Émirats arabes unis, la Grenade, Kiribati, les Îles Marshall, la Micronésie, Nauru, les Palaos, le Pérou, Sainte-Lucie, Saint-Vincent-et-les-Grenadines, les Îles Salomon, le Samoa, le Timor-Oriental, les Tonga, Trinité-et-Tobago, les Tuvalu et le Vanuatu. La mention de chacun de ces pays à l'annexe II est assortie d'une note de bas de page précisant que «l’exemption de l’obligation de visa s’applique à partir de la date d’entrée en vigueur d’un accord sur l’exemption de visa à conclure avec l’Union européenne». </w:t>
      </w:r>
    </w:p>
    <w:p>
      <w:pPr>
        <w:widowControl w:val="0"/>
        <w:autoSpaceDE w:val="0"/>
        <w:autoSpaceDN w:val="0"/>
        <w:adjustRightInd w:val="0"/>
        <w:rPr>
          <w:noProof/>
        </w:rPr>
      </w:pPr>
      <w:r>
        <w:rPr>
          <w:noProof/>
        </w:rPr>
        <w:t>Le règlement (UE) n° 509/2014 a été adopté le 20 mai 2014 et est entré en vigueur le 9 juin suivant. Au mois de juillet 2014, la Commission a présenté une recommandation au Conseil pour qu'il l'autorise à ouvrir des négociations relatives à des accords d'exemption de visa avec chacun des 17 pays suivants: la Dominique, les Émirats arabes unis, la Grenade, Kiribati, les Îles Marshall, la Micronésie, Nauru, les Palaos, Sainte-Lucie, Saint-Vincent-et-les-Grenadines, les Îles Salomon, le Samoa, le Timor-Oriental, les Tonga, Trinité-et-Tobago, les Tuvalu et le Vanuatu</w:t>
      </w:r>
      <w:r>
        <w:rPr>
          <w:rStyle w:val="FootnoteReference"/>
          <w:noProof/>
        </w:rPr>
        <w:footnoteReference w:id="3"/>
      </w:r>
      <w:r>
        <w:rPr>
          <w:noProof/>
        </w:rPr>
        <w:t>. Le 9 octobre 2014, le Conseil lui a adressé ses directives de négociation.</w:t>
      </w:r>
    </w:p>
    <w:p>
      <w:pPr>
        <w:widowControl w:val="0"/>
        <w:autoSpaceDE w:val="0"/>
        <w:autoSpaceDN w:val="0"/>
        <w:adjustRightInd w:val="0"/>
        <w:rPr>
          <w:rFonts w:eastAsia="Calibri"/>
          <w:noProof/>
        </w:rPr>
      </w:pPr>
      <w:r>
        <w:rPr>
          <w:noProof/>
        </w:rPr>
        <w:t xml:space="preserve">La première série d’accords d’exemption de visa a été signée le 6 mai 2015 (avec les Émirats arabes unis), le 26 mai 2015 (avec le Timor-Oriental) et le 28 mai 2015 (avec la Dominique, la Grenade, Sainte-Lucie, Saint-Vincent-et-les-Grenadines, le Samoa, Trinité-et-Tobago et le Vanuatu), ces accords s'appliquant à titre provisoire à compter de la date de leur signature jusqu'à leur entrée en vigueur. </w:t>
      </w:r>
    </w:p>
    <w:p>
      <w:pPr>
        <w:widowControl w:val="0"/>
        <w:autoSpaceDE w:val="0"/>
        <w:autoSpaceDN w:val="0"/>
        <w:adjustRightInd w:val="0"/>
        <w:rPr>
          <w:rFonts w:eastAsia="Calibri"/>
          <w:noProof/>
        </w:rPr>
      </w:pPr>
      <w:r>
        <w:rPr>
          <w:noProof/>
        </w:rPr>
        <w:t>Les négociations avec les Palaos se sont ouvertes le 17 décembre 2014 et se sont déroulées sous forme d'échange de lettres. Au cours des échanges ultérieurs, les parties se sont entendues sur l'ensemble des dispositions. L'accord a été paraphé par échange de lettres entre les négociateurs principaux le 27 mai 2015 (Palaos) et le 10 juin 2015 (Union). Les États membres ont été informés lors d'une réunion du groupe «Visas» du Conseil, qui s'est tenue le 15 juin 2015.</w:t>
      </w:r>
    </w:p>
    <w:p>
      <w:pPr>
        <w:pStyle w:val="ManualHeading1"/>
        <w:rPr>
          <w:noProof/>
        </w:rPr>
      </w:pPr>
      <w:r>
        <w:rPr>
          <w:noProof/>
        </w:rPr>
        <w:lastRenderedPageBreak/>
        <w:t>2.</w:t>
      </w:r>
      <w:r>
        <w:rPr>
          <w:noProof/>
        </w:rPr>
        <w:tab/>
        <w:t>BASE JURIDIQUE:</w:t>
      </w:r>
    </w:p>
    <w:p>
      <w:pPr>
        <w:rPr>
          <w:rFonts w:eastAsia="Calibri"/>
          <w:noProof/>
        </w:rPr>
      </w:pPr>
      <w:r>
        <w:rPr>
          <w:noProof/>
        </w:rPr>
        <w:t>En ce qui concerne l'Union, les dispositions combinées de l'article 77, paragraphe 2, point a), et de l'article 218 du traité sur le fonctionnement de l'Union européenne (ci-après, «TFUE») forment la base juridique de l'accord.</w:t>
      </w:r>
    </w:p>
    <w:p>
      <w:pPr>
        <w:autoSpaceDE w:val="0"/>
        <w:autoSpaceDN w:val="0"/>
        <w:adjustRightInd w:val="0"/>
        <w:rPr>
          <w:rFonts w:eastAsia="Calibri"/>
          <w:noProof/>
        </w:rPr>
      </w:pPr>
      <w:r>
        <w:rPr>
          <w:noProof/>
        </w:rPr>
        <w:t xml:space="preserve">La proposition annexée constitue l'instrument juridique requis pour la signature de l’accord. Le Conseil statuera à la majorité qualifiée. </w:t>
      </w:r>
    </w:p>
    <w:p>
      <w:pPr>
        <w:autoSpaceDE w:val="0"/>
        <w:autoSpaceDN w:val="0"/>
        <w:adjustRightInd w:val="0"/>
        <w:rPr>
          <w:rFonts w:eastAsia="Calibri"/>
          <w:noProof/>
        </w:rPr>
      </w:pPr>
      <w:r>
        <w:rPr>
          <w:noProof/>
        </w:rPr>
        <w:t>Étant donné que les Palaos seront en mesure de mener rapidement à bien leur procédure de ratification interne et vu la longue période qui s'est écoulée depuis que la Commission a proposé pour la première fois d'exempter les ressortissants de cet État de l'obligation de visa (novembre 2012), la proposition de décision concernant la signature prévoit l'application provisoire de l'accord à partir du jour suivant la date de sa signature, conformément à l'article 218, paragraphe 5, du TFUE. Le Parlement européen devant donner son approbation avant la conclusion de l'accord, la Commission l'informera de l'application provisoire de celui-ci.</w:t>
      </w:r>
    </w:p>
    <w:p>
      <w:pPr>
        <w:pStyle w:val="ManualHeading1"/>
        <w:rPr>
          <w:noProof/>
        </w:rPr>
      </w:pPr>
      <w:r>
        <w:rPr>
          <w:noProof/>
        </w:rPr>
        <w:t>3.</w:t>
      </w:r>
      <w:r>
        <w:rPr>
          <w:noProof/>
        </w:rPr>
        <w:tab/>
        <w:t>RÉSULTATS DES NÉGOCIATIONS</w:t>
      </w:r>
    </w:p>
    <w:p>
      <w:pPr>
        <w:autoSpaceDE w:val="0"/>
        <w:autoSpaceDN w:val="0"/>
        <w:adjustRightInd w:val="0"/>
        <w:rPr>
          <w:noProof/>
        </w:rPr>
      </w:pPr>
      <w:r>
        <w:rPr>
          <w:noProof/>
        </w:rPr>
        <w:t>La Commission considère que les objectifs fixés par le Conseil dans ses directives de négociation ont été atteints et que le projet d’accord d’exemption de visa est acceptable pour l’Union.</w:t>
      </w:r>
    </w:p>
    <w:p>
      <w:pPr>
        <w:autoSpaceDE w:val="0"/>
        <w:autoSpaceDN w:val="0"/>
        <w:adjustRightInd w:val="0"/>
        <w:rPr>
          <w:noProof/>
        </w:rPr>
      </w:pPr>
      <w:r>
        <w:rPr>
          <w:noProof/>
        </w:rPr>
        <w:t>Le contenu final de cet accord peut se résumer comme suit:</w:t>
      </w:r>
    </w:p>
    <w:p>
      <w:pPr>
        <w:rPr>
          <w:noProof/>
        </w:rPr>
      </w:pPr>
      <w:r>
        <w:rPr>
          <w:noProof/>
          <w:u w:val="single"/>
        </w:rPr>
        <w:t>Objet</w:t>
      </w:r>
    </w:p>
    <w:p>
      <w:pPr>
        <w:rPr>
          <w:noProof/>
        </w:rPr>
      </w:pPr>
      <w:r>
        <w:rPr>
          <w:noProof/>
        </w:rPr>
        <w:t>L’accord prévoit un régime de déplacement sans obligation de visa en faveur des citoyens de l’Union et des ressortissants des Palaos qui se rendent sur le territoire de l’autre partie contractante pour un séjour d’une durée maximale de 90 jours sur toute période de 180 jours.</w:t>
      </w:r>
    </w:p>
    <w:p>
      <w:pPr>
        <w:rPr>
          <w:noProof/>
        </w:rPr>
      </w:pPr>
      <w:r>
        <w:rPr>
          <w:noProof/>
        </w:rPr>
        <w:t>Afin de préserver l’égalité de traitement de tous les citoyens de l’Union, l’accord comporte une disposition qui prévoit que les Palaos ne peuvent suspendre ou dénoncer l’accord qu’à l’égard de tous les États membres de l'Union européenne et que l'Union ne peut le suspendre ou le dénoncer qu’à l’égard de l’ensemble de ses États membres.</w:t>
      </w:r>
    </w:p>
    <w:p>
      <w:pPr>
        <w:autoSpaceDE w:val="0"/>
        <w:autoSpaceDN w:val="0"/>
        <w:adjustRightInd w:val="0"/>
        <w:rPr>
          <w:noProof/>
        </w:rPr>
      </w:pPr>
      <w:r>
        <w:rPr>
          <w:noProof/>
        </w:rPr>
        <w:t>Il est tenu compte des situations particulières du Royaume-Uni et de l’Irlande dans le préambule de l’accord.</w:t>
      </w:r>
    </w:p>
    <w:p>
      <w:pPr>
        <w:rPr>
          <w:noProof/>
        </w:rPr>
      </w:pPr>
      <w:r>
        <w:rPr>
          <w:noProof/>
          <w:u w:val="single"/>
        </w:rPr>
        <w:t>Champ d'application</w:t>
      </w:r>
    </w:p>
    <w:p>
      <w:pPr>
        <w:rPr>
          <w:noProof/>
        </w:rPr>
      </w:pPr>
      <w:r>
        <w:rPr>
          <w:noProof/>
        </w:rPr>
        <w:t>L’exemption de visa concerne toutes les catégories de personnes (titulaires de passeports ordinaires, diplomatiques, de service/officiels, ou spéciaux) voyageant pour quelque motif que ce soit, hormis l’exercice d’une activité rémunérée. En ce qui concerne cette dernière catégorie, chaque État membre, de même que les Palaos, reste libre d’imposer une obligation de visa aux ressortissants de l’autre partie, conformément au droit de l'Union ou au droit national applicable. Afin de garantir une application uniforme, une déclaration commune est annexée à l’accord, qui porte sur l’interprétation de la notion de «personnes voyageant pour exercer une activité rémunérée».</w:t>
      </w:r>
    </w:p>
    <w:p>
      <w:pPr>
        <w:rPr>
          <w:noProof/>
        </w:rPr>
      </w:pPr>
      <w:r>
        <w:rPr>
          <w:noProof/>
          <w:u w:val="single"/>
        </w:rPr>
        <w:t>Durée du séjour</w:t>
      </w:r>
    </w:p>
    <w:p>
      <w:pPr>
        <w:rPr>
          <w:noProof/>
        </w:rPr>
      </w:pPr>
      <w:r>
        <w:rPr>
          <w:noProof/>
        </w:rPr>
        <w:t xml:space="preserve">L’accord prévoit un régime de déplacement sans obligation de visa en faveur des citoyens de l’Union et des ressortissants des Palaos qui se rendent sur le territoire de l’autre partie contractante pour un séjour d’une durée maximale de 90 jours sur toute période de 180 jours. </w:t>
      </w:r>
      <w:r>
        <w:rPr>
          <w:noProof/>
        </w:rPr>
        <w:lastRenderedPageBreak/>
        <w:t xml:space="preserve">Une déclaration commune sur l'interprétation de cette durée de 90 jours sur toute période de 180 jours est annexée à l'accord. </w:t>
      </w:r>
    </w:p>
    <w:p>
      <w:pPr>
        <w:rPr>
          <w:noProof/>
        </w:rPr>
      </w:pPr>
      <w:r>
        <w:rPr>
          <w:noProof/>
        </w:rPr>
        <w:t>L’accord tient compte de la situation des États membres qui n’appliquent pas encore l’acquis de Schengen dans son intégralité. Tant que ces États membres (Bulgarie, Croatie, Chypre et Roumanie) ne font pas partie de l’espace Schengen sans frontières intérieures, l’exemption de visa confère aux ressortissants des Palaos le droit de séjourner pendant 90 jours sur toute période de 180 jours sur leur territoire, indépendamment de la durée calculée pour l’ensemble de l’espace Schengen.</w:t>
      </w:r>
    </w:p>
    <w:p>
      <w:pPr>
        <w:rPr>
          <w:noProof/>
        </w:rPr>
      </w:pPr>
      <w:r>
        <w:rPr>
          <w:noProof/>
          <w:u w:val="single"/>
        </w:rPr>
        <w:t>Application territoriale</w:t>
      </w:r>
    </w:p>
    <w:p>
      <w:pPr>
        <w:rPr>
          <w:noProof/>
        </w:rPr>
      </w:pPr>
      <w:r>
        <w:rPr>
          <w:noProof/>
        </w:rPr>
        <w:t>L’accord contient des dispositions relatives à son application territoriale: en ce qui concerne la France et les Pays-Bas, l’exemption de visa limitera le séjour des ressortissants des Palaos au seul territoire européen de ces États membres.</w:t>
      </w:r>
    </w:p>
    <w:p>
      <w:pPr>
        <w:autoSpaceDE w:val="0"/>
        <w:autoSpaceDN w:val="0"/>
        <w:adjustRightInd w:val="0"/>
        <w:rPr>
          <w:noProof/>
          <w:u w:val="single"/>
        </w:rPr>
      </w:pPr>
      <w:r>
        <w:rPr>
          <w:noProof/>
          <w:u w:val="single"/>
        </w:rPr>
        <w:t>Déclarations</w:t>
      </w:r>
    </w:p>
    <w:p>
      <w:pPr>
        <w:autoSpaceDE w:val="0"/>
        <w:autoSpaceDN w:val="0"/>
        <w:adjustRightInd w:val="0"/>
        <w:rPr>
          <w:noProof/>
        </w:rPr>
      </w:pPr>
      <w:r>
        <w:rPr>
          <w:noProof/>
        </w:rPr>
        <w:t>Outre les déclarations communes précitées, deux autres déclarations communes sont annexées à l’accord, lesquelles concernent:</w:t>
      </w:r>
    </w:p>
    <w:p>
      <w:pPr>
        <w:pStyle w:val="ListDash"/>
        <w:rPr>
          <w:noProof/>
        </w:rPr>
      </w:pPr>
      <w:r>
        <w:rPr>
          <w:noProof/>
        </w:rPr>
        <w:t>l'association de la Norvège, de l'Islande, de la Suisse et du Liechtenstein à la mise en œuvre, à l’application et au développement de l’acquis de Schengen;</w:t>
      </w:r>
    </w:p>
    <w:p>
      <w:pPr>
        <w:pStyle w:val="ListDash"/>
        <w:rPr>
          <w:noProof/>
        </w:rPr>
      </w:pPr>
      <w:r>
        <w:rPr>
          <w:noProof/>
        </w:rPr>
        <w:t>la large diffusion des informations relatives au contenu et aux effets de l’accord d’exemption de visa, ainsi qu’aux questions connexes, telles que les conditions d’entrée.</w:t>
      </w:r>
    </w:p>
    <w:p>
      <w:pPr>
        <w:pStyle w:val="ManualHeading1"/>
        <w:rPr>
          <w:noProof/>
        </w:rPr>
      </w:pPr>
      <w:r>
        <w:rPr>
          <w:noProof/>
        </w:rPr>
        <w:t>4.</w:t>
      </w:r>
      <w:r>
        <w:rPr>
          <w:noProof/>
        </w:rPr>
        <w:tab/>
        <w:t>CONCLUSIONS</w:t>
      </w:r>
    </w:p>
    <w:p>
      <w:pPr>
        <w:autoSpaceDE w:val="0"/>
        <w:autoSpaceDN w:val="0"/>
        <w:adjustRightInd w:val="0"/>
        <w:rPr>
          <w:noProof/>
        </w:rPr>
      </w:pPr>
      <w:r>
        <w:rPr>
          <w:noProof/>
        </w:rPr>
        <w:t>Compte tenu des résultats précités, la Commission propose que le Conseil</w:t>
      </w:r>
    </w:p>
    <w:p>
      <w:pPr>
        <w:pStyle w:val="ListDash"/>
        <w:rPr>
          <w:noProof/>
        </w:rPr>
      </w:pPr>
      <w:r>
        <w:rPr>
          <w:noProof/>
        </w:rPr>
        <w:t>décide la signature de l’accord au nom de l'Union et autorise le président du Conseil à désigner la ou les personnes dûment habilitées à le signer au nom de l'Union;</w:t>
      </w:r>
    </w:p>
    <w:p>
      <w:pPr>
        <w:pStyle w:val="ListDash"/>
        <w:rPr>
          <w:noProof/>
        </w:rPr>
      </w:pPr>
      <w:r>
        <w:rPr>
          <w:noProof/>
        </w:rPr>
        <w:t>autorise l’application provisoire de l’accord dans l’attente de son entrée en vigueur.</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2015/0194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concernant la signature, au nom de l'Union européenne, et l'application provisoire de l'accord entre l'Union européenne et la République des Palaos relatif à l'exemption de visa de court séjour</w:t>
      </w:r>
    </w:p>
    <w:p>
      <w:pPr>
        <w:pStyle w:val="Institutionquiagit"/>
        <w:rPr>
          <w:noProof/>
        </w:rPr>
      </w:pPr>
      <w:r>
        <w:rPr>
          <w:noProof/>
        </w:rPr>
        <w:t>LE CONSEIL DE L'UNION EUROPÉENNE,</w:t>
      </w:r>
    </w:p>
    <w:p>
      <w:pPr>
        <w:rPr>
          <w:noProof/>
        </w:rPr>
      </w:pPr>
      <w:r>
        <w:rPr>
          <w:noProof/>
        </w:rPr>
        <w:t>vu le traité sur le fonctionnement de l'Union européenne, et notamment son article 77, paragraphe 2, point a), en liaison avec l'article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règlement (UE) n° 509/2014 du Parlement européen et du Conseil</w:t>
      </w:r>
      <w:r>
        <w:rPr>
          <w:rStyle w:val="FootnoteReference"/>
          <w:noProof/>
        </w:rPr>
        <w:footnoteReference w:id="4"/>
      </w:r>
      <w:r>
        <w:rPr>
          <w:noProof/>
        </w:rPr>
        <w:t xml:space="preserve"> a transféré les Palaos de l'annexe I à l'annexe II du règlement (CE) n° 539/2001</w:t>
      </w:r>
      <w:r>
        <w:rPr>
          <w:rStyle w:val="FootnoteReference"/>
          <w:noProof/>
        </w:rPr>
        <w:footnoteReference w:id="5"/>
      </w:r>
      <w:r>
        <w:rPr>
          <w:noProof/>
        </w:rPr>
        <w:t xml:space="preserve">. </w:t>
      </w:r>
    </w:p>
    <w:p>
      <w:pPr>
        <w:pStyle w:val="ManualConsidrant"/>
        <w:rPr>
          <w:noProof/>
        </w:rPr>
      </w:pPr>
      <w:r>
        <w:t>(2)</w:t>
      </w:r>
      <w:r>
        <w:tab/>
      </w:r>
      <w:r>
        <w:rPr>
          <w:noProof/>
        </w:rPr>
        <w:t>La mention de ce pays est assortie d'une note de bas de page précisant que «l’exemption de l’obligation de visa s’applique à partir de la date d’entrée en vigueur d’un accord sur l’exemption de visa à conclure avec l’Union européenne».</w:t>
      </w:r>
    </w:p>
    <w:p>
      <w:pPr>
        <w:pStyle w:val="ManualConsidrant"/>
        <w:rPr>
          <w:noProof/>
        </w:rPr>
      </w:pPr>
      <w:r>
        <w:t>(3)</w:t>
      </w:r>
      <w:r>
        <w:tab/>
      </w:r>
      <w:r>
        <w:rPr>
          <w:noProof/>
        </w:rPr>
        <w:t>Par décision du 9 octobre 2014, le Conseil a autorisé la Commission à négocier un accord entre l'Union européenne et les Palaos relatif à l’exemption de visa de court séjour. Les négociations avec les Palaos se sont ouvertes le 17 décembre 2014 et se sont déroulées sous forme d'échange de lettres.</w:t>
      </w:r>
    </w:p>
    <w:p>
      <w:pPr>
        <w:pStyle w:val="ManualConsidrant"/>
        <w:rPr>
          <w:noProof/>
        </w:rPr>
      </w:pPr>
      <w:r>
        <w:t>(4)</w:t>
      </w:r>
      <w:r>
        <w:tab/>
      </w:r>
      <w:r>
        <w:rPr>
          <w:noProof/>
        </w:rPr>
        <w:t>Il convient de signer l'accord paraphé par échange de lettres le 27 mai 2015 (Palaos) et le 10 juin 2015 (Union) et d'approuver les déclarations annexées. L’accord devrait être appliqué à titre provisoire, dans l'attente que les procédures nécessaires à sa conclusion formelle aient été menées à bonne fin.</w:t>
      </w:r>
    </w:p>
    <w:p>
      <w:pPr>
        <w:pStyle w:val="ManualConsidrant"/>
        <w:rPr>
          <w:noProof/>
        </w:rPr>
      </w:pPr>
      <w:r>
        <w:t>(5)</w:t>
      </w:r>
      <w:r>
        <w:tab/>
      </w:r>
      <w:r>
        <w:rPr>
          <w:noProof/>
        </w:rPr>
        <w:t>Conformément au protocole sur la position du Royaume-Uni et de l’Irlande à l'égard de l'espace de liberté, de sécurité et de justice ainsi qu'au protocole sur l’acquis de Schengen intégré dans le cadre de l’Union européenne, annexés au traité sur l’Union européenne et au traité sur le fonctionnement de l'Union européenne, les dispositions du présent accord ne s’appliquent pas au Royaume-Uni ni à l’Irlande,</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rPr>
          <w:noProof/>
        </w:rPr>
      </w:pPr>
      <w:r>
        <w:rPr>
          <w:noProof/>
        </w:rPr>
        <w:t>La signature de l'accord entre l'Union européenne et la République des Palaos relatif à l'exemption de visa de court séjour (ci-après, «l'accord») est approuvée au nom de l'Union, sous réserve de sa conclusion.</w:t>
      </w:r>
    </w:p>
    <w:p>
      <w:pPr>
        <w:rPr>
          <w:noProof/>
        </w:rPr>
      </w:pPr>
      <w:r>
        <w:rPr>
          <w:noProof/>
        </w:rPr>
        <w:t>Le texte de l'accord est joint à la présente décision.</w:t>
      </w:r>
    </w:p>
    <w:p>
      <w:pPr>
        <w:pStyle w:val="Titrearticle"/>
        <w:rPr>
          <w:noProof/>
        </w:rPr>
      </w:pPr>
      <w:r>
        <w:rPr>
          <w:noProof/>
        </w:rPr>
        <w:t>Article 2</w:t>
      </w:r>
    </w:p>
    <w:p>
      <w:pPr>
        <w:rPr>
          <w:noProof/>
        </w:rPr>
      </w:pPr>
      <w:r>
        <w:rPr>
          <w:noProof/>
        </w:rPr>
        <w:t>Les déclarations jointes à la présente décision sont approuvées au nom de l'Union.</w:t>
      </w:r>
    </w:p>
    <w:p>
      <w:pPr>
        <w:pStyle w:val="Titrearticle"/>
        <w:rPr>
          <w:noProof/>
        </w:rPr>
      </w:pPr>
      <w:r>
        <w:rPr>
          <w:noProof/>
        </w:rPr>
        <w:t>Article 3</w:t>
      </w:r>
    </w:p>
    <w:p>
      <w:pPr>
        <w:rPr>
          <w:noProof/>
        </w:rPr>
      </w:pPr>
      <w:r>
        <w:rPr>
          <w:noProof/>
        </w:rPr>
        <w:t>Le président du Conseil est autorisé à désigner la ou les personnes habilitées à signer l'accord au nom de l'Union, sous réserve de sa conclusion.</w:t>
      </w:r>
    </w:p>
    <w:p>
      <w:pPr>
        <w:pStyle w:val="Titrearticle"/>
        <w:rPr>
          <w:noProof/>
        </w:rPr>
      </w:pPr>
      <w:r>
        <w:rPr>
          <w:noProof/>
        </w:rPr>
        <w:t>Article 4</w:t>
      </w:r>
    </w:p>
    <w:p>
      <w:pPr>
        <w:keepLines/>
        <w:rPr>
          <w:noProof/>
        </w:rPr>
      </w:pPr>
      <w:r>
        <w:rPr>
          <w:noProof/>
        </w:rPr>
        <w:t>L'accord est appliqué à titre provisoire à partir du jour suivant la date de sa signature, dans l'attente que les procédures nécessaires à sa conclusion aient été menées à bonne fin.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(CE) n° 539/2001 du Conseil du 15 mars 2001 fixant la liste des pays tiers dont les ressortissants sont soumis à l'obligation de visa pour franchir les frontières extérieures des États membres et la liste de ceux dont les ressortissants sont exemptés de cette obligation (JO L 81 du 21.03.2001, p. 1).</w:t>
      </w:r>
    </w:p>
  </w:footnote>
  <w:footnote w:id="2">
    <w:p>
      <w:pPr>
        <w:pStyle w:val="FootnoteText"/>
      </w:pPr>
      <w:r>
        <w:rPr>
          <w:rStyle w:val="FootnoteReference"/>
        </w:rPr>
        <w:footnoteRef/>
      </w:r>
      <w:r>
        <w:tab/>
        <w:t>Règlement (UE) n° 509/2014 du Parlement européen et du Conseil du 15 mai 2014 modifiant le règlement (CE) n° 539/2001 du Conseil fixant la liste des pays tiers dont les ressortissants sont soumis à l'obligation de visa pour franchir les frontières extérieures des États membres et la liste de ceux dont les ressortissants sont exemptés de cette obligation (JO L 149 du 20.05.2014, p. 67).</w:t>
      </w:r>
    </w:p>
  </w:footnote>
  <w:footnote w:id="3">
    <w:p>
      <w:pPr>
        <w:pStyle w:val="FootnoteText"/>
      </w:pPr>
      <w:r>
        <w:rPr>
          <w:rStyle w:val="FootnoteReference"/>
        </w:rPr>
        <w:footnoteRef/>
      </w:r>
      <w:r>
        <w:tab/>
        <w:t>COM(2014) 467 du 17.7.2014.</w:t>
      </w:r>
    </w:p>
  </w:footnote>
  <w:footnote w:id="4">
    <w:p>
      <w:pPr>
        <w:pStyle w:val="FootnoteText"/>
      </w:pPr>
      <w:r>
        <w:rPr>
          <w:rStyle w:val="FootnoteReference"/>
        </w:rPr>
        <w:footnoteRef/>
      </w:r>
      <w:r>
        <w:tab/>
        <w:t>Règlement (UE) n° 509/2014 du Parlement européen et du Conseil du 15 mai 2014 modifiant le règlement (CE) n° 539/2001 du Conseil fixant la liste des pays tiers dont les ressortissants sont soumis à l’obligation de visa pour franchir les frontières extérieures des États membres et la liste de ceux dont les ressortissants sont exemptés de cette obligation, JO L 149 du 20.5.2014, p. 67.</w:t>
      </w:r>
    </w:p>
  </w:footnote>
  <w:footnote w:id="5">
    <w:p>
      <w:pPr>
        <w:pStyle w:val="FootnoteText"/>
      </w:pPr>
      <w:r>
        <w:rPr>
          <w:rStyle w:val="FootnoteReference"/>
        </w:rPr>
        <w:footnoteRef/>
      </w:r>
      <w:r>
        <w:tab/>
        <w:t>Règlement (CE) n° 539/2001 du Conseil du 15 mars 2001 fixant la liste des pays tiers dont les ressortissants sont soumis à l'obligation de visa pour franchir les frontières extérieures des États membres et la liste de ceux dont les ressortissants sont exemptés de cette obligation, JO L 81 du 21.3.2001,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0EFC4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160DC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8B12BC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D5C64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34D9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876E1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DACD3C"/>
    <w:lvl w:ilvl="0">
      <w:start w:val="1"/>
      <w:numFmt w:val="decimal"/>
      <w:pStyle w:val="ListNumber"/>
      <w:lvlText w:val="%1."/>
      <w:lvlJc w:val="left"/>
      <w:pPr>
        <w:tabs>
          <w:tab w:val="num" w:pos="360"/>
        </w:tabs>
        <w:ind w:left="360" w:hanging="360"/>
      </w:pPr>
    </w:lvl>
  </w:abstractNum>
  <w:abstractNum w:abstractNumId="7">
    <w:nsid w:val="FFFFFF89"/>
    <w:multiLevelType w:val="singleLevel"/>
    <w:tmpl w:val="283839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0315490"/>
    <w:multiLevelType w:val="singleLevel"/>
    <w:tmpl w:val="1F86C700"/>
    <w:name w:val="0,5809551"/>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12"/>
  </w:num>
  <w:num w:numId="3">
    <w:abstractNumId w:val="22"/>
  </w:num>
  <w:num w:numId="4">
    <w:abstractNumId w:val="23"/>
    <w:lvlOverride w:ilvl="0">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0"/>
  </w:num>
  <w:num w:numId="12">
    <w:abstractNumId w:val="19"/>
  </w:num>
  <w:num w:numId="13">
    <w:abstractNumId w:val="13"/>
  </w:num>
  <w:num w:numId="14">
    <w:abstractNumId w:val="21"/>
  </w:num>
  <w:num w:numId="15">
    <w:abstractNumId w:val="11"/>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3"/>
  </w:num>
  <w:num w:numId="26">
    <w:abstractNumId w:val="19"/>
  </w:num>
  <w:num w:numId="27">
    <w:abstractNumId w:val="13"/>
  </w:num>
  <w:num w:numId="28">
    <w:abstractNumId w:val="21"/>
  </w:num>
  <w:num w:numId="29">
    <w:abstractNumId w:val="11"/>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07 07:14: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C40263EAC8D844FC8628EE8CD0EDB791"/>
    <w:docVar w:name="LW_CROSSREFERENCE" w:val="&lt;UNUSED&gt;"/>
    <w:docVar w:name="LW_DocType" w:val="COM"/>
    <w:docVar w:name="LW_EMISSION" w:val="14.9.2015"/>
    <w:docVar w:name="LW_EMISSION_ISODATE" w:val="2015-09-1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94"/>
    <w:docVar w:name="LW_REF.II.NEW.CP_YEAR" w:val="2015"/>
    <w:docVar w:name="LW_REF.INST.NEW" w:val="COM"/>
    <w:docVar w:name="LW_REF.INST.NEW_ADOPTED" w:val="final"/>
    <w:docVar w:name="LW_REF.INST.NEW_TEXT" w:val="(2015) 431"/>
    <w:docVar w:name="LW_REF.INTERNE" w:val="&lt;UNUSED&gt;"/>
    <w:docVar w:name="LW_SOUS.TITRE.OBJ.CP" w:val="&lt;UNUSED&gt;"/>
    <w:docVar w:name="LW_STATUT.CP" w:val="Proposition de"/>
    <w:docVar w:name="LW_SUPERTITRE" w:val="&lt;UNUSED&gt;"/>
    <w:docVar w:name="LW_TITRE.OBJ.CP" w:val="concernant la signature, au nom de l'Union européenne, et l'application provisoire de l'accord entre l'Union européenne et la République des Palaos relatif à l'exemption de visa de court séjour"/>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customStyle="1" w:styleId="ListDash">
    <w:name w:val="List Dash"/>
    <w:basedOn w:val="Normal"/>
    <w:pPr>
      <w:numPr>
        <w:numId w:val="2"/>
      </w:numPr>
    </w:pPr>
    <w:rPr>
      <w:rFonts w:eastAsia="Times New Roman"/>
      <w:szCs w:val="24"/>
    </w:rPr>
  </w:style>
  <w:style w:type="paragraph" w:customStyle="1" w:styleId="ListDash3">
    <w:name w:val="List Dash 3"/>
    <w:basedOn w:val="Normal"/>
    <w:pPr>
      <w:numPr>
        <w:numId w:val="3"/>
      </w:numPr>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customStyle="1" w:styleId="ListDash">
    <w:name w:val="List Dash"/>
    <w:basedOn w:val="Normal"/>
    <w:pPr>
      <w:numPr>
        <w:numId w:val="2"/>
      </w:numPr>
    </w:pPr>
    <w:rPr>
      <w:rFonts w:eastAsia="Times New Roman"/>
      <w:szCs w:val="24"/>
    </w:rPr>
  </w:style>
  <w:style w:type="paragraph" w:customStyle="1" w:styleId="ListDash3">
    <w:name w:val="List Dash 3"/>
    <w:basedOn w:val="Normal"/>
    <w:pPr>
      <w:numPr>
        <w:numId w:val="3"/>
      </w:numPr>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1605</Words>
  <Characters>8605</Characters>
  <Application>Microsoft Office Word</Application>
  <DocSecurity>0</DocSecurity>
  <Lines>150</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2015-09-02T15:08:00Z</dcterms:created>
  <dcterms:modified xsi:type="dcterms:W3CDTF">2015-09-07T05:14:00Z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