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5B5E8DF6C641359E189E23B0C11E60"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autoSpaceDE w:val="0"/>
        <w:autoSpaceDN w:val="0"/>
        <w:adjustRightInd w:val="0"/>
        <w:spacing w:before="0" w:after="0"/>
        <w:rPr>
          <w:i/>
          <w:noProof/>
          <w:szCs w:val="24"/>
        </w:rPr>
      </w:pPr>
      <w:r>
        <w:rPr>
          <w:noProof/>
        </w:rPr>
        <w:t>С настоящото предложение се цели да се установи позицията, която да заеме Европейският съюз в Общия съвет на Световната търговска организация (СТО) по отношение на искането на Съединените щати за подновяване на дерогацията от СТО, с която те се ползват, и по този начин да се позволи на Европейския съюз да подкрепи това искане.</w:t>
      </w:r>
      <w:r>
        <w:rPr>
          <w:i/>
          <w:noProof/>
        </w:rPr>
        <w:t xml:space="preserve"> </w:t>
      </w:r>
    </w:p>
    <w:p>
      <w:pPr>
        <w:autoSpaceDE w:val="0"/>
        <w:autoSpaceDN w:val="0"/>
        <w:adjustRightInd w:val="0"/>
        <w:spacing w:before="0" w:after="0"/>
        <w:rPr>
          <w:i/>
          <w:noProof/>
          <w:szCs w:val="24"/>
        </w:rPr>
      </w:pPr>
      <w:r>
        <w:rPr>
          <w:noProof/>
        </w:rPr>
        <w:t>Ако искането на САЩ за подновяване на дерогацията от СТО бъде изпълнено, това ще позволи на САЩ да продължат до 30 септември 2025 г. включително да предоставят безмитен режим за допустими продукти с произход от държави бенефициери в Африка на юг от Сахара, определени съгласно Акта за растеж и развитие на Африка (African Growth and Opportunity Act — AGOA).</w:t>
      </w:r>
      <w:r>
        <w:rPr>
          <w:i/>
          <w:noProof/>
        </w:rPr>
        <w:t xml:space="preserve"> </w:t>
      </w:r>
    </w:p>
    <w:p>
      <w:pPr>
        <w:pStyle w:val="ManualHeading1"/>
        <w:rPr>
          <w:noProof/>
        </w:rPr>
      </w:pPr>
      <w:r>
        <w:rPr>
          <w:noProof/>
        </w:rPr>
        <w:t>2.</w:t>
      </w:r>
      <w:r>
        <w:rPr>
          <w:noProof/>
        </w:rPr>
        <w:tab/>
        <w:t>ПРАВНО ОСНОВАНИЕ, СУБСИДИАРНОСТ И ПРОПОРЦИОНАЛНОСТ</w:t>
      </w:r>
    </w:p>
    <w:p>
      <w:pPr>
        <w:autoSpaceDE w:val="0"/>
        <w:autoSpaceDN w:val="0"/>
        <w:adjustRightInd w:val="0"/>
        <w:spacing w:before="0" w:after="0"/>
        <w:rPr>
          <w:noProof/>
        </w:rPr>
      </w:pPr>
      <w:r>
        <w:rPr>
          <w:noProof/>
        </w:rPr>
        <w:t xml:space="preserve">В член 218, параграф 9 от Договора за функционирането на Европейския съюз (ДФЕС) е предвидено, че когато в рамките на орган, създаден с международно споразумение, трябва да бъде взето решение с правно действие, Съветът, по предложение на Комисията или на върховния представител на Съюза по въпросите на външните работи и политиката на сигурност, приема решение за установяване на позицията, която да бъде заета от името на Европейския съюз. Предоставянето на дерогация, с която на Съединените щати се позволява да предоставят преференциално тарифно третиране на допустими продукти с произход от държави бенефициери в Африка на юг от Сахара, определени съгласно AGOA, попада в обхвата на тази разпоредба, тъй като решението се взима в рамките на организация, създадена по силата на международно споразумение (Общия съвет на СТО или Министерската конференция), което засяга правата и задълженията на Европейския съюз. </w:t>
      </w:r>
    </w:p>
    <w:p>
      <w:pPr>
        <w:pStyle w:val="ManualHeading1"/>
        <w:rPr>
          <w:noProof/>
        </w:rPr>
      </w:pPr>
      <w:r>
        <w:rPr>
          <w:noProof/>
        </w:rPr>
        <w:t>3.</w:t>
      </w:r>
      <w:r>
        <w:rPr>
          <w:noProof/>
        </w:rPr>
        <w:tab/>
        <w:t xml:space="preserve">РЕЗУЛТАТИ ОТ ПОСЛЕДВАЩИТЕ ОЦЕНКИ, КОНСУЛТАЦИИ СЪС ЗАИНТЕРЕСОВАНИТЕ СТРАНИ И ОЦЕНКИ НА ВЪЗДЕЙСТВИЕТО </w:t>
      </w:r>
    </w:p>
    <w:p>
      <w:pPr>
        <w:autoSpaceDE w:val="0"/>
        <w:autoSpaceDN w:val="0"/>
        <w:adjustRightInd w:val="0"/>
        <w:spacing w:before="0" w:after="0"/>
        <w:rPr>
          <w:noProof/>
        </w:rPr>
      </w:pPr>
      <w:r>
        <w:rPr>
          <w:noProof/>
        </w:rPr>
        <w:t>Не е приложимо.</w:t>
      </w:r>
    </w:p>
    <w:p>
      <w:pPr>
        <w:pStyle w:val="ManualHeading1"/>
        <w:rPr>
          <w:noProof/>
        </w:rPr>
      </w:pPr>
      <w:r>
        <w:rPr>
          <w:noProof/>
        </w:rPr>
        <w:t>4.</w:t>
      </w:r>
      <w:r>
        <w:rPr>
          <w:noProof/>
        </w:rPr>
        <w:tab/>
        <w:t>ОТРАЖЕНИЕ ВЪРХУ БЮДЖЕТА</w:t>
      </w:r>
    </w:p>
    <w:p>
      <w:pPr>
        <w:autoSpaceDE w:val="0"/>
        <w:autoSpaceDN w:val="0"/>
        <w:adjustRightInd w:val="0"/>
        <w:spacing w:before="0" w:after="0"/>
        <w:rPr>
          <w:noProof/>
        </w:rPr>
      </w:pPr>
      <w:r>
        <w:rPr>
          <w:noProof/>
        </w:rPr>
        <w:t>Не е приложимо.</w:t>
      </w:r>
    </w:p>
    <w:p>
      <w:pPr>
        <w:pStyle w:val="ManualHeading1"/>
        <w:rPr>
          <w:noProof/>
        </w:rPr>
      </w:pPr>
      <w:r>
        <w:rPr>
          <w:noProof/>
        </w:rPr>
        <w:t>5.</w:t>
      </w:r>
      <w:r>
        <w:rPr>
          <w:noProof/>
        </w:rPr>
        <w:tab/>
        <w:t>Други елементи</w:t>
      </w:r>
    </w:p>
    <w:p>
      <w:pPr>
        <w:autoSpaceDE w:val="0"/>
        <w:autoSpaceDN w:val="0"/>
        <w:adjustRightInd w:val="0"/>
        <w:spacing w:before="0" w:after="0"/>
        <w:rPr>
          <w:noProof/>
        </w:rPr>
      </w:pPr>
      <w:r>
        <w:rPr>
          <w:noProof/>
        </w:rPr>
        <w:t xml:space="preserve">Комисията ще бъде оправомощена да заеме позиция от името на Европейския съюз в подкрепа на искането на Съединените щати за дерогация от СТО до необходимата степен, която да позволи на Съединените щати да предоставят до 30 септември 2025 г. безмитен режим за допустими продукти с произход от държавите бенефициери в Африка на юг от Сахара.  </w:t>
      </w:r>
    </w:p>
    <w:p>
      <w:pPr>
        <w:autoSpaceDE w:val="0"/>
        <w:autoSpaceDN w:val="0"/>
        <w:adjustRightInd w:val="0"/>
        <w:spacing w:before="0" w:after="0"/>
        <w:rPr>
          <w:noProof/>
          <w:highlight w:val="yellow"/>
        </w:rPr>
      </w:pPr>
      <w:r>
        <w:rPr>
          <w:noProof/>
        </w:rPr>
        <w:t>AGOA има за цел да се намали бедността и да се насърчат стабилността и устойчивото икономическо развитие в Африка на юг от Сахара чрез насърчаване увеличаването на стокообмена и инвестициите между САЩ и държавите бенефициери. AGOA действа и в подкрепа на регионалната икономическа интеграция, с което подпомага по-пълноценното участие на държавите бенефициери в глобалната икономика.</w:t>
      </w:r>
    </w:p>
    <w:p>
      <w:pPr>
        <w:autoSpaceDE w:val="0"/>
        <w:autoSpaceDN w:val="0"/>
        <w:adjustRightInd w:val="0"/>
        <w:rPr>
          <w:noProof/>
        </w:rPr>
      </w:pPr>
      <w:r>
        <w:rPr>
          <w:noProof/>
        </w:rPr>
        <w:t xml:space="preserve">Според Съединените щати безмитният режим, предоставян от 2000 г. насам по AGOA, допълва усилията на другите членове на СТО за насърчаване на растежа и развитието в този регион. </w:t>
      </w:r>
    </w:p>
    <w:p>
      <w:pPr>
        <w:autoSpaceDE w:val="0"/>
        <w:autoSpaceDN w:val="0"/>
        <w:adjustRightInd w:val="0"/>
        <w:spacing w:before="0" w:after="0"/>
        <w:rPr>
          <w:noProof/>
        </w:rPr>
      </w:pPr>
      <w:r>
        <w:rPr>
          <w:noProof/>
        </w:rPr>
        <w:t>Исканата дерогация би представлявала второто удължаване на преференциалното тарифно третиране. На 27 май 2009 г. на Съединените щати бе предоставена дерогация от задълженията им по член I, параграф 1 и член XIII, параграфи 1 и 2 за периода до 30 септември 2015 г.</w:t>
      </w:r>
    </w:p>
    <w:p>
      <w:pPr>
        <w:rPr>
          <w:b/>
          <w:noProof/>
          <w:color w:val="FF0000"/>
        </w:rPr>
      </w:pPr>
      <w:r>
        <w:rPr>
          <w:noProof/>
        </w:rPr>
        <w:t xml:space="preserve">Искането за дерогация не предизвиква опасения от икономическо естество за Европейския съюз, тъй като безмитният режим не оказва пряко въздействие върху търговията на ЕС с държавите бенефициери. </w:t>
      </w:r>
    </w:p>
    <w:p>
      <w:pPr>
        <w:rPr>
          <w:b/>
          <w:noProof/>
        </w:rPr>
      </w:pPr>
      <w:r>
        <w:rPr>
          <w:noProof/>
        </w:rPr>
        <w:t xml:space="preserve">В светлината на тези съображения Европейският съюз следва да се присъедини към консенсуса в Общия съвет на СТО в подкрепа на искането за дерогация.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2015/0215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се заеме от името на Европейския съюз в рамките на Общия съвет на СТО по отношение на искането на Съединените щати за дерогация от СТО с оглед удължаване на програмата AGOA</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color w:val="000000"/>
        </w:rPr>
      </w:pPr>
      <w:r>
        <w:rPr>
          <w:noProof/>
        </w:rPr>
        <w:t>като взе предвид предложението на Европейската комисия,</w:t>
      </w:r>
      <w:r>
        <w:rPr>
          <w:noProof/>
          <w:color w:val="000000"/>
        </w:rPr>
        <w:t xml:space="preserve"> </w:t>
      </w:r>
    </w:p>
    <w:p>
      <w:pPr>
        <w:rPr>
          <w:noProof/>
        </w:rPr>
      </w:pPr>
      <w:r>
        <w:rPr>
          <w:noProof/>
        </w:rPr>
        <w:t>като има предвид, че:</w:t>
      </w:r>
    </w:p>
    <w:p>
      <w:pPr>
        <w:pStyle w:val="ManualConsidrant"/>
        <w:rPr>
          <w:noProof/>
        </w:rPr>
      </w:pPr>
      <w:r>
        <w:rPr>
          <w:noProof/>
        </w:rPr>
        <w:t>(1)</w:t>
      </w:r>
      <w:r>
        <w:rPr>
          <w:noProof/>
        </w:rPr>
        <w:tab/>
        <w:t xml:space="preserve">В член IX, параграфи 3 и 4 от Маракешкото споразумение за създаване на Световната търговска организация („Споразумението за СТО“) се определят процедурите за предоставяне на дерогации от многостранните търговски споразумения в приложение 1А, 1Б или 1В към Споразумението за СТО и приложенията към тях. </w:t>
      </w:r>
    </w:p>
    <w:p>
      <w:pPr>
        <w:pStyle w:val="ManualConsidrant"/>
        <w:rPr>
          <w:noProof/>
        </w:rPr>
      </w:pPr>
      <w:r>
        <w:rPr>
          <w:noProof/>
        </w:rPr>
        <w:t>(2)</w:t>
      </w:r>
      <w:r>
        <w:rPr>
          <w:noProof/>
        </w:rPr>
        <w:tab/>
        <w:t>На 27 май 2009 г. на Съединените щати бе предоставена дерогация от задълженията им по член I, параграф 1 и член XIII, параграфи 1 и 2 от Общото споразумение за митата и търговията от 1994 г. (наричано по-нататък „ГАТТ 1994“) за периода до 30 септември 2015 г. включително.</w:t>
      </w:r>
    </w:p>
    <w:p>
      <w:pPr>
        <w:pStyle w:val="ManualConsidrant"/>
        <w:rPr>
          <w:noProof/>
        </w:rPr>
      </w:pPr>
      <w:r>
        <w:rPr>
          <w:noProof/>
        </w:rPr>
        <w:t>(3)</w:t>
      </w:r>
      <w:r>
        <w:rPr>
          <w:noProof/>
        </w:rPr>
        <w:tab/>
        <w:t xml:space="preserve">В съответствие с член IX, параграф 3 от Споразумението за СТО, Съединените щати подадоха искане за дерогация от задълженията си по член I, параграф 1 и член XIII, параграфи 1 и 2 от Общото споразумение за митата и търговията от 1994 г. за периода до 30 септември 2025 г. и до необходимата степен, която да им позволи да продължат да предоставят безмитен режим за допустими продукти с произход от държавите бенефициери в Африка на юг от Сахара, определени съгласно Акта за растеж и развитие на Африка (African Growth and Opportunity Act — AGOA). </w:t>
      </w:r>
    </w:p>
    <w:p>
      <w:pPr>
        <w:pStyle w:val="ManualConsidrant"/>
        <w:rPr>
          <w:noProof/>
        </w:rPr>
      </w:pPr>
      <w:r>
        <w:rPr>
          <w:noProof/>
        </w:rPr>
        <w:t>(4)</w:t>
      </w:r>
      <w:r>
        <w:rPr>
          <w:noProof/>
        </w:rPr>
        <w:tab/>
        <w:t xml:space="preserve">Удовлетворяването на това искане за дерогация от СТО няма да се отрази отрицателно нито на икономиката на Европейския съюз, нито на търговските отношения с бенефициерите на дерогацията. Освен това Европейският съюз като цяло подкрепя действията за намаляване на бедността и насърчаване на стабилността и устойчивото икономическо развитие в държавите бенефициери. </w:t>
      </w:r>
    </w:p>
    <w:p>
      <w:pPr>
        <w:pStyle w:val="ManualConsidrant"/>
        <w:rPr>
          <w:noProof/>
        </w:rPr>
      </w:pPr>
      <w:r>
        <w:rPr>
          <w:noProof/>
        </w:rPr>
        <w:t>(5)</w:t>
      </w:r>
      <w:r>
        <w:rPr>
          <w:noProof/>
        </w:rPr>
        <w:tab/>
        <w:t>Поради това е целесъобразно позицията, която да се заеме от името на Европейския съюз в рамките на Общия съвет на СТО, да бъде в подкрепа на искането на Съединените щати за дерогация,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да се заеме от името на Европейския съюз в Общия съвет на Световната търговска организация, е да се подкрепи искането на Съединените щати за дерогация от задълженията им по член I, параграф 1 и член XIII, параграфи 1 и 2 от Общото споразумение за митата и търговията от 1994 г. до 30 септември 2025 г., в съответствие с условията на искането на Съединените щати за дерогация. </w:t>
      </w:r>
    </w:p>
    <w:p>
      <w:pPr>
        <w:rPr>
          <w:noProof/>
        </w:rPr>
      </w:pPr>
      <w:r>
        <w:rPr>
          <w:noProof/>
        </w:rPr>
        <w:t xml:space="preserve">Настоящата позиция се представя от Комисията. </w:t>
      </w:r>
    </w:p>
    <w:p>
      <w:pPr>
        <w:pStyle w:val="Titrearticle"/>
        <w:rPr>
          <w:noProof/>
        </w:rPr>
      </w:pPr>
      <w:r>
        <w:rPr>
          <w:noProof/>
        </w:rPr>
        <w:t>Член 2</w:t>
      </w:r>
    </w:p>
    <w:p>
      <w:pPr>
        <w:rPr>
          <w:noProof/>
          <w:color w:val="000000"/>
        </w:rPr>
      </w:pPr>
      <w:r>
        <w:rPr>
          <w:noProof/>
        </w:rPr>
        <w:t>Настоящото решение влиза в сила в деня на приемането му.</w:t>
      </w:r>
      <w:r>
        <w:rPr>
          <w:noProof/>
          <w:color w:val="000000"/>
        </w:rPr>
        <w:t xml:space="preserve">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2237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48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947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3C6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C1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3E19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EE4948"/>
    <w:lvl w:ilvl="0">
      <w:start w:val="1"/>
      <w:numFmt w:val="decimal"/>
      <w:pStyle w:val="ListNumber"/>
      <w:lvlText w:val="%1."/>
      <w:lvlJc w:val="left"/>
      <w:pPr>
        <w:tabs>
          <w:tab w:val="num" w:pos="360"/>
        </w:tabs>
        <w:ind w:left="360" w:hanging="360"/>
      </w:pPr>
    </w:lvl>
  </w:abstractNum>
  <w:abstractNum w:abstractNumId="7">
    <w:nsid w:val="FFFFFF89"/>
    <w:multiLevelType w:val="singleLevel"/>
    <w:tmpl w:val="0B143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2 09:42: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5B5E8DF6C641359E189E23B0C11E60"/>
    <w:docVar w:name="LW_CROSSREFERENCE" w:val="&lt;UNUSED&gt;"/>
    <w:docVar w:name="LW_DocType" w:val="COM"/>
    <w:docVar w:name="LW_EMISSION" w:val="22.9.2015"/>
    <w:docVar w:name="LW_EMISSION_ISODATE" w:val="2015-09-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5"/>
    <w:docVar w:name="LW_REF.II.NEW.CP_YEAR" w:val="2015"/>
    <w:docVar w:name="LW_REF.INST.NEW" w:val="COM"/>
    <w:docVar w:name="LW_REF.INST.NEW_ADOPTED" w:val="final"/>
    <w:docVar w:name="LW_REF.INST.NEW_TEXT" w:val="(2015) 464"/>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58?\u1054? \u1087?\u1086? \u1086?\u1090?\u1085?\u1086?\u1096?\u1077?\u1085?\u1080?\u1077? \u1085?\u1072? \u1080?\u1089?\u1082?\u1072?\u1085?\u1077?\u1090?\u1086? \u1085?\u1072? \u1057?\u1098?\u1077?\u1076?\u1080?\u1085?\u1077?\u1085?\u1080?\u1090?\u1077? \u1097?\u1072?\u1090?\u1080? \u1079?\u1072? \u1076?\u1077?\u1088?\u1086?\u1075?\u1072?\u1094?\u1080?\u1103? \u1086?\u1090? \u1057?\u1058?\u1054? \u1089? \u1086?\u1075?\u1083?\u1077?\u1076? \u1091?\u1076?\u1098?\u1083?\u1078?\u1072?\u1074?\u1072?\u1085?\u1077? \u1085?\u1072? \u1087?\u1088?\u1086?\u1075?\u1088?\u1072?\u1084?\u1072?\u1090?\u1072? AGO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978</Words>
  <Characters>5243</Characters>
  <Application>Microsoft Office Word</Application>
  <DocSecurity>0</DocSecurity>
  <Lines>107</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2015-07-28T14:23:00Z</cp:lastPrinted>
  <dcterms:created xsi:type="dcterms:W3CDTF">2015-09-09T07:50:00Z</dcterms:created>
  <dcterms:modified xsi:type="dcterms:W3CDTF">2015-09-22T07:42:00Z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