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F2" w:rsidRPr="002B441E" w:rsidRDefault="00323530" w:rsidP="002B441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906b984-0976-48a8-8eed-4018ff9905af_0" style="width:568.5pt;height:318pt">
            <v:imagedata r:id="rId8" o:title=""/>
          </v:shape>
        </w:pict>
      </w:r>
      <w:bookmarkEnd w:id="0"/>
    </w:p>
    <w:p w:rsidR="0023471F" w:rsidRPr="00F0677A" w:rsidRDefault="0023471F" w:rsidP="00833081">
      <w:pPr>
        <w:pStyle w:val="HeadingCentered"/>
        <w:spacing w:before="0"/>
      </w:pPr>
      <w:r w:rsidRPr="00F0677A">
        <w:br w:type="page"/>
      </w:r>
      <w:r w:rsidRPr="00F0677A">
        <w:lastRenderedPageBreak/>
        <w:t>СЪДЪРЖАНИЕ</w:t>
      </w:r>
    </w:p>
    <w:p w:rsidR="0023471F" w:rsidRPr="00F0677A" w:rsidRDefault="0023471F" w:rsidP="00833081">
      <w:pPr>
        <w:pStyle w:val="NormalRight"/>
        <w:spacing w:before="480" w:after="120"/>
        <w:rPr>
          <w:b/>
          <w:bCs/>
        </w:rPr>
      </w:pPr>
      <w:r w:rsidRPr="00F0677A">
        <w:rPr>
          <w:b/>
        </w:rPr>
        <w:t>Страница</w:t>
      </w:r>
    </w:p>
    <w:p w:rsidR="0023471F" w:rsidRPr="00F0677A" w:rsidRDefault="0023471F" w:rsidP="0023471F">
      <w:pPr>
        <w:pStyle w:val="PointManual"/>
        <w:tabs>
          <w:tab w:val="right" w:leader="dot" w:pos="9639"/>
        </w:tabs>
      </w:pPr>
      <w:r w:rsidRPr="00F0677A">
        <w:t>1.</w:t>
      </w:r>
      <w:r w:rsidRPr="00F0677A">
        <w:tab/>
        <w:t>Приемане на предварителния дневен ред</w:t>
      </w:r>
      <w:r w:rsidRPr="00F0677A">
        <w:tab/>
        <w:t>3</w:t>
      </w:r>
    </w:p>
    <w:p w:rsidR="00FB71A3" w:rsidRPr="00F0677A" w:rsidRDefault="00833081" w:rsidP="00833081">
      <w:pPr>
        <w:pStyle w:val="HeadingCentered"/>
        <w:spacing w:before="360"/>
        <w:rPr>
          <w:b w:val="0"/>
          <w:bCs/>
        </w:rPr>
      </w:pPr>
      <w:r w:rsidRPr="00F0677A">
        <w:rPr>
          <w:b w:val="0"/>
        </w:rPr>
        <w:t>ЗАЕТОСТ И СОЦИАЛНА ПОЛИТИКА</w:t>
      </w:r>
    </w:p>
    <w:p w:rsidR="0023471F" w:rsidRPr="00F0677A" w:rsidRDefault="0023471F" w:rsidP="0023471F">
      <w:pPr>
        <w:spacing w:before="240"/>
        <w:rPr>
          <w:b/>
          <w:bCs/>
        </w:rPr>
      </w:pPr>
      <w:r w:rsidRPr="00F0677A">
        <w:rPr>
          <w:b/>
        </w:rPr>
        <w:t>НЕЗАКОНОДАТЕЛНИ ДЕЙНОСТИ</w:t>
      </w:r>
    </w:p>
    <w:p w:rsidR="0023471F" w:rsidRPr="00F0677A" w:rsidRDefault="00833081" w:rsidP="00833081">
      <w:pPr>
        <w:pStyle w:val="PointManual"/>
        <w:tabs>
          <w:tab w:val="right" w:leader="dot" w:pos="9639"/>
        </w:tabs>
      </w:pPr>
      <w:r w:rsidRPr="00F0677A">
        <w:t>2.</w:t>
      </w:r>
      <w:r w:rsidRPr="00F0677A">
        <w:tab/>
        <w:t>Европейски семестър за 2015 г.: Принос за заседанието на Европейския съвет</w:t>
      </w:r>
      <w:r w:rsidRPr="00F0677A">
        <w:br/>
        <w:t>(Брюксел, 25—26 юни 2015 г.)</w:t>
      </w:r>
      <w:r w:rsidRPr="00F0677A">
        <w:tab/>
        <w:t>3</w:t>
      </w:r>
    </w:p>
    <w:p w:rsidR="0023471F" w:rsidRPr="00F0677A" w:rsidRDefault="00833081" w:rsidP="00833081">
      <w:pPr>
        <w:pStyle w:val="PointManual"/>
        <w:tabs>
          <w:tab w:val="right" w:leader="dot" w:pos="9639"/>
        </w:tabs>
      </w:pPr>
      <w:r w:rsidRPr="00F0677A">
        <w:t>3.</w:t>
      </w:r>
      <w:r w:rsidRPr="00F0677A">
        <w:tab/>
        <w:t>Предложение за решение на Съвета относно насоките за политиката на държавите членки в областта на заетостта</w:t>
      </w:r>
      <w:r w:rsidRPr="00F0677A">
        <w:tab/>
        <w:t>5</w:t>
      </w:r>
    </w:p>
    <w:p w:rsidR="00833081" w:rsidRPr="00F0677A" w:rsidRDefault="00833081" w:rsidP="00833081">
      <w:pPr>
        <w:pStyle w:val="PointManual"/>
        <w:tabs>
          <w:tab w:val="right" w:leader="dot" w:pos="9639"/>
        </w:tabs>
      </w:pPr>
      <w:r w:rsidRPr="00F0677A">
        <w:t>4.</w:t>
      </w:r>
      <w:r w:rsidRPr="00F0677A">
        <w:tab/>
        <w:t>Младежка заетост</w:t>
      </w:r>
      <w:r w:rsidRPr="00F0677A">
        <w:tab/>
        <w:t>5</w:t>
      </w:r>
    </w:p>
    <w:p w:rsidR="00FB71A3" w:rsidRPr="00F0677A" w:rsidRDefault="00833081" w:rsidP="00833081">
      <w:pPr>
        <w:pStyle w:val="PointManual1"/>
        <w:rPr>
          <w:rFonts w:eastAsia="Calibri"/>
        </w:rPr>
      </w:pPr>
      <w:r w:rsidRPr="00F0677A">
        <w:t>а)</w:t>
      </w:r>
      <w:r w:rsidRPr="00F0677A">
        <w:tab/>
        <w:t xml:space="preserve">Проект за заключения на Съвета относно специален доклад № 3/2015 на Европейската сметна палата „Първи стъпки на европейската „Гаранция за </w:t>
      </w:r>
      <w:proofErr w:type="spellStart"/>
      <w:r w:rsidRPr="00F0677A">
        <w:t>младежта</w:t>
      </w:r>
      <w:proofErr w:type="spellEnd"/>
      <w:r w:rsidRPr="00F0677A">
        <w:t>“ и възможни рискове пред нейното изпълнение“</w:t>
      </w:r>
    </w:p>
    <w:p w:rsidR="00833081" w:rsidRPr="00F0677A" w:rsidRDefault="00833081" w:rsidP="00833081">
      <w:pPr>
        <w:pStyle w:val="PointManual1"/>
        <w:rPr>
          <w:rFonts w:eastAsia="Calibri"/>
        </w:rPr>
      </w:pPr>
      <w:r w:rsidRPr="00F0677A">
        <w:t>б)</w:t>
      </w:r>
      <w:r w:rsidRPr="00F0677A">
        <w:tab/>
        <w:t>Състояние на изпълнението на действията на ЕС</w:t>
      </w:r>
    </w:p>
    <w:p w:rsidR="0023471F" w:rsidRPr="00F0677A" w:rsidRDefault="0023471F" w:rsidP="00833081">
      <w:pPr>
        <w:pStyle w:val="PointManual"/>
        <w:tabs>
          <w:tab w:val="right" w:leader="dot" w:pos="9639"/>
        </w:tabs>
      </w:pPr>
      <w:r w:rsidRPr="00F0677A">
        <w:t>5.</w:t>
      </w:r>
      <w:r w:rsidRPr="00F0677A">
        <w:tab/>
        <w:t>Проект за заключения на Съвета „Равни възможности за жените и мъжете по отношение на доходите:</w:t>
      </w:r>
      <w:r w:rsidRPr="00F0677A">
        <w:rPr>
          <w:rFonts w:eastAsia="Calibri" w:cs="Arial"/>
          <w:color w:val="000000"/>
          <w:szCs w:val="22"/>
        </w:rPr>
        <w:br/>
      </w:r>
      <w:r w:rsidRPr="00F0677A">
        <w:rPr>
          <w:color w:val="000000"/>
        </w:rPr>
        <w:t>премахване на неравнопоставеността на половете по отношение на пенсиите“</w:t>
      </w:r>
      <w:r w:rsidRPr="00F0677A">
        <w:tab/>
        <w:t>5</w:t>
      </w:r>
    </w:p>
    <w:p w:rsidR="0023471F" w:rsidRPr="00F0677A" w:rsidRDefault="0023471F" w:rsidP="0023471F">
      <w:pPr>
        <w:spacing w:before="360"/>
        <w:rPr>
          <w:b/>
          <w:bCs/>
        </w:rPr>
      </w:pPr>
      <w:r w:rsidRPr="00F0677A">
        <w:rPr>
          <w:b/>
        </w:rPr>
        <w:t>ОБСЪЖДАНИЯ НА ЗАКОНОДАТЕЛНИ АКТОВЕ</w:t>
      </w:r>
    </w:p>
    <w:p w:rsidR="0023471F" w:rsidRPr="00F0677A" w:rsidRDefault="0023471F" w:rsidP="00833081">
      <w:pPr>
        <w:pStyle w:val="PointManual"/>
        <w:tabs>
          <w:tab w:val="right" w:leader="dot" w:pos="9639"/>
        </w:tabs>
      </w:pPr>
      <w:r w:rsidRPr="00F0677A">
        <w:t>6.</w:t>
      </w:r>
      <w:r w:rsidRPr="00F0677A">
        <w:tab/>
        <w:t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мерки[първо четене]</w:t>
      </w:r>
      <w:r w:rsidRPr="00F0677A">
        <w:tab/>
        <w:t>6</w:t>
      </w:r>
    </w:p>
    <w:p w:rsidR="00833081" w:rsidRPr="00F0677A" w:rsidRDefault="0023471F" w:rsidP="00833081">
      <w:pPr>
        <w:pStyle w:val="PointManual"/>
        <w:tabs>
          <w:tab w:val="right" w:leader="dot" w:pos="9639"/>
        </w:tabs>
      </w:pPr>
      <w:r w:rsidRPr="00F0677A">
        <w:t>7.</w:t>
      </w:r>
      <w:r w:rsidRPr="00F0677A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  <w:r w:rsidRPr="00F0677A">
        <w:tab/>
        <w:t>6</w:t>
      </w:r>
    </w:p>
    <w:p w:rsidR="0023471F" w:rsidRPr="00F0677A" w:rsidRDefault="0023471F" w:rsidP="00833081">
      <w:pPr>
        <w:pStyle w:val="PointManual"/>
        <w:tabs>
          <w:tab w:val="right" w:leader="dot" w:pos="9639"/>
        </w:tabs>
      </w:pPr>
      <w:r w:rsidRPr="00F0677A">
        <w:t>8.</w:t>
      </w:r>
      <w:r w:rsidRPr="00F0677A">
        <w:tab/>
        <w:t>Други въпроси</w:t>
      </w:r>
      <w:r w:rsidRPr="00F0677A">
        <w:tab/>
        <w:t>6</w:t>
      </w:r>
    </w:p>
    <w:p w:rsidR="00833081" w:rsidRPr="00F0677A" w:rsidRDefault="00833081" w:rsidP="00833081">
      <w:pPr>
        <w:pStyle w:val="HeadingCentered"/>
        <w:spacing w:before="240"/>
        <w:rPr>
          <w:b w:val="0"/>
          <w:bCs/>
        </w:rPr>
      </w:pPr>
      <w:r w:rsidRPr="00F0677A">
        <w:rPr>
          <w:b w:val="0"/>
        </w:rPr>
        <w:t>ЗДРАВЕОПАЗВАНЕ</w:t>
      </w:r>
    </w:p>
    <w:p w:rsidR="00833081" w:rsidRPr="00F0677A" w:rsidRDefault="00833081" w:rsidP="00833081">
      <w:pPr>
        <w:pStyle w:val="PointManual"/>
        <w:tabs>
          <w:tab w:val="right" w:leader="dot" w:pos="9639"/>
        </w:tabs>
        <w:spacing w:before="120"/>
      </w:pPr>
      <w:r w:rsidRPr="00F0677A">
        <w:t>9.</w:t>
      </w:r>
      <w:r w:rsidRPr="00F0677A">
        <w:tab/>
        <w:t>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 [първо четене]</w:t>
      </w:r>
      <w:r w:rsidRPr="00F0677A">
        <w:tab/>
        <w:t>8</w:t>
      </w:r>
    </w:p>
    <w:p w:rsidR="00833081" w:rsidRPr="00F0677A" w:rsidRDefault="00833081" w:rsidP="00833081">
      <w:pPr>
        <w:pStyle w:val="Text1"/>
      </w:pPr>
      <w:r w:rsidRPr="00F0677A">
        <w:t>Предложение за регламент на Европейския парламент и на Съвета относно ин витро диагностичните медицински изделия [първо четене]</w:t>
      </w:r>
    </w:p>
    <w:p w:rsidR="00833081" w:rsidRPr="00F0677A" w:rsidRDefault="00833081" w:rsidP="00833081">
      <w:pPr>
        <w:pStyle w:val="PointManual"/>
        <w:tabs>
          <w:tab w:val="right" w:leader="dot" w:pos="9639"/>
        </w:tabs>
      </w:pPr>
      <w:r w:rsidRPr="00F0677A">
        <w:t>10.</w:t>
      </w:r>
      <w:r w:rsidRPr="00F0677A">
        <w:tab/>
        <w:t>Други въпроси</w:t>
      </w:r>
      <w:r w:rsidRPr="00F0677A">
        <w:tab/>
        <w:t>9</w:t>
      </w:r>
    </w:p>
    <w:p w:rsidR="0023471F" w:rsidRPr="00F0677A" w:rsidRDefault="0023471F" w:rsidP="00833081">
      <w:pPr>
        <w:tabs>
          <w:tab w:val="left" w:pos="567"/>
          <w:tab w:val="right" w:leader="dot" w:pos="9639"/>
        </w:tabs>
        <w:spacing w:before="360" w:after="120"/>
      </w:pPr>
      <w:r w:rsidRPr="00F0677A">
        <w:t>ПРИЛОЖЕНИЕ — Изявления за протокола на Съвета</w:t>
      </w:r>
      <w:r w:rsidRPr="00F0677A">
        <w:tab/>
        <w:t>10</w:t>
      </w:r>
    </w:p>
    <w:p w:rsidR="0023471F" w:rsidRPr="00F0677A" w:rsidRDefault="0023471F" w:rsidP="00833081">
      <w:pPr>
        <w:pStyle w:val="NormalCentered"/>
        <w:spacing w:before="120"/>
      </w:pPr>
      <w:r w:rsidRPr="00F0677A">
        <w:t>*</w:t>
      </w:r>
    </w:p>
    <w:p w:rsidR="0023471F" w:rsidRPr="00F0677A" w:rsidRDefault="0023471F" w:rsidP="00833081">
      <w:pPr>
        <w:pStyle w:val="NormalCentered"/>
      </w:pPr>
      <w:r w:rsidRPr="00F0677A">
        <w:t>*</w:t>
      </w:r>
      <w:r w:rsidRPr="00F0677A">
        <w:tab/>
      </w:r>
      <w:r w:rsidRPr="00F0677A">
        <w:tab/>
        <w:t>*</w:t>
      </w:r>
    </w:p>
    <w:p w:rsidR="0023471F" w:rsidRPr="00F0677A" w:rsidRDefault="0023471F" w:rsidP="00DC3C82">
      <w:pPr>
        <w:pStyle w:val="PointManual"/>
        <w:spacing w:before="0"/>
        <w:rPr>
          <w:b/>
          <w:bCs/>
        </w:rPr>
      </w:pPr>
      <w:r w:rsidRPr="00F0677A">
        <w:br w:type="page"/>
      </w:r>
      <w:r w:rsidRPr="00F0677A">
        <w:rPr>
          <w:b/>
        </w:rPr>
        <w:lastRenderedPageBreak/>
        <w:t>1.</w:t>
      </w:r>
      <w:r w:rsidRPr="00F0677A">
        <w:tab/>
      </w:r>
      <w:r w:rsidRPr="00F0677A">
        <w:rPr>
          <w:b/>
          <w:u w:val="single"/>
        </w:rPr>
        <w:t>Приемане на дневния ред</w:t>
      </w:r>
    </w:p>
    <w:p w:rsidR="0023471F" w:rsidRPr="00F0677A" w:rsidRDefault="00833081" w:rsidP="00833081">
      <w:pPr>
        <w:pStyle w:val="Text3"/>
      </w:pPr>
      <w:r w:rsidRPr="00F0677A">
        <w:t>9748/15 OJ/CONS 35 SOC 412 EMPL 268 SAN 174 CONSOM 106</w:t>
      </w:r>
    </w:p>
    <w:p w:rsidR="0023471F" w:rsidRPr="00F0677A" w:rsidRDefault="0023471F" w:rsidP="0023471F">
      <w:pPr>
        <w:pStyle w:val="Text1"/>
        <w:spacing w:before="200" w:line="360" w:lineRule="auto"/>
      </w:pPr>
      <w:r w:rsidRPr="00F0677A">
        <w:rPr>
          <w:u w:val="single"/>
        </w:rPr>
        <w:t>Съветът</w:t>
      </w:r>
      <w:r w:rsidRPr="00F0677A">
        <w:t xml:space="preserve"> прие посочения по-горе дневен ред. По искане на </w:t>
      </w:r>
      <w:r w:rsidRPr="00F0677A">
        <w:rPr>
          <w:u w:val="single"/>
        </w:rPr>
        <w:t>делегацията на Испания</w:t>
      </w:r>
      <w:r w:rsidRPr="00F0677A">
        <w:t xml:space="preserve"> Съветът постигна съгласие да бъде добавена точка „Други въпроси“ във връзка със случай на дифтерит в Испания.</w:t>
      </w:r>
    </w:p>
    <w:p w:rsidR="0023471F" w:rsidRPr="00F0677A" w:rsidRDefault="0023471F" w:rsidP="0023471F">
      <w:pPr>
        <w:spacing w:before="480"/>
        <w:rPr>
          <w:b/>
          <w:bCs/>
          <w:u w:val="single"/>
        </w:rPr>
      </w:pPr>
      <w:r w:rsidRPr="00F0677A">
        <w:rPr>
          <w:b/>
          <w:u w:val="single"/>
        </w:rPr>
        <w:t>НЕЗАКОНОДАТЕЛНИ ДЕЙНОСТИ</w:t>
      </w:r>
    </w:p>
    <w:p w:rsidR="0023471F" w:rsidRPr="00F0677A" w:rsidRDefault="0023471F" w:rsidP="009F0ED1">
      <w:pPr>
        <w:outlineLvl w:val="1"/>
      </w:pPr>
      <w:r w:rsidRPr="00F0677A">
        <w:rPr>
          <w:b/>
          <w:i/>
        </w:rPr>
        <w:t>(открито обсъждане съгласно член 8, параграф 2 от Процедурния правилник на Съвета [по предложение на председателството] на точки 2—5)</w:t>
      </w:r>
    </w:p>
    <w:p w:rsidR="00FB71A3" w:rsidRPr="00F0677A" w:rsidRDefault="0023471F" w:rsidP="0023471F">
      <w:pPr>
        <w:pStyle w:val="HeadingCentered"/>
        <w:spacing w:before="360"/>
        <w:rPr>
          <w:b w:val="0"/>
          <w:bCs/>
        </w:rPr>
      </w:pPr>
      <w:r w:rsidRPr="00F0677A">
        <w:rPr>
          <w:b w:val="0"/>
        </w:rPr>
        <w:t>ЗАЕТОСТ И СОЦИАЛНА ПОЛИТИКА</w:t>
      </w:r>
    </w:p>
    <w:p w:rsidR="0023471F" w:rsidRPr="00F0677A" w:rsidRDefault="0023471F" w:rsidP="0023471F">
      <w:pPr>
        <w:pStyle w:val="PointManual"/>
        <w:spacing w:before="360"/>
        <w:rPr>
          <w:b/>
          <w:bCs/>
        </w:rPr>
      </w:pPr>
      <w:r w:rsidRPr="00F0677A">
        <w:rPr>
          <w:b/>
        </w:rPr>
        <w:t>2.</w:t>
      </w:r>
      <w:r w:rsidRPr="00F0677A">
        <w:tab/>
      </w:r>
      <w:r w:rsidRPr="00F0677A">
        <w:rPr>
          <w:b/>
          <w:u w:val="single"/>
        </w:rPr>
        <w:t>Европейски семестър за 2015 г.: принос за заседанието на Европейския съвет (Брюксел, 25 и 26 юни 2015 г.)</w:t>
      </w:r>
    </w:p>
    <w:p w:rsidR="0023471F" w:rsidRPr="00F0677A" w:rsidRDefault="0023471F" w:rsidP="00FB71A3">
      <w:pPr>
        <w:pStyle w:val="Dash1"/>
        <w:numPr>
          <w:ilvl w:val="0"/>
          <w:numId w:val="2"/>
        </w:numPr>
      </w:pPr>
      <w:proofErr w:type="spellStart"/>
      <w:r w:rsidRPr="00F0677A">
        <w:t>Ориентационен</w:t>
      </w:r>
      <w:proofErr w:type="spellEnd"/>
      <w:r w:rsidRPr="00F0677A">
        <w:t xml:space="preserve"> дебат</w:t>
      </w:r>
    </w:p>
    <w:p w:rsidR="0023471F" w:rsidRPr="00F0677A" w:rsidRDefault="0023471F" w:rsidP="0023471F">
      <w:pPr>
        <w:pStyle w:val="Text3"/>
        <w:rPr>
          <w:rFonts w:eastAsia="Calibri"/>
        </w:rPr>
      </w:pPr>
      <w:r w:rsidRPr="00F0677A">
        <w:t>9304/15 SOC 372 EMPL 244 ECOFIN 409 EDUC 189</w:t>
      </w:r>
    </w:p>
    <w:p w:rsidR="0023471F" w:rsidRPr="00F0677A" w:rsidRDefault="0023471F" w:rsidP="00EF4FCC">
      <w:pPr>
        <w:pStyle w:val="Text1"/>
        <w:spacing w:before="240" w:line="360" w:lineRule="auto"/>
      </w:pPr>
      <w:r w:rsidRPr="00F0677A">
        <w:rPr>
          <w:u w:val="single"/>
        </w:rPr>
        <w:t>Съветът</w:t>
      </w:r>
      <w:r w:rsidRPr="00F0677A">
        <w:t xml:space="preserve"> проведе </w:t>
      </w:r>
      <w:proofErr w:type="spellStart"/>
      <w:r w:rsidRPr="00F0677A">
        <w:t>ориентационен</w:t>
      </w:r>
      <w:proofErr w:type="spellEnd"/>
      <w:r w:rsidRPr="00F0677A">
        <w:t xml:space="preserve"> дебат относно специфичните за всяка държава препоръки (СДП) в контекста на европейския семестър. Министрите се ръководеха от въпросите, включени в бележката на председателството (док. 9304/15). Те отчетоха, че икономическото положение в ЕС се е подобрило, но че възстановяването все още не е стабилно и продължава да бъде неравномерно. Това е от особено значение в областта на заетостта и в социалната област, при които възстановяването все още не е придружено от очевидно подобрение на състоянието на заетостта и социалната ситуация в ЕС. Укрепването на ИПС изисква повишено внимание по въпросите на заетостта и по социалните въпроси, за да се гарантира стабилността на еврозоната.  </w:t>
      </w:r>
      <w:r w:rsidRPr="00F0677A">
        <w:rPr>
          <w:u w:val="single"/>
        </w:rPr>
        <w:t>Министрите</w:t>
      </w:r>
      <w:r w:rsidRPr="00F0677A">
        <w:t xml:space="preserve"> отново изтъкнаха, че въпросите на заетостта и социалната политика трябва да останат в правомощията за вземане на решения на Съвета по заетост, социална политика, здравеопазване и потребителски въпроси и не следва систематично да се превръщат в част от процеса, свързан с процедурата при макроикономически дисбаланси.</w:t>
      </w:r>
    </w:p>
    <w:p w:rsidR="0023471F" w:rsidRPr="00F0677A" w:rsidRDefault="0023471F" w:rsidP="008F6CDD">
      <w:pPr>
        <w:pStyle w:val="Text1"/>
        <w:spacing w:before="240" w:line="360" w:lineRule="auto"/>
        <w:rPr>
          <w:bCs/>
        </w:rPr>
      </w:pPr>
      <w:r w:rsidRPr="00F0677A">
        <w:t>Макар и да трябва сега акцентът да се постави върху изпълнението, на държавите членки следва да се даде адекватна възможност да вземат решения относно най-подходящите мерки на политиката, в съответствие с националните си условия и приоритети. По отношение на процеса министрите приветстваха факта, че подготовката и организацията на европейския семестър тази година са по-добри, което дава възможност и за по-добра подготовка на национално равнище.</w:t>
      </w:r>
    </w:p>
    <w:p w:rsidR="0023471F" w:rsidRPr="00F0677A" w:rsidRDefault="0023471F" w:rsidP="0004616C">
      <w:pPr>
        <w:pStyle w:val="PointManual1"/>
        <w:pageBreakBefore/>
        <w:spacing w:before="600"/>
        <w:rPr>
          <w:rFonts w:eastAsia="Calibri"/>
          <w:b/>
          <w:bCs/>
        </w:rPr>
      </w:pPr>
      <w:r w:rsidRPr="00F0677A">
        <w:rPr>
          <w:b/>
        </w:rPr>
        <w:lastRenderedPageBreak/>
        <w:t>a)</w:t>
      </w:r>
      <w:r w:rsidRPr="00F0677A">
        <w:tab/>
      </w:r>
      <w:r w:rsidRPr="00F0677A">
        <w:rPr>
          <w:b/>
        </w:rPr>
        <w:t>Проект за препоръки на Съвета относно националните програми за реформи за 2015 г. към всяка държава членка и проект за обяснителна бележка</w:t>
      </w:r>
    </w:p>
    <w:p w:rsidR="00FB71A3" w:rsidRPr="00F0677A" w:rsidRDefault="0023471F" w:rsidP="00FB71A3">
      <w:pPr>
        <w:pStyle w:val="Dash2"/>
        <w:numPr>
          <w:ilvl w:val="0"/>
          <w:numId w:val="3"/>
        </w:numPr>
      </w:pPr>
      <w:r w:rsidRPr="00F0677A">
        <w:t>Одобряване</w:t>
      </w:r>
    </w:p>
    <w:p w:rsidR="00FB71A3" w:rsidRPr="00F0677A" w:rsidRDefault="0023471F" w:rsidP="0023471F">
      <w:pPr>
        <w:pStyle w:val="Text3"/>
        <w:rPr>
          <w:rFonts w:eastAsia="Calibri"/>
        </w:rPr>
      </w:pPr>
      <w:r w:rsidRPr="00F0677A">
        <w:t>9224/15 ECOFIN 376 UEM 171 SOC 339 EMPL 213 COMPET 250 ENV 332</w:t>
      </w:r>
    </w:p>
    <w:p w:rsidR="00FB71A3" w:rsidRPr="00F0677A" w:rsidRDefault="0023471F" w:rsidP="0023471F">
      <w:pPr>
        <w:pStyle w:val="Text5"/>
        <w:rPr>
          <w:rFonts w:eastAsia="Calibri"/>
        </w:rPr>
      </w:pPr>
      <w:r w:rsidRPr="00F0677A">
        <w:t>EDUC 158 RECH 149 ENER 190 JAI 354</w:t>
      </w:r>
    </w:p>
    <w:p w:rsidR="00FB71A3" w:rsidRPr="00F0677A" w:rsidRDefault="0023471F" w:rsidP="0023471F">
      <w:pPr>
        <w:pStyle w:val="Text3"/>
        <w:rPr>
          <w:rFonts w:eastAsia="Calibri"/>
        </w:rPr>
      </w:pPr>
      <w:r w:rsidRPr="00F0677A">
        <w:t>9229/1/15 UEM 172 ECOFIN 377 SOC 340 COMPET 251 ENV 333 EDUC 159</w:t>
      </w:r>
    </w:p>
    <w:p w:rsidR="0023471F" w:rsidRPr="00F0677A" w:rsidRDefault="0023471F" w:rsidP="0023471F">
      <w:pPr>
        <w:pStyle w:val="Text5"/>
        <w:rPr>
          <w:rFonts w:eastAsia="Calibri"/>
        </w:rPr>
      </w:pPr>
      <w:r w:rsidRPr="00F0677A">
        <w:t>RECH 150 ENER 191 JAI 355 EMPL 214 REV 1</w:t>
      </w:r>
    </w:p>
    <w:p w:rsidR="00FB71A3" w:rsidRPr="00F0677A" w:rsidRDefault="0023471F" w:rsidP="0023471F">
      <w:pPr>
        <w:pStyle w:val="Text3"/>
        <w:rPr>
          <w:rFonts w:eastAsia="Calibri"/>
        </w:rPr>
      </w:pPr>
      <w:r w:rsidRPr="00F0677A">
        <w:t>9305/1/15 UEM 201 ECOFIN 410 SOC 373 COMPET 282 ENV 370 EDUC 190</w:t>
      </w:r>
    </w:p>
    <w:p w:rsidR="0023471F" w:rsidRPr="00F0677A" w:rsidRDefault="0023471F" w:rsidP="0023471F">
      <w:pPr>
        <w:pStyle w:val="Text5"/>
        <w:rPr>
          <w:rFonts w:eastAsia="Calibri"/>
        </w:rPr>
      </w:pPr>
      <w:r w:rsidRPr="00F0677A">
        <w:t>RECH 178 ENER 225 JAI 384 EMPL 245 REV 1</w:t>
      </w:r>
    </w:p>
    <w:p w:rsidR="00FB71A3" w:rsidRPr="00F0677A" w:rsidRDefault="0023471F" w:rsidP="0023471F">
      <w:pPr>
        <w:pStyle w:val="Text3"/>
        <w:rPr>
          <w:rFonts w:eastAsia="Calibri"/>
        </w:rPr>
      </w:pPr>
      <w:r w:rsidRPr="00F0677A">
        <w:t>9306/15 UEM 202 ECOFIN 411 SOC 374 COMPET 283 ENV 371 EDUC 191</w:t>
      </w:r>
    </w:p>
    <w:p w:rsidR="0023471F" w:rsidRPr="00F0677A" w:rsidRDefault="0023471F" w:rsidP="0023471F">
      <w:pPr>
        <w:pStyle w:val="Text5"/>
        <w:rPr>
          <w:rFonts w:eastAsia="Calibri"/>
        </w:rPr>
      </w:pPr>
      <w:r w:rsidRPr="00F0677A">
        <w:t>RECH 179 ENER 226 JAI 386 EMPL 246</w:t>
      </w:r>
    </w:p>
    <w:p w:rsidR="00FB71A3" w:rsidRPr="00F0677A" w:rsidRDefault="0023471F" w:rsidP="0023471F">
      <w:pPr>
        <w:pStyle w:val="Text2"/>
        <w:spacing w:before="240" w:line="360" w:lineRule="auto"/>
      </w:pPr>
      <w:r w:rsidRPr="00F0677A">
        <w:rPr>
          <w:u w:val="single"/>
        </w:rPr>
        <w:t>Съветът</w:t>
      </w:r>
      <w:r w:rsidRPr="00F0677A">
        <w:t xml:space="preserve"> одобри свързаните със заетостта и социалната политика аспекти на препоръките (изложени в док. 9229/1/15 REV 1) и придружаващия пояснителен документ (док. 9305/1/15 REV 1).</w:t>
      </w:r>
    </w:p>
    <w:p w:rsidR="0023471F" w:rsidRPr="00F0677A" w:rsidRDefault="0023471F" w:rsidP="0023471F">
      <w:pPr>
        <w:pStyle w:val="Text2"/>
        <w:spacing w:before="240" w:line="360" w:lineRule="auto"/>
      </w:pPr>
      <w:r w:rsidRPr="00F0677A">
        <w:rPr>
          <w:u w:val="single"/>
        </w:rPr>
        <w:t>Унгария</w:t>
      </w:r>
      <w:r w:rsidRPr="00F0677A">
        <w:t xml:space="preserve"> поиска промяна на засягащата я СДП 4, както и гласуване по въпроса в съответствие с член 3, параграф 2 от Протокол № 36 относно преходните разпоредби, с прилагане на квалифицирано мнозинство, както е предвидено в параграф 3 от този член. Поради липса на необходимата подкрепа Съветът не прие изменението на тази препоръка.</w:t>
      </w:r>
    </w:p>
    <w:p w:rsidR="00FB71A3" w:rsidRPr="00F0677A" w:rsidRDefault="0023471F" w:rsidP="0023471F">
      <w:pPr>
        <w:pStyle w:val="PointManual1"/>
        <w:spacing w:before="480"/>
        <w:rPr>
          <w:rFonts w:eastAsia="Calibri"/>
          <w:b/>
          <w:bCs/>
        </w:rPr>
      </w:pPr>
      <w:r w:rsidRPr="00F0677A">
        <w:rPr>
          <w:b/>
        </w:rPr>
        <w:t>б)</w:t>
      </w:r>
      <w:r w:rsidRPr="00F0677A">
        <w:tab/>
      </w:r>
      <w:r w:rsidRPr="00F0677A">
        <w:rPr>
          <w:b/>
        </w:rPr>
        <w:t>Оценка на специфичните за всяка държава препоръки за 2015 г. и на изпълнението на специфичните за всяка държава препоръки за 2014 г.</w:t>
      </w:r>
    </w:p>
    <w:p w:rsidR="0023471F" w:rsidRPr="00F0677A" w:rsidRDefault="0023471F" w:rsidP="0023471F">
      <w:pPr>
        <w:pStyle w:val="Dash2"/>
      </w:pPr>
      <w:r w:rsidRPr="00F0677A">
        <w:t>Одобряване на становищата на Комитета по заетостта и на Комитета за социална закрила</w:t>
      </w:r>
    </w:p>
    <w:p w:rsidR="0023471F" w:rsidRPr="00F0677A" w:rsidRDefault="0023471F" w:rsidP="0023471F">
      <w:pPr>
        <w:pStyle w:val="Text3"/>
      </w:pPr>
      <w:r w:rsidRPr="00F0677A">
        <w:t>9311/15 SOC 377 EMPL 249 ECOFIN 414 EDUC 194 SAN 187</w:t>
      </w:r>
    </w:p>
    <w:p w:rsidR="0023471F" w:rsidRPr="00F0677A" w:rsidRDefault="0023471F" w:rsidP="0023471F">
      <w:pPr>
        <w:pStyle w:val="Text2"/>
        <w:spacing w:before="240" w:line="360" w:lineRule="auto"/>
      </w:pPr>
      <w:r w:rsidRPr="00F0677A">
        <w:rPr>
          <w:u w:val="single"/>
        </w:rPr>
        <w:t>Съветът</w:t>
      </w:r>
      <w:r w:rsidRPr="00F0677A">
        <w:t xml:space="preserve"> одобри становищата на Комитета по заетостта и на Комитета за социална закрила, съдържащи се в посочения по-горе документ.</w:t>
      </w:r>
    </w:p>
    <w:p w:rsidR="0023471F" w:rsidRPr="00F0677A" w:rsidRDefault="0023471F" w:rsidP="0023471F">
      <w:pPr>
        <w:pStyle w:val="PointManual1"/>
        <w:spacing w:before="480"/>
        <w:rPr>
          <w:rFonts w:eastAsia="Calibri"/>
          <w:b/>
          <w:bCs/>
        </w:rPr>
      </w:pPr>
      <w:r w:rsidRPr="00F0677A">
        <w:t>в)</w:t>
      </w:r>
      <w:r w:rsidR="00054439" w:rsidRPr="00054439">
        <w:tab/>
      </w:r>
      <w:r w:rsidRPr="00F0677A">
        <w:rPr>
          <w:b/>
        </w:rPr>
        <w:t>Наблюдение на резултатите и показателите в областта на заетостта</w:t>
      </w:r>
    </w:p>
    <w:p w:rsidR="0023471F" w:rsidRPr="00F0677A" w:rsidRDefault="0023471F" w:rsidP="0023471F">
      <w:pPr>
        <w:pStyle w:val="Dash2"/>
      </w:pPr>
      <w:r w:rsidRPr="00F0677A">
        <w:t>Одобряване на доклада на Комитета по заетостта</w:t>
      </w:r>
    </w:p>
    <w:p w:rsidR="0023471F" w:rsidRPr="00F0677A" w:rsidRDefault="0023471F" w:rsidP="0023471F">
      <w:pPr>
        <w:pStyle w:val="Text3"/>
      </w:pPr>
      <w:r w:rsidRPr="00F0677A">
        <w:t>9307/15 SOC 375 EMPL 247 ECOFIN 412 EDUC 192</w:t>
      </w:r>
    </w:p>
    <w:p w:rsidR="0023471F" w:rsidRPr="00F0677A" w:rsidRDefault="0023471F" w:rsidP="0023471F">
      <w:pPr>
        <w:pStyle w:val="Text2"/>
        <w:spacing w:before="240" w:line="360" w:lineRule="auto"/>
        <w:rPr>
          <w:bCs/>
        </w:rPr>
      </w:pPr>
      <w:r w:rsidRPr="00F0677A">
        <w:rPr>
          <w:u w:val="single"/>
        </w:rPr>
        <w:t>Съветът</w:t>
      </w:r>
      <w:r w:rsidRPr="00F0677A">
        <w:t xml:space="preserve"> одобри наблюдението, изготвено от Комитета по заетостта, съдържащо се в посочения по-горе документ.</w:t>
      </w:r>
    </w:p>
    <w:p w:rsidR="00FB71A3" w:rsidRPr="00F0677A" w:rsidRDefault="0023471F" w:rsidP="0004616C">
      <w:pPr>
        <w:pStyle w:val="PointManual"/>
        <w:pageBreakBefore/>
        <w:spacing w:before="600"/>
        <w:rPr>
          <w:b/>
          <w:bCs/>
        </w:rPr>
      </w:pPr>
      <w:r w:rsidRPr="00F0677A">
        <w:rPr>
          <w:b/>
        </w:rPr>
        <w:lastRenderedPageBreak/>
        <w:t>3.</w:t>
      </w:r>
      <w:r w:rsidRPr="00F0677A">
        <w:tab/>
      </w:r>
      <w:r w:rsidRPr="00F0677A">
        <w:rPr>
          <w:b/>
          <w:u w:val="single"/>
        </w:rPr>
        <w:t>Предложение за решение на Съвета относно насоките за политиката на държавите членки в областта на заетостта</w:t>
      </w:r>
    </w:p>
    <w:p w:rsidR="0023471F" w:rsidRPr="00F0677A" w:rsidRDefault="0023471F" w:rsidP="0023471F">
      <w:pPr>
        <w:pStyle w:val="Dash1"/>
      </w:pPr>
      <w:r w:rsidRPr="00F0677A">
        <w:t>Общ подход</w:t>
      </w:r>
    </w:p>
    <w:p w:rsidR="00FB71A3" w:rsidRPr="00F0677A" w:rsidRDefault="0023471F" w:rsidP="0023471F">
      <w:pPr>
        <w:pStyle w:val="Text3"/>
      </w:pPr>
      <w:r w:rsidRPr="00F0677A">
        <w:t>6144/15 SOC 70 EMPL 31 ECOFIN 97 EDUC 28 JEUN 21</w:t>
      </w:r>
    </w:p>
    <w:p w:rsidR="0023471F" w:rsidRPr="00F0677A" w:rsidRDefault="0023471F" w:rsidP="0023471F">
      <w:pPr>
        <w:pStyle w:val="Text4"/>
        <w:rPr>
          <w:i/>
          <w:iCs/>
        </w:rPr>
      </w:pPr>
      <w:r w:rsidRPr="00F0677A">
        <w:t>+ ADD 1</w:t>
      </w:r>
    </w:p>
    <w:p w:rsidR="0023471F" w:rsidRPr="00F0677A" w:rsidRDefault="0023471F" w:rsidP="0023471F">
      <w:pPr>
        <w:pStyle w:val="Text3"/>
      </w:pPr>
      <w:r w:rsidRPr="00F0677A">
        <w:t>9632/15 SOC 408 EMPL 265 ECOFIN 449 EDUC 206 JEUN 48</w:t>
      </w:r>
    </w:p>
    <w:p w:rsidR="0023471F" w:rsidRPr="00F0677A" w:rsidRDefault="0023471F" w:rsidP="0023471F">
      <w:pPr>
        <w:pStyle w:val="Text1"/>
        <w:spacing w:before="240" w:line="360" w:lineRule="auto"/>
      </w:pPr>
      <w:r w:rsidRPr="00F0677A">
        <w:t xml:space="preserve">Освен това </w:t>
      </w:r>
      <w:r w:rsidRPr="00F0677A">
        <w:rPr>
          <w:u w:val="single"/>
        </w:rPr>
        <w:t>Съветът</w:t>
      </w:r>
      <w:r w:rsidRPr="00F0677A">
        <w:t xml:space="preserve"> постигна общ подход във връзка с насоките за политиките по заетостта (док. 9632/15).</w:t>
      </w:r>
    </w:p>
    <w:p w:rsidR="0023471F" w:rsidRPr="00F0677A" w:rsidRDefault="0023471F" w:rsidP="0023471F">
      <w:pPr>
        <w:pStyle w:val="Text1"/>
        <w:spacing w:before="240" w:line="360" w:lineRule="auto"/>
      </w:pPr>
      <w:r w:rsidRPr="00F0677A">
        <w:t>Общият подход ще трябва да бъде преразгледан след получаване на всички становища съгласно изискванията на член 148, параграф 2 от Договора.</w:t>
      </w:r>
    </w:p>
    <w:p w:rsidR="0023471F" w:rsidRPr="00F0677A" w:rsidRDefault="0023471F" w:rsidP="0023471F">
      <w:pPr>
        <w:pStyle w:val="PointManual"/>
        <w:spacing w:before="600"/>
        <w:rPr>
          <w:b/>
          <w:bCs/>
        </w:rPr>
      </w:pPr>
      <w:r w:rsidRPr="00F0677A">
        <w:rPr>
          <w:b/>
        </w:rPr>
        <w:t>4.</w:t>
      </w:r>
      <w:r w:rsidRPr="00F0677A">
        <w:tab/>
      </w:r>
      <w:r w:rsidRPr="00F0677A">
        <w:rPr>
          <w:b/>
          <w:u w:val="single"/>
        </w:rPr>
        <w:t>Младежка заетост</w:t>
      </w:r>
    </w:p>
    <w:p w:rsidR="00FB71A3" w:rsidRPr="00F0677A" w:rsidRDefault="0023471F" w:rsidP="0023471F">
      <w:pPr>
        <w:pStyle w:val="PointManual1"/>
        <w:spacing w:before="120"/>
        <w:rPr>
          <w:rFonts w:eastAsia="Calibri"/>
          <w:b/>
          <w:bCs/>
        </w:rPr>
      </w:pPr>
      <w:r w:rsidRPr="00F0677A">
        <w:rPr>
          <w:b/>
        </w:rPr>
        <w:t>a)</w:t>
      </w:r>
      <w:r w:rsidR="00054439" w:rsidRPr="00054439">
        <w:rPr>
          <w:b/>
        </w:rPr>
        <w:tab/>
      </w:r>
      <w:r w:rsidRPr="00F0677A">
        <w:rPr>
          <w:b/>
        </w:rPr>
        <w:t xml:space="preserve">Проект за заключения на Съвета относно специален доклад № 3/2015 на Европейската сметна палата „Първи стъпки на европейската „Гаранция за </w:t>
      </w:r>
      <w:proofErr w:type="spellStart"/>
      <w:r w:rsidRPr="00F0677A">
        <w:rPr>
          <w:b/>
        </w:rPr>
        <w:t>младежта</w:t>
      </w:r>
      <w:proofErr w:type="spellEnd"/>
      <w:r w:rsidRPr="00F0677A">
        <w:rPr>
          <w:b/>
        </w:rPr>
        <w:t>“ и възможни рискове пред нейното изпълнение“</w:t>
      </w:r>
    </w:p>
    <w:p w:rsidR="00FB71A3" w:rsidRPr="00F0677A" w:rsidRDefault="0023471F" w:rsidP="0023471F">
      <w:pPr>
        <w:pStyle w:val="Dash2"/>
        <w:rPr>
          <w:rFonts w:eastAsia="Calibri"/>
        </w:rPr>
      </w:pPr>
      <w:r w:rsidRPr="00F0677A">
        <w:t>Приемане</w:t>
      </w:r>
    </w:p>
    <w:p w:rsidR="0023471F" w:rsidRPr="00F0677A" w:rsidRDefault="0023471F" w:rsidP="0023471F">
      <w:pPr>
        <w:pStyle w:val="Text3"/>
      </w:pPr>
      <w:r w:rsidRPr="00F0677A">
        <w:t>9300/15 FIN 390 SOC 369 EMPL 242 ECOFIN 407 EDUC 187 JEUN 43</w:t>
      </w:r>
    </w:p>
    <w:p w:rsidR="0023471F" w:rsidRPr="00F0677A" w:rsidRDefault="0023471F" w:rsidP="0023471F">
      <w:pPr>
        <w:pStyle w:val="Text5"/>
      </w:pPr>
      <w:r w:rsidRPr="00F0677A">
        <w:t>REGIO 42</w:t>
      </w:r>
    </w:p>
    <w:p w:rsidR="0023471F" w:rsidRPr="00F0677A" w:rsidRDefault="0023471F" w:rsidP="0023471F">
      <w:pPr>
        <w:pStyle w:val="Text2"/>
        <w:spacing w:before="240" w:line="360" w:lineRule="auto"/>
      </w:pPr>
      <w:r w:rsidRPr="00F0677A">
        <w:rPr>
          <w:u w:val="single"/>
        </w:rPr>
        <w:t>Съветът</w:t>
      </w:r>
      <w:r w:rsidRPr="00F0677A">
        <w:t xml:space="preserve"> прие заключенията, изложени в док. 9300/15. Окончателният текст на заключенията е поместен в док. 10104/15.</w:t>
      </w:r>
    </w:p>
    <w:p w:rsidR="0023471F" w:rsidRPr="00F0677A" w:rsidRDefault="0023471F" w:rsidP="0023471F">
      <w:pPr>
        <w:pStyle w:val="PointManual1"/>
        <w:spacing w:before="360"/>
        <w:rPr>
          <w:rFonts w:eastAsia="Calibri"/>
          <w:b/>
          <w:bCs/>
        </w:rPr>
      </w:pPr>
      <w:r w:rsidRPr="00F0677A">
        <w:rPr>
          <w:b/>
        </w:rPr>
        <w:t>б)</w:t>
      </w:r>
      <w:r w:rsidR="00054439" w:rsidRPr="00054439">
        <w:rPr>
          <w:b/>
        </w:rPr>
        <w:tab/>
      </w:r>
      <w:r w:rsidRPr="00F0677A">
        <w:rPr>
          <w:b/>
        </w:rPr>
        <w:t>Състояние на изпълнението на действията на ЕС</w:t>
      </w:r>
    </w:p>
    <w:p w:rsidR="00FB71A3" w:rsidRPr="00F0677A" w:rsidRDefault="0023471F" w:rsidP="0023471F">
      <w:pPr>
        <w:pStyle w:val="Dash2"/>
        <w:rPr>
          <w:rFonts w:eastAsia="Calibri"/>
        </w:rPr>
      </w:pPr>
      <w:r w:rsidRPr="00F0677A">
        <w:t>Представяне от Комисията</w:t>
      </w:r>
    </w:p>
    <w:p w:rsidR="0023471F" w:rsidRPr="00F0677A" w:rsidRDefault="0023471F" w:rsidP="0023471F">
      <w:pPr>
        <w:pStyle w:val="Text3"/>
      </w:pPr>
      <w:r w:rsidRPr="00F0677A">
        <w:t>9301/15 SOC 370 EMPL 243 ECOFIN 408 EDUC 188 JEUN 44</w:t>
      </w:r>
    </w:p>
    <w:p w:rsidR="0023471F" w:rsidRPr="00F0677A" w:rsidRDefault="0023471F" w:rsidP="0023471F">
      <w:pPr>
        <w:pStyle w:val="Text2"/>
        <w:spacing w:before="240" w:line="360" w:lineRule="auto"/>
        <w:rPr>
          <w:color w:val="000000"/>
        </w:rPr>
      </w:pPr>
      <w:r w:rsidRPr="00F0677A">
        <w:rPr>
          <w:u w:val="single"/>
        </w:rPr>
        <w:t>Съветът</w:t>
      </w:r>
      <w:r w:rsidRPr="00F0677A">
        <w:t xml:space="preserve"> взе под внимание предоставената от Комисията информация (док. 9301/15).</w:t>
      </w:r>
    </w:p>
    <w:p w:rsidR="0023471F" w:rsidRPr="00F0677A" w:rsidRDefault="0023471F" w:rsidP="0023471F">
      <w:pPr>
        <w:pStyle w:val="PointManual"/>
        <w:spacing w:before="600"/>
        <w:rPr>
          <w:b/>
          <w:bCs/>
        </w:rPr>
      </w:pPr>
      <w:r w:rsidRPr="00F0677A">
        <w:rPr>
          <w:b/>
        </w:rPr>
        <w:t>5.</w:t>
      </w:r>
      <w:r w:rsidRPr="00F0677A">
        <w:tab/>
      </w:r>
      <w:r w:rsidRPr="00F0677A">
        <w:rPr>
          <w:b/>
          <w:u w:val="single"/>
        </w:rPr>
        <w:t>Проект за заключения на Съвета „Равни възможности за жените и мъжете по отношение на доходите: премахване на неравнопоставеността на половете по отношение на пенсиите“</w:t>
      </w:r>
    </w:p>
    <w:p w:rsidR="00FB71A3" w:rsidRPr="00F0677A" w:rsidRDefault="0023471F" w:rsidP="0023471F">
      <w:pPr>
        <w:pStyle w:val="Dash1"/>
      </w:pPr>
      <w:r w:rsidRPr="00F0677A">
        <w:t>Приемане</w:t>
      </w:r>
    </w:p>
    <w:p w:rsidR="0023471F" w:rsidRPr="00F0677A" w:rsidRDefault="0023471F" w:rsidP="0023471F">
      <w:pPr>
        <w:pStyle w:val="Text3"/>
        <w:rPr>
          <w:i/>
          <w:iCs/>
        </w:rPr>
      </w:pPr>
      <w:r w:rsidRPr="00F0677A">
        <w:t>9302/15 SOC 371 GENDER 7 PENS 4</w:t>
      </w:r>
    </w:p>
    <w:p w:rsidR="0023471F" w:rsidRPr="00F0677A" w:rsidRDefault="0023471F" w:rsidP="0023471F">
      <w:pPr>
        <w:pStyle w:val="Text4"/>
      </w:pPr>
      <w:r w:rsidRPr="00F0677A">
        <w:t>+ REV 1 (lv)</w:t>
      </w:r>
    </w:p>
    <w:p w:rsidR="0023471F" w:rsidRPr="00F0677A" w:rsidRDefault="0023471F" w:rsidP="0023471F">
      <w:pPr>
        <w:pStyle w:val="Text1"/>
        <w:spacing w:before="240" w:line="360" w:lineRule="auto"/>
      </w:pPr>
      <w:r w:rsidRPr="00F0677A">
        <w:rPr>
          <w:u w:val="single"/>
        </w:rPr>
        <w:t>Съветът</w:t>
      </w:r>
      <w:r w:rsidRPr="00F0677A">
        <w:t xml:space="preserve"> прие заключенията, изложени в док. 9302/15. Окончателният текст на заключенията е поместен в док. 10081/15.</w:t>
      </w:r>
    </w:p>
    <w:p w:rsidR="0023471F" w:rsidRPr="00F0677A" w:rsidRDefault="0023471F" w:rsidP="0004616C">
      <w:pPr>
        <w:pageBreakBefore/>
        <w:spacing w:before="600"/>
        <w:rPr>
          <w:b/>
          <w:bCs/>
          <w:u w:val="single"/>
        </w:rPr>
      </w:pPr>
      <w:r w:rsidRPr="00F0677A">
        <w:rPr>
          <w:b/>
          <w:u w:val="single"/>
        </w:rPr>
        <w:lastRenderedPageBreak/>
        <w:t>ОБСЪЖДАНИЯ НА ЗАКОНОДАТЕЛНИ АКТОВЕ</w:t>
      </w:r>
    </w:p>
    <w:p w:rsidR="0023471F" w:rsidRPr="00F0677A" w:rsidRDefault="0023471F" w:rsidP="0023471F">
      <w:pPr>
        <w:rPr>
          <w:b/>
          <w:bCs/>
          <w:i/>
          <w:iCs/>
        </w:rPr>
      </w:pPr>
      <w:r w:rsidRPr="00F0677A">
        <w:rPr>
          <w:b/>
          <w:i/>
        </w:rPr>
        <w:t>(открито обсъждане съгласно член 16, параграф 8 от Договора за Европейския съюз)</w:t>
      </w:r>
    </w:p>
    <w:p w:rsidR="0023471F" w:rsidRPr="00F0677A" w:rsidRDefault="0023471F" w:rsidP="0023471F">
      <w:pPr>
        <w:pStyle w:val="PointManual"/>
        <w:rPr>
          <w:b/>
          <w:bCs/>
        </w:rPr>
      </w:pPr>
      <w:r w:rsidRPr="00F0677A">
        <w:rPr>
          <w:b/>
        </w:rPr>
        <w:t>6.</w:t>
      </w:r>
      <w:r w:rsidRPr="00F0677A">
        <w:tab/>
      </w:r>
      <w:r w:rsidRPr="00F0677A">
        <w:rPr>
          <w:b/>
        </w:rPr>
        <w:t xml:space="preserve"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мерки[първо четене] </w:t>
      </w:r>
    </w:p>
    <w:p w:rsidR="0023471F" w:rsidRPr="00F0677A" w:rsidRDefault="0023471F" w:rsidP="0023471F">
      <w:pPr>
        <w:pStyle w:val="Text1"/>
        <w:rPr>
          <w:i/>
          <w:iCs/>
        </w:rPr>
      </w:pPr>
      <w:r w:rsidRPr="00F0677A">
        <w:rPr>
          <w:i/>
        </w:rPr>
        <w:t>(правно основание, предложено от Комисията: член 157, параграф 3 от ДФЕС)</w:t>
      </w:r>
    </w:p>
    <w:p w:rsidR="0023471F" w:rsidRPr="00F0677A" w:rsidRDefault="0023471F" w:rsidP="0023471F">
      <w:pPr>
        <w:pStyle w:val="Text1"/>
        <w:rPr>
          <w:i/>
          <w:iCs/>
        </w:rPr>
      </w:pPr>
      <w:proofErr w:type="spellStart"/>
      <w:r w:rsidRPr="00F0677A">
        <w:rPr>
          <w:i/>
        </w:rPr>
        <w:t>Междуинституционално</w:t>
      </w:r>
      <w:proofErr w:type="spellEnd"/>
      <w:r w:rsidRPr="00F0677A">
        <w:rPr>
          <w:i/>
        </w:rPr>
        <w:t xml:space="preserve"> досие: 2012/0299 (COD)</w:t>
      </w:r>
    </w:p>
    <w:p w:rsidR="00FB71A3" w:rsidRPr="00F0677A" w:rsidRDefault="0023471F" w:rsidP="0023471F">
      <w:pPr>
        <w:pStyle w:val="Dash1"/>
      </w:pPr>
      <w:r w:rsidRPr="00F0677A">
        <w:t>Доклад за напредъка</w:t>
      </w:r>
    </w:p>
    <w:p w:rsidR="0023471F" w:rsidRPr="00F0677A" w:rsidRDefault="0023471F" w:rsidP="0023471F">
      <w:pPr>
        <w:pStyle w:val="Text3"/>
        <w:tabs>
          <w:tab w:val="right" w:pos="9356"/>
        </w:tabs>
        <w:rPr>
          <w:bCs/>
          <w:i/>
          <w:iCs/>
        </w:rPr>
      </w:pPr>
      <w:r w:rsidRPr="00F0677A">
        <w:t>16433/12 SOC 943 ECOFIN 708 DRS 130 CODEC 2724</w:t>
      </w:r>
    </w:p>
    <w:p w:rsidR="0023471F" w:rsidRPr="00F0677A" w:rsidRDefault="0023471F" w:rsidP="0023471F">
      <w:pPr>
        <w:pStyle w:val="Text3"/>
      </w:pPr>
      <w:r w:rsidRPr="00F0677A">
        <w:t>9020/1/15 SOC 331 GENDER 6 ECOFIN 367 DRS 40 CODEC 741 REV 1</w:t>
      </w:r>
    </w:p>
    <w:p w:rsidR="0023471F" w:rsidRPr="00F0677A" w:rsidRDefault="0023471F" w:rsidP="0023471F">
      <w:pPr>
        <w:pStyle w:val="Text4"/>
      </w:pPr>
      <w:r w:rsidRPr="00F0677A">
        <w:t>+ REV 1 COR 1 (</w:t>
      </w:r>
      <w:proofErr w:type="spellStart"/>
      <w:r w:rsidRPr="00F0677A">
        <w:t>el</w:t>
      </w:r>
      <w:proofErr w:type="spellEnd"/>
      <w:r w:rsidRPr="00F0677A">
        <w:t>)</w:t>
      </w:r>
    </w:p>
    <w:p w:rsidR="0023471F" w:rsidRPr="00F0677A" w:rsidRDefault="0023471F" w:rsidP="0023471F">
      <w:pPr>
        <w:pStyle w:val="Text1"/>
        <w:spacing w:before="240" w:line="360" w:lineRule="auto"/>
        <w:rPr>
          <w:bCs/>
          <w:i/>
          <w:iCs/>
        </w:rPr>
      </w:pPr>
      <w:r w:rsidRPr="00F0677A">
        <w:rPr>
          <w:u w:val="single"/>
        </w:rPr>
        <w:t>Съветът</w:t>
      </w:r>
      <w:r w:rsidRPr="00F0677A">
        <w:t xml:space="preserve"> взе под внимание доклада за напредъка от председателството (док. 9020/1/15 REV 1+ REV 1 COR 1).</w:t>
      </w:r>
    </w:p>
    <w:p w:rsidR="0023471F" w:rsidRPr="00F0677A" w:rsidRDefault="0023471F" w:rsidP="0023471F">
      <w:pPr>
        <w:pStyle w:val="PointManual"/>
        <w:spacing w:before="720"/>
        <w:rPr>
          <w:b/>
          <w:bCs/>
        </w:rPr>
      </w:pPr>
      <w:r w:rsidRPr="00F0677A">
        <w:rPr>
          <w:b/>
        </w:rPr>
        <w:t>7.</w:t>
      </w:r>
      <w:r w:rsidRPr="00F0677A">
        <w:tab/>
      </w:r>
      <w:r w:rsidRPr="00F0677A">
        <w:rPr>
          <w:b/>
          <w:u w:val="single"/>
        </w:rPr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23471F" w:rsidRPr="00F0677A" w:rsidRDefault="0023471F" w:rsidP="0023471F">
      <w:pPr>
        <w:pStyle w:val="Text1"/>
        <w:rPr>
          <w:i/>
          <w:iCs/>
        </w:rPr>
      </w:pPr>
      <w:proofErr w:type="spellStart"/>
      <w:r w:rsidRPr="00F0677A">
        <w:rPr>
          <w:i/>
        </w:rPr>
        <w:t>Междуинституционално</w:t>
      </w:r>
      <w:proofErr w:type="spellEnd"/>
      <w:r w:rsidRPr="00F0677A">
        <w:rPr>
          <w:i/>
        </w:rPr>
        <w:t xml:space="preserve"> досие: 2008/0140 (CNS)</w:t>
      </w:r>
    </w:p>
    <w:p w:rsidR="0023471F" w:rsidRPr="00F0677A" w:rsidRDefault="0023471F" w:rsidP="0023471F">
      <w:pPr>
        <w:pStyle w:val="Dash1"/>
      </w:pPr>
      <w:r w:rsidRPr="00F0677A">
        <w:t>Доклад за напредъка</w:t>
      </w:r>
    </w:p>
    <w:p w:rsidR="0023471F" w:rsidRPr="00F0677A" w:rsidRDefault="0023471F" w:rsidP="0023471F">
      <w:pPr>
        <w:pStyle w:val="Text3"/>
        <w:tabs>
          <w:tab w:val="right" w:pos="9356"/>
        </w:tabs>
        <w:rPr>
          <w:b/>
          <w:bCs/>
          <w:u w:val="single"/>
        </w:rPr>
      </w:pPr>
      <w:r w:rsidRPr="00F0677A">
        <w:t>11531/08 SOC 411 JAI 368 MI 246</w:t>
      </w:r>
    </w:p>
    <w:p w:rsidR="0023471F" w:rsidRPr="00F0677A" w:rsidRDefault="0023471F" w:rsidP="0023471F">
      <w:pPr>
        <w:pStyle w:val="Text3"/>
        <w:rPr>
          <w:b/>
          <w:bCs/>
          <w:u w:val="single"/>
        </w:rPr>
      </w:pPr>
      <w:r w:rsidRPr="00F0677A">
        <w:t>9011/1/15 SOC 330 ANTIDISCRIM 6 JAI 338 MI 326 FREMP 114 REV 1</w:t>
      </w:r>
    </w:p>
    <w:p w:rsidR="0023471F" w:rsidRPr="00F0677A" w:rsidRDefault="0023471F" w:rsidP="0023471F">
      <w:pPr>
        <w:pStyle w:val="Text1"/>
        <w:spacing w:before="240" w:line="360" w:lineRule="auto"/>
        <w:rPr>
          <w:color w:val="000000"/>
        </w:rPr>
      </w:pPr>
      <w:r w:rsidRPr="00F0677A">
        <w:rPr>
          <w:u w:val="single"/>
        </w:rPr>
        <w:t>Съветът</w:t>
      </w:r>
      <w:r w:rsidRPr="00F0677A">
        <w:t xml:space="preserve"> взе под внимание доклада на председателството за напредъка (док. 9011/1/15).</w:t>
      </w:r>
    </w:p>
    <w:p w:rsidR="0023471F" w:rsidRPr="00F0677A" w:rsidRDefault="0023471F" w:rsidP="0023471F">
      <w:pPr>
        <w:pStyle w:val="PointManual"/>
        <w:spacing w:before="720"/>
      </w:pPr>
      <w:r w:rsidRPr="00F0677A">
        <w:rPr>
          <w:b/>
        </w:rPr>
        <w:t>8.</w:t>
      </w:r>
      <w:r w:rsidRPr="00F0677A">
        <w:tab/>
      </w:r>
      <w:r w:rsidRPr="00F0677A">
        <w:rPr>
          <w:b/>
          <w:u w:val="single"/>
        </w:rPr>
        <w:t>Други въпроси</w:t>
      </w:r>
    </w:p>
    <w:p w:rsidR="0023471F" w:rsidRPr="00F0677A" w:rsidRDefault="0023471F" w:rsidP="0023471F">
      <w:pPr>
        <w:pStyle w:val="PointManual1"/>
        <w:spacing w:before="200"/>
        <w:rPr>
          <w:b/>
          <w:bCs/>
        </w:rPr>
      </w:pPr>
      <w:r w:rsidRPr="00F0677A">
        <w:rPr>
          <w:b/>
        </w:rPr>
        <w:t>a)</w:t>
      </w:r>
      <w:r w:rsidR="00054439">
        <w:rPr>
          <w:b/>
          <w:lang w:val="en-US"/>
        </w:rPr>
        <w:tab/>
      </w:r>
      <w:r w:rsidRPr="00F0677A">
        <w:rPr>
          <w:b/>
        </w:rPr>
        <w:t>Текущи законодателни предложения</w:t>
      </w:r>
    </w:p>
    <w:p w:rsidR="0023471F" w:rsidRPr="00F0677A" w:rsidRDefault="0023471F" w:rsidP="0023471F">
      <w:pPr>
        <w:pStyle w:val="Text2"/>
        <w:rPr>
          <w:i/>
          <w:iCs/>
        </w:rPr>
      </w:pPr>
      <w:r w:rsidRPr="00F0677A">
        <w:rPr>
          <w:i/>
        </w:rPr>
        <w:t>(открито обсъждане съгласно член 16, параграф 8 от Договора за Европейския съюз)</w:t>
      </w:r>
    </w:p>
    <w:p w:rsidR="0023471F" w:rsidRPr="00F0677A" w:rsidRDefault="0023471F" w:rsidP="0023471F">
      <w:pPr>
        <w:pStyle w:val="Dash2"/>
      </w:pPr>
      <w:r w:rsidRPr="00F0677A">
        <w:t>Информация от председателството</w:t>
      </w:r>
    </w:p>
    <w:p w:rsidR="0023471F" w:rsidRPr="00F0677A" w:rsidRDefault="0023471F" w:rsidP="0023471F">
      <w:pPr>
        <w:pStyle w:val="Text2"/>
        <w:spacing w:before="240" w:line="312" w:lineRule="auto"/>
      </w:pPr>
      <w:r w:rsidRPr="00F0677A">
        <w:rPr>
          <w:u w:val="single"/>
        </w:rPr>
        <w:t>Председателството</w:t>
      </w:r>
      <w:r w:rsidRPr="00F0677A">
        <w:t xml:space="preserve"> информира Съвета за резултатите и актуалното положение по различните досиета, обсъждани по време на латвийското председателство.</w:t>
      </w:r>
    </w:p>
    <w:p w:rsidR="0023471F" w:rsidRPr="00F0677A" w:rsidRDefault="0023471F" w:rsidP="0004616C">
      <w:pPr>
        <w:pStyle w:val="PointManual1"/>
        <w:pageBreakBefore/>
        <w:spacing w:before="600"/>
        <w:rPr>
          <w:b/>
          <w:bCs/>
        </w:rPr>
      </w:pPr>
      <w:r w:rsidRPr="00F0677A">
        <w:rPr>
          <w:b/>
        </w:rPr>
        <w:lastRenderedPageBreak/>
        <w:t>б)</w:t>
      </w:r>
      <w:r w:rsidR="00054439" w:rsidRPr="00054439">
        <w:rPr>
          <w:b/>
        </w:rPr>
        <w:tab/>
      </w:r>
      <w:r w:rsidRPr="00F0677A">
        <w:rPr>
          <w:b/>
        </w:rPr>
        <w:t>Доклад относно прилагането на рамката на ЕС за 2015 г. за национални стратегии за интегриране на ромите</w:t>
      </w:r>
    </w:p>
    <w:p w:rsidR="0023471F" w:rsidRPr="00F0677A" w:rsidRDefault="0023471F" w:rsidP="0023471F">
      <w:pPr>
        <w:pStyle w:val="Dash2"/>
      </w:pPr>
      <w:r w:rsidRPr="00F0677A">
        <w:t>Информация от Комисията</w:t>
      </w:r>
    </w:p>
    <w:p w:rsidR="00FB71A3" w:rsidRPr="00F0677A" w:rsidRDefault="0023471F" w:rsidP="0023471F">
      <w:pPr>
        <w:pStyle w:val="Text3"/>
        <w:rPr>
          <w:rFonts w:asciiTheme="majorBidi" w:hAnsiTheme="majorBidi" w:cstheme="majorBidi"/>
        </w:rPr>
      </w:pPr>
      <w:r w:rsidRPr="00F0677A">
        <w:rPr>
          <w:rFonts w:asciiTheme="majorBidi" w:hAnsiTheme="majorBidi" w:cstheme="majorBidi"/>
        </w:rPr>
        <w:t>9551/15 SOC 392 EMPL 254 ANTIDISCRIM 7 JAI 418 EDUC 200 FREMP 132</w:t>
      </w:r>
    </w:p>
    <w:p w:rsidR="0023471F" w:rsidRPr="00F0677A" w:rsidRDefault="0023471F" w:rsidP="0023471F">
      <w:pPr>
        <w:pStyle w:val="Text5"/>
        <w:rPr>
          <w:rFonts w:asciiTheme="majorBidi" w:hAnsiTheme="majorBidi" w:cstheme="majorBidi"/>
        </w:rPr>
      </w:pPr>
      <w:r w:rsidRPr="00F0677A">
        <w:rPr>
          <w:rFonts w:asciiTheme="majorBidi" w:hAnsiTheme="majorBidi" w:cstheme="majorBidi"/>
        </w:rPr>
        <w:t>COHOM 54 GENDER 8</w:t>
      </w:r>
    </w:p>
    <w:p w:rsidR="0023471F" w:rsidRPr="00F0677A" w:rsidRDefault="0023471F" w:rsidP="0023471F">
      <w:pPr>
        <w:pStyle w:val="Text2"/>
        <w:spacing w:before="240" w:line="312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представената от Комисията информация, изложена в док. 9551/15.</w:t>
      </w:r>
    </w:p>
    <w:p w:rsidR="0023471F" w:rsidRPr="00F0677A" w:rsidRDefault="0023471F" w:rsidP="0023471F">
      <w:pPr>
        <w:pStyle w:val="PointManual1"/>
        <w:spacing w:before="480"/>
        <w:rPr>
          <w:b/>
          <w:bCs/>
        </w:rPr>
      </w:pPr>
      <w:r w:rsidRPr="00054439">
        <w:rPr>
          <w:b/>
          <w:bCs/>
        </w:rPr>
        <w:t>в)</w:t>
      </w:r>
      <w:r w:rsidR="00054439" w:rsidRPr="00054439">
        <w:tab/>
      </w:r>
      <w:r w:rsidRPr="00F0677A">
        <w:rPr>
          <w:b/>
        </w:rPr>
        <w:t>Доклад за функционирането на преходните разпоредби относно свободното движение на работници от Хърватия и придружаващия го работен документ на службите на Комисията</w:t>
      </w:r>
    </w:p>
    <w:p w:rsidR="0023471F" w:rsidRPr="00F0677A" w:rsidRDefault="0023471F" w:rsidP="0023471F">
      <w:pPr>
        <w:pStyle w:val="Dash2"/>
      </w:pPr>
      <w:r w:rsidRPr="00F0677A">
        <w:t>Информация от Комисията</w:t>
      </w:r>
    </w:p>
    <w:p w:rsidR="0023471F" w:rsidRPr="00F0677A" w:rsidRDefault="0023471F" w:rsidP="0023471F">
      <w:pPr>
        <w:pStyle w:val="Text3"/>
        <w:rPr>
          <w:rFonts w:eastAsia="Calibri"/>
        </w:rPr>
      </w:pPr>
      <w:r w:rsidRPr="00F0677A">
        <w:t>9631/15 SOC 407 MI 377 EDUC 205 ECOFIN 448 JEUN 47 JAI 428 ETS 4</w:t>
      </w:r>
    </w:p>
    <w:p w:rsidR="0023471F" w:rsidRPr="00F0677A" w:rsidRDefault="0023471F" w:rsidP="0023471F">
      <w:pPr>
        <w:pStyle w:val="Text2"/>
        <w:spacing w:before="240" w:line="312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представената от Комисията информация, изложена в док. 9631/15.</w:t>
      </w:r>
    </w:p>
    <w:p w:rsidR="00FB71A3" w:rsidRPr="00F0677A" w:rsidRDefault="0023471F" w:rsidP="0023471F">
      <w:pPr>
        <w:pStyle w:val="PointManual1"/>
        <w:spacing w:before="480"/>
        <w:rPr>
          <w:b/>
          <w:bCs/>
        </w:rPr>
      </w:pPr>
      <w:r w:rsidRPr="00054439">
        <w:rPr>
          <w:b/>
          <w:bCs/>
        </w:rPr>
        <w:t>г)</w:t>
      </w:r>
      <w:r w:rsidR="00054439" w:rsidRPr="00054439">
        <w:rPr>
          <w:b/>
        </w:rPr>
        <w:tab/>
      </w:r>
      <w:r w:rsidRPr="00F0677A">
        <w:rPr>
          <w:b/>
        </w:rPr>
        <w:t>Резултати от конференциите, организирани от латвийското председателство</w:t>
      </w:r>
    </w:p>
    <w:p w:rsidR="00FB71A3" w:rsidRPr="00F0677A" w:rsidRDefault="0023471F" w:rsidP="0023471F">
      <w:pPr>
        <w:pStyle w:val="Dash2"/>
      </w:pPr>
      <w:r w:rsidRPr="00F0677A">
        <w:t>Информация от председателството</w:t>
      </w:r>
    </w:p>
    <w:p w:rsidR="00FB71A3" w:rsidRPr="00F0677A" w:rsidRDefault="0023471F" w:rsidP="0023471F">
      <w:pPr>
        <w:pStyle w:val="Text3"/>
      </w:pPr>
      <w:r w:rsidRPr="00F0677A">
        <w:t>9308/15 SOC 376 EMPL 248</w:t>
      </w:r>
    </w:p>
    <w:p w:rsidR="0023471F" w:rsidRPr="00F0677A" w:rsidRDefault="0023471F" w:rsidP="0023471F">
      <w:pPr>
        <w:pStyle w:val="Text2"/>
        <w:spacing w:before="240" w:line="312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предоставена от председателството.</w:t>
      </w:r>
    </w:p>
    <w:p w:rsidR="0023471F" w:rsidRPr="00F0677A" w:rsidRDefault="0023471F" w:rsidP="0023471F">
      <w:pPr>
        <w:pStyle w:val="PointManual1"/>
        <w:spacing w:before="480"/>
        <w:rPr>
          <w:b/>
          <w:bCs/>
        </w:rPr>
      </w:pPr>
      <w:r w:rsidRPr="00054439">
        <w:rPr>
          <w:b/>
          <w:bCs/>
        </w:rPr>
        <w:t>д)</w:t>
      </w:r>
      <w:r w:rsidR="00054439" w:rsidRPr="00054439">
        <w:rPr>
          <w:b/>
        </w:rPr>
        <w:tab/>
      </w:r>
      <w:r w:rsidRPr="00F0677A">
        <w:rPr>
          <w:b/>
        </w:rPr>
        <w:t>Работна програма на предстоящото председателство</w:t>
      </w:r>
    </w:p>
    <w:p w:rsidR="0023471F" w:rsidRPr="00F0677A" w:rsidRDefault="0023471F" w:rsidP="0023471F">
      <w:pPr>
        <w:pStyle w:val="Dash2"/>
      </w:pPr>
      <w:r w:rsidRPr="00F0677A">
        <w:t>Информация от делегацията на Люксембург</w:t>
      </w:r>
    </w:p>
    <w:p w:rsidR="0023471F" w:rsidRPr="00F0677A" w:rsidRDefault="0023471F" w:rsidP="0023471F">
      <w:pPr>
        <w:pStyle w:val="Text2"/>
        <w:spacing w:before="240" w:line="312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предоставена от предстоящото председателство относно работната му програма.</w:t>
      </w:r>
    </w:p>
    <w:p w:rsidR="0023471F" w:rsidRPr="00F0677A" w:rsidRDefault="0023471F" w:rsidP="0023471F">
      <w:pPr>
        <w:pageBreakBefore/>
        <w:spacing w:before="600"/>
        <w:rPr>
          <w:b/>
          <w:bCs/>
          <w:i/>
          <w:iCs/>
          <w:sz w:val="32"/>
          <w:szCs w:val="32"/>
        </w:rPr>
      </w:pPr>
      <w:r w:rsidRPr="00F0677A">
        <w:rPr>
          <w:b/>
          <w:i/>
          <w:sz w:val="32"/>
        </w:rPr>
        <w:lastRenderedPageBreak/>
        <w:t>Заседание от 19 юни 2015 г.</w:t>
      </w:r>
    </w:p>
    <w:p w:rsidR="0023471F" w:rsidRPr="00F0677A" w:rsidRDefault="0023471F" w:rsidP="0023471F">
      <w:pPr>
        <w:pStyle w:val="HeadingCentered"/>
        <w:spacing w:before="240" w:after="240"/>
        <w:rPr>
          <w:b w:val="0"/>
          <w:bCs/>
        </w:rPr>
      </w:pPr>
      <w:r w:rsidRPr="00F0677A">
        <w:rPr>
          <w:b w:val="0"/>
        </w:rPr>
        <w:t>ЗДРАВЕОПАЗВАНЕ</w:t>
      </w:r>
    </w:p>
    <w:p w:rsidR="0023471F" w:rsidRPr="00F0677A" w:rsidRDefault="0023471F" w:rsidP="0023471F">
      <w:pPr>
        <w:spacing w:before="240"/>
        <w:rPr>
          <w:b/>
          <w:bCs/>
          <w:u w:val="single"/>
        </w:rPr>
      </w:pPr>
      <w:r w:rsidRPr="00F0677A">
        <w:rPr>
          <w:b/>
          <w:u w:val="single"/>
        </w:rPr>
        <w:t>ОБСЪЖДАНИЯ НА ЗАКОНОДАТЕЛНИ АКТОВЕ</w:t>
      </w:r>
    </w:p>
    <w:p w:rsidR="0023471F" w:rsidRPr="00F0677A" w:rsidRDefault="0023471F" w:rsidP="0023471F">
      <w:pPr>
        <w:rPr>
          <w:b/>
          <w:bCs/>
          <w:i/>
          <w:iCs/>
        </w:rPr>
      </w:pPr>
      <w:r w:rsidRPr="00F0677A">
        <w:rPr>
          <w:b/>
          <w:i/>
        </w:rPr>
        <w:t>(открито обсъждане съгласно член 16, параграф 8 от Договора за Европейския съюз)</w:t>
      </w:r>
    </w:p>
    <w:p w:rsidR="0023471F" w:rsidRPr="00F0677A" w:rsidRDefault="0023471F" w:rsidP="0023471F">
      <w:pPr>
        <w:pStyle w:val="PointManual"/>
        <w:rPr>
          <w:b/>
          <w:bCs/>
        </w:rPr>
      </w:pPr>
      <w:r w:rsidRPr="00F0677A">
        <w:rPr>
          <w:b/>
        </w:rPr>
        <w:t>9.</w:t>
      </w:r>
      <w:r w:rsidRPr="00F0677A">
        <w:tab/>
      </w:r>
      <w:r w:rsidRPr="00F0677A">
        <w:rPr>
          <w:b/>
        </w:rPr>
        <w:t>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</w:t>
      </w:r>
      <w:r w:rsidRPr="00F0677A">
        <w:t xml:space="preserve"> (</w:t>
      </w:r>
      <w:r w:rsidRPr="00F0677A">
        <w:rPr>
          <w:b/>
          <w:u w:val="single"/>
        </w:rPr>
        <w:t>първо четене</w:t>
      </w:r>
      <w:r w:rsidRPr="00F0677A">
        <w:t>)</w:t>
      </w:r>
    </w:p>
    <w:p w:rsidR="0023471F" w:rsidRPr="00F0677A" w:rsidRDefault="0023471F" w:rsidP="0023471F">
      <w:pPr>
        <w:pStyle w:val="Text1"/>
        <w:rPr>
          <w:i/>
          <w:iCs/>
        </w:rPr>
      </w:pPr>
      <w:r w:rsidRPr="00F0677A">
        <w:rPr>
          <w:i/>
        </w:rPr>
        <w:t>(правно основание, предложено от Комисията: член 114 и член 168, параграф 4, буква в) от ДФЕС)</w:t>
      </w:r>
    </w:p>
    <w:p w:rsidR="0023471F" w:rsidRPr="00F0677A" w:rsidRDefault="0023471F" w:rsidP="0023471F">
      <w:pPr>
        <w:pStyle w:val="Text1"/>
        <w:rPr>
          <w:rFonts w:eastAsia="Calibri" w:cs="Arial"/>
          <w:i/>
          <w:iCs/>
          <w:szCs w:val="22"/>
        </w:rPr>
      </w:pPr>
      <w:proofErr w:type="spellStart"/>
      <w:r w:rsidRPr="00F0677A">
        <w:rPr>
          <w:i/>
        </w:rPr>
        <w:t>Междуинституционално</w:t>
      </w:r>
      <w:proofErr w:type="spellEnd"/>
      <w:r w:rsidRPr="00F0677A">
        <w:rPr>
          <w:i/>
        </w:rPr>
        <w:t xml:space="preserve"> досие: 2012/0266 (COD)</w:t>
      </w:r>
    </w:p>
    <w:p w:rsidR="0023471F" w:rsidRPr="00F0677A" w:rsidRDefault="0023471F" w:rsidP="0023471F">
      <w:pPr>
        <w:pStyle w:val="Text1"/>
        <w:rPr>
          <w:rFonts w:eastAsia="Calibri"/>
        </w:rPr>
      </w:pPr>
      <w:r w:rsidRPr="00F0677A">
        <w:t>и</w:t>
      </w:r>
    </w:p>
    <w:p w:rsidR="0023471F" w:rsidRPr="00F0677A" w:rsidRDefault="0023471F" w:rsidP="0023471F">
      <w:pPr>
        <w:pStyle w:val="Text1"/>
        <w:rPr>
          <w:b/>
          <w:bCs/>
        </w:rPr>
      </w:pPr>
      <w:r w:rsidRPr="00F0677A">
        <w:rPr>
          <w:b/>
        </w:rPr>
        <w:t>Предложение за регламент на Европейския парламент и на Съвета относно ин витро диагностичните медицински изделия</w:t>
      </w:r>
      <w:r w:rsidRPr="00F0677A">
        <w:t xml:space="preserve"> (</w:t>
      </w:r>
      <w:r w:rsidRPr="00F0677A">
        <w:rPr>
          <w:b/>
        </w:rPr>
        <w:t>първо четене</w:t>
      </w:r>
      <w:r w:rsidRPr="00F0677A">
        <w:t>)</w:t>
      </w:r>
    </w:p>
    <w:p w:rsidR="0023471F" w:rsidRPr="00F0677A" w:rsidRDefault="0023471F" w:rsidP="0023471F">
      <w:pPr>
        <w:pStyle w:val="Text1"/>
        <w:rPr>
          <w:i/>
          <w:iCs/>
        </w:rPr>
      </w:pPr>
      <w:r w:rsidRPr="00F0677A">
        <w:rPr>
          <w:i/>
        </w:rPr>
        <w:t>(правно основание, предложено от Комисията: член 114 и член 168, параграф 4, буква в) от ДФЕС)</w:t>
      </w:r>
    </w:p>
    <w:p w:rsidR="0023471F" w:rsidRPr="00F0677A" w:rsidRDefault="0023471F" w:rsidP="0023471F">
      <w:pPr>
        <w:pStyle w:val="Text1"/>
        <w:rPr>
          <w:rFonts w:eastAsia="Calibri" w:cs="Arial"/>
          <w:i/>
          <w:iCs/>
          <w:szCs w:val="22"/>
        </w:rPr>
      </w:pPr>
      <w:proofErr w:type="spellStart"/>
      <w:r w:rsidRPr="00F0677A">
        <w:rPr>
          <w:i/>
        </w:rPr>
        <w:t>Междуинституционално</w:t>
      </w:r>
      <w:proofErr w:type="spellEnd"/>
      <w:r w:rsidRPr="00F0677A">
        <w:rPr>
          <w:i/>
        </w:rPr>
        <w:t xml:space="preserve"> досие: 2012/0267 (COD)</w:t>
      </w:r>
    </w:p>
    <w:p w:rsidR="0023471F" w:rsidRPr="00F0677A" w:rsidRDefault="0023471F" w:rsidP="0023471F">
      <w:pPr>
        <w:pStyle w:val="Dash1"/>
        <w:rPr>
          <w:b/>
          <w:bCs/>
        </w:rPr>
      </w:pPr>
      <w:r w:rsidRPr="00F0677A">
        <w:t>Частичен общ подход (●)</w:t>
      </w:r>
    </w:p>
    <w:p w:rsidR="0023471F" w:rsidRPr="00F0677A" w:rsidRDefault="0023471F" w:rsidP="0023471F">
      <w:pPr>
        <w:pStyle w:val="Text3"/>
        <w:tabs>
          <w:tab w:val="right" w:pos="9356"/>
        </w:tabs>
      </w:pPr>
      <w:r w:rsidRPr="00F0677A">
        <w:t>14493/12 PHARM 71 SAN 215 MI 597 COMPET 600 CODEC 2305</w:t>
      </w:r>
    </w:p>
    <w:p w:rsidR="0023471F" w:rsidRPr="00F0677A" w:rsidRDefault="0023471F" w:rsidP="0023471F">
      <w:pPr>
        <w:pStyle w:val="Text3"/>
        <w:tabs>
          <w:tab w:val="right" w:pos="9356"/>
        </w:tabs>
      </w:pPr>
      <w:r w:rsidRPr="00F0677A">
        <w:t>14499/12 PHARM 72 SAN 216 MI 598 COMPET 599 CODEC 2312</w:t>
      </w:r>
    </w:p>
    <w:p w:rsidR="0023471F" w:rsidRPr="00F0677A" w:rsidRDefault="0023471F" w:rsidP="0023471F">
      <w:pPr>
        <w:pStyle w:val="Text3"/>
        <w:tabs>
          <w:tab w:val="right" w:pos="9356"/>
        </w:tabs>
      </w:pPr>
      <w:r w:rsidRPr="00F0677A">
        <w:t>9773/15 PHARM 28 SAN 178 MI 393 COMPET 306 CODEC 860</w:t>
      </w:r>
    </w:p>
    <w:p w:rsidR="0023471F" w:rsidRPr="00F0677A" w:rsidRDefault="0023471F" w:rsidP="0023471F">
      <w:pPr>
        <w:pStyle w:val="Text3"/>
        <w:tabs>
          <w:tab w:val="right" w:pos="9356"/>
        </w:tabs>
      </w:pPr>
      <w:r w:rsidRPr="00F0677A">
        <w:t>9769/15 PHARM 26 SAN 176 MI 391 COMPET 304 CODEC 858</w:t>
      </w:r>
    </w:p>
    <w:p w:rsidR="0023471F" w:rsidRPr="00F0677A" w:rsidRDefault="0023471F" w:rsidP="0023471F">
      <w:pPr>
        <w:pStyle w:val="Text4"/>
      </w:pPr>
      <w:r w:rsidRPr="00F0677A">
        <w:t>+ ADD 1</w:t>
      </w:r>
    </w:p>
    <w:p w:rsidR="0023471F" w:rsidRPr="00F0677A" w:rsidRDefault="0023471F" w:rsidP="0023471F">
      <w:pPr>
        <w:pStyle w:val="Text3"/>
        <w:tabs>
          <w:tab w:val="right" w:pos="9356"/>
        </w:tabs>
      </w:pPr>
      <w:r w:rsidRPr="00F0677A">
        <w:t>9770/15 PHARM 27 SAN 177 MI 392 COMPET 305 CODEC 859</w:t>
      </w:r>
    </w:p>
    <w:p w:rsidR="0023471F" w:rsidRPr="00F0677A" w:rsidRDefault="0023471F" w:rsidP="0023471F">
      <w:pPr>
        <w:pStyle w:val="Text4"/>
      </w:pPr>
      <w:r w:rsidRPr="00F0677A">
        <w:t>+ ADD 1</w:t>
      </w:r>
    </w:p>
    <w:p w:rsidR="0023471F" w:rsidRPr="00F0677A" w:rsidRDefault="0023471F" w:rsidP="0023471F">
      <w:pPr>
        <w:pStyle w:val="Text1"/>
        <w:spacing w:before="240" w:line="360" w:lineRule="auto"/>
        <w:rPr>
          <w:u w:val="single"/>
        </w:rPr>
      </w:pPr>
      <w:r w:rsidRPr="00F0677A">
        <w:rPr>
          <w:u w:val="single"/>
        </w:rPr>
        <w:t>Съветът</w:t>
      </w:r>
    </w:p>
    <w:p w:rsidR="0023471F" w:rsidRPr="00F0677A" w:rsidRDefault="0023471F" w:rsidP="0023471F">
      <w:pPr>
        <w:pStyle w:val="Dash1"/>
        <w:spacing w:line="360" w:lineRule="auto"/>
      </w:pPr>
      <w:r w:rsidRPr="00F0677A">
        <w:t>постигна частичен общ подход (с изключение на съображенията), изложен в док. 9769/15 + ADD 1 по проекта за регламент за медицинските изделия,</w:t>
      </w:r>
    </w:p>
    <w:p w:rsidR="0023471F" w:rsidRPr="00F0677A" w:rsidRDefault="0023471F" w:rsidP="0023471F">
      <w:pPr>
        <w:pStyle w:val="Dash1"/>
        <w:spacing w:line="360" w:lineRule="auto"/>
      </w:pPr>
      <w:r w:rsidRPr="00F0677A">
        <w:t xml:space="preserve">постигна съгласие по езикова </w:t>
      </w:r>
      <w:proofErr w:type="spellStart"/>
      <w:r w:rsidRPr="00F0677A">
        <w:t>дерогация</w:t>
      </w:r>
      <w:proofErr w:type="spellEnd"/>
      <w:r w:rsidRPr="00F0677A">
        <w:t xml:space="preserve"> за проекта за регламент относно ин витро диагностичните медицински изделия и постигна частичен общ подход (с изключение на съображенията), изложен в док. 9770/15 + ADD 1 за този проект на регламент,</w:t>
      </w:r>
    </w:p>
    <w:p w:rsidR="0023471F" w:rsidRPr="00F0677A" w:rsidRDefault="0023471F" w:rsidP="0023471F">
      <w:pPr>
        <w:pStyle w:val="Text1"/>
        <w:spacing w:before="120" w:after="120"/>
      </w:pPr>
      <w:r w:rsidRPr="00F0677A">
        <w:t>както и</w:t>
      </w:r>
    </w:p>
    <w:p w:rsidR="0023471F" w:rsidRPr="00F0677A" w:rsidRDefault="0023471F" w:rsidP="0023471F">
      <w:pPr>
        <w:pStyle w:val="Dash1"/>
        <w:spacing w:line="360" w:lineRule="auto"/>
      </w:pPr>
      <w:r w:rsidRPr="00F0677A">
        <w:t xml:space="preserve">възложи на подготвителните си органи да разгледат съображенията и да проверят </w:t>
      </w:r>
      <w:proofErr w:type="spellStart"/>
      <w:r w:rsidRPr="00F0677A">
        <w:t>постановителната</w:t>
      </w:r>
      <w:proofErr w:type="spellEnd"/>
      <w:r w:rsidRPr="00F0677A">
        <w:t xml:space="preserve"> част за технически несъответствия с оглед на изготвянето на цялостни общи подходи по двата проекта за регламент.</w:t>
      </w:r>
    </w:p>
    <w:p w:rsidR="0023471F" w:rsidRPr="00F0677A" w:rsidRDefault="0023471F" w:rsidP="0004616C">
      <w:pPr>
        <w:pStyle w:val="PointManual"/>
        <w:pageBreakBefore/>
        <w:spacing w:before="600"/>
      </w:pPr>
      <w:r w:rsidRPr="00F0677A">
        <w:rPr>
          <w:b/>
        </w:rPr>
        <w:lastRenderedPageBreak/>
        <w:t>10.</w:t>
      </w:r>
      <w:r w:rsidRPr="00F0677A">
        <w:tab/>
      </w:r>
      <w:r w:rsidRPr="00F0677A">
        <w:rPr>
          <w:b/>
          <w:u w:val="single"/>
        </w:rPr>
        <w:t>Други въпроси</w:t>
      </w:r>
    </w:p>
    <w:p w:rsidR="00FB71A3" w:rsidRPr="00F0677A" w:rsidRDefault="0023471F" w:rsidP="0023471F">
      <w:pPr>
        <w:pStyle w:val="PointManual1"/>
        <w:spacing w:before="240"/>
        <w:rPr>
          <w:b/>
          <w:bCs/>
        </w:rPr>
      </w:pPr>
      <w:r w:rsidRPr="00F0677A">
        <w:rPr>
          <w:b/>
        </w:rPr>
        <w:t>a)</w:t>
      </w:r>
      <w:r w:rsidR="009158CF" w:rsidRPr="009158CF">
        <w:rPr>
          <w:b/>
        </w:rPr>
        <w:tab/>
      </w:r>
      <w:r w:rsidRPr="00F0677A">
        <w:rPr>
          <w:b/>
        </w:rPr>
        <w:t>Нова рамка на политиката на ЕС по отношение на алкохола</w:t>
      </w:r>
    </w:p>
    <w:p w:rsidR="00FB71A3" w:rsidRPr="00F0677A" w:rsidRDefault="0023471F" w:rsidP="0023471F">
      <w:pPr>
        <w:pStyle w:val="Dash2"/>
        <w:rPr>
          <w:rFonts w:eastAsia="Calibri"/>
        </w:rPr>
      </w:pPr>
      <w:r w:rsidRPr="00F0677A">
        <w:t>Информация от делегацията на Словения</w:t>
      </w:r>
    </w:p>
    <w:p w:rsidR="0023471F" w:rsidRPr="00F0677A" w:rsidRDefault="0023471F" w:rsidP="0023471F">
      <w:pPr>
        <w:pStyle w:val="Text3"/>
        <w:rPr>
          <w:rFonts w:eastAsia="Calibri"/>
        </w:rPr>
      </w:pPr>
      <w:r w:rsidRPr="00F0677A">
        <w:t>9286/15 SAN 160</w:t>
      </w:r>
    </w:p>
    <w:p w:rsidR="0023471F" w:rsidRPr="00F0677A" w:rsidRDefault="0023471F" w:rsidP="0023471F">
      <w:pPr>
        <w:pStyle w:val="Text2"/>
        <w:spacing w:before="200" w:line="312" w:lineRule="auto"/>
        <w:rPr>
          <w:rFonts w:eastAsia="Calibri"/>
        </w:rPr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предоставена от делегацията на Словения по тази точка, както и изказванията на 20 делегации в нейна подкрепа по този въпрос.</w:t>
      </w:r>
    </w:p>
    <w:p w:rsidR="0023471F" w:rsidRPr="00F0677A" w:rsidRDefault="0023471F" w:rsidP="0023471F">
      <w:pPr>
        <w:pStyle w:val="PointManual1"/>
        <w:spacing w:before="480"/>
        <w:rPr>
          <w:rFonts w:eastAsia="Calibri"/>
          <w:b/>
          <w:bCs/>
        </w:rPr>
      </w:pPr>
      <w:r w:rsidRPr="00F0677A">
        <w:rPr>
          <w:b/>
        </w:rPr>
        <w:t>б)</w:t>
      </w:r>
      <w:r w:rsidR="009158CF" w:rsidRPr="009158CF">
        <w:rPr>
          <w:b/>
        </w:rPr>
        <w:tab/>
      </w:r>
      <w:r w:rsidRPr="00F0677A">
        <w:rPr>
          <w:b/>
        </w:rPr>
        <w:t>Значението на здравното измерение в европейската програма за миграция</w:t>
      </w:r>
    </w:p>
    <w:p w:rsidR="0023471F" w:rsidRPr="00F0677A" w:rsidRDefault="0023471F" w:rsidP="0023471F">
      <w:pPr>
        <w:pStyle w:val="Dash2"/>
        <w:rPr>
          <w:rFonts w:eastAsia="Calibri"/>
        </w:rPr>
      </w:pPr>
      <w:r w:rsidRPr="00F0677A">
        <w:t>Информация от делегациите на Кипър, Гърция, Италия и Малта</w:t>
      </w:r>
    </w:p>
    <w:p w:rsidR="00FB71A3" w:rsidRPr="00F0677A" w:rsidRDefault="0023471F" w:rsidP="0023471F">
      <w:pPr>
        <w:pStyle w:val="Text3"/>
        <w:rPr>
          <w:rFonts w:eastAsia="Calibri"/>
        </w:rPr>
      </w:pPr>
      <w:r w:rsidRPr="00F0677A">
        <w:t>9479/15 SAN 165 MIGR 31 SOC 382 DEVGEN 88</w:t>
      </w:r>
    </w:p>
    <w:p w:rsidR="0023471F" w:rsidRPr="00F0677A" w:rsidRDefault="0023471F" w:rsidP="0023471F">
      <w:pPr>
        <w:pStyle w:val="Text2"/>
        <w:spacing w:before="200" w:line="312" w:lineRule="auto"/>
        <w:rPr>
          <w:rFonts w:eastAsia="Calibri"/>
        </w:rPr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представена от делегациите на Кипър, Гърция, Италия и Малта, както и изказванията на други делегации.</w:t>
      </w:r>
    </w:p>
    <w:p w:rsidR="0023471F" w:rsidRPr="00F0677A" w:rsidRDefault="0023471F" w:rsidP="0023471F">
      <w:pPr>
        <w:pStyle w:val="PointManual1"/>
        <w:spacing w:before="480"/>
        <w:rPr>
          <w:rFonts w:eastAsia="Calibri"/>
          <w:b/>
          <w:bCs/>
        </w:rPr>
      </w:pPr>
      <w:r w:rsidRPr="009158CF">
        <w:rPr>
          <w:b/>
          <w:bCs/>
        </w:rPr>
        <w:t>в)</w:t>
      </w:r>
      <w:r w:rsidR="009158CF" w:rsidRPr="009158CF">
        <w:tab/>
      </w:r>
      <w:r w:rsidRPr="00F0677A">
        <w:rPr>
          <w:b/>
        </w:rPr>
        <w:t>Случай на дифтерит в Испания</w:t>
      </w:r>
    </w:p>
    <w:p w:rsidR="0023471F" w:rsidRPr="00F0677A" w:rsidRDefault="0023471F" w:rsidP="00AA161D">
      <w:pPr>
        <w:pStyle w:val="Dash2"/>
        <w:numPr>
          <w:ilvl w:val="0"/>
          <w:numId w:val="1"/>
        </w:numPr>
        <w:spacing w:after="120"/>
        <w:rPr>
          <w:rFonts w:eastAsia="Calibri"/>
        </w:rPr>
      </w:pPr>
      <w:r w:rsidRPr="00F0677A">
        <w:t>Информация от делегацията на Испания</w:t>
      </w:r>
    </w:p>
    <w:p w:rsidR="0023471F" w:rsidRPr="00F0677A" w:rsidRDefault="0023471F" w:rsidP="0023471F">
      <w:pPr>
        <w:pStyle w:val="Text2"/>
        <w:spacing w:before="200" w:line="312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представена от делегацията на Испания.</w:t>
      </w:r>
    </w:p>
    <w:p w:rsidR="0023471F" w:rsidRPr="00F0677A" w:rsidRDefault="0023471F" w:rsidP="0023471F">
      <w:pPr>
        <w:pStyle w:val="PointManual1"/>
        <w:spacing w:before="480"/>
        <w:rPr>
          <w:rFonts w:eastAsia="Calibri"/>
          <w:b/>
          <w:bCs/>
        </w:rPr>
      </w:pPr>
      <w:r w:rsidRPr="009158CF">
        <w:rPr>
          <w:b/>
          <w:bCs/>
        </w:rPr>
        <w:t>г)</w:t>
      </w:r>
      <w:r w:rsidR="009158CF" w:rsidRPr="009158CF">
        <w:tab/>
      </w:r>
      <w:r w:rsidRPr="00F0677A">
        <w:rPr>
          <w:b/>
        </w:rPr>
        <w:t>Работна програма на предстоящото председателство</w:t>
      </w:r>
    </w:p>
    <w:p w:rsidR="0023471F" w:rsidRPr="00F0677A" w:rsidRDefault="0023471F" w:rsidP="00AA161D">
      <w:pPr>
        <w:pStyle w:val="Dash2"/>
        <w:numPr>
          <w:ilvl w:val="0"/>
          <w:numId w:val="1"/>
        </w:numPr>
        <w:spacing w:after="120"/>
      </w:pPr>
      <w:r w:rsidRPr="00F0677A">
        <w:t>Информация от делегацията на Люксембург</w:t>
      </w:r>
    </w:p>
    <w:p w:rsidR="00BB5757" w:rsidRPr="00F0677A" w:rsidRDefault="0023471F" w:rsidP="0004616C">
      <w:pPr>
        <w:pStyle w:val="Text2"/>
        <w:spacing w:line="360" w:lineRule="auto"/>
      </w:pPr>
      <w:r w:rsidRPr="00F0677A">
        <w:rPr>
          <w:u w:val="single"/>
        </w:rPr>
        <w:t>Съветът</w:t>
      </w:r>
      <w:r w:rsidRPr="00F0677A">
        <w:t xml:space="preserve"> взе под внимание информацията, предоставена от предстоящото председателство относно работната му програма.</w:t>
      </w:r>
    </w:p>
    <w:p w:rsidR="00BB5757" w:rsidRPr="00F0677A" w:rsidRDefault="009158CF" w:rsidP="00BB5757">
      <w:pPr>
        <w:pStyle w:val="NormalCentered"/>
      </w:pPr>
      <w:r w:rsidRPr="00833081">
        <w:t>************</w:t>
      </w:r>
    </w:p>
    <w:p w:rsidR="00BB5757" w:rsidRPr="00F0677A" w:rsidRDefault="00BB5757" w:rsidP="00BB5757">
      <w:pPr>
        <w:pStyle w:val="NormalRight"/>
        <w:spacing w:before="0"/>
        <w:rPr>
          <w:b/>
          <w:u w:val="single"/>
        </w:rPr>
      </w:pPr>
      <w:r w:rsidRPr="00F0677A">
        <w:br w:type="page"/>
      </w:r>
      <w:r w:rsidRPr="00F0677A">
        <w:rPr>
          <w:b/>
          <w:u w:val="single"/>
        </w:rPr>
        <w:lastRenderedPageBreak/>
        <w:t>ПРИЛОЖЕНИЕ</w:t>
      </w:r>
    </w:p>
    <w:p w:rsidR="00BB5757" w:rsidRPr="00F0677A" w:rsidRDefault="00BB5757" w:rsidP="00BB5757">
      <w:pPr>
        <w:pStyle w:val="HeadingCentered"/>
        <w:spacing w:before="1440" w:after="1440"/>
      </w:pPr>
      <w:r w:rsidRPr="00F0677A">
        <w:t>ИЗЯВЛЕНИЯ ЗА ПРОТОКОЛА НА СЪВЕТА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BB5757" w:rsidRPr="00F0677A" w:rsidTr="00A10C32">
        <w:trPr>
          <w:trHeight w:val="170"/>
        </w:trPr>
        <w:tc>
          <w:tcPr>
            <w:tcW w:w="1951" w:type="dxa"/>
            <w:shd w:val="clear" w:color="auto" w:fill="auto"/>
          </w:tcPr>
          <w:p w:rsidR="00BB5757" w:rsidRPr="00F0677A" w:rsidRDefault="00BB5757" w:rsidP="00BB5757">
            <w:pPr>
              <w:rPr>
                <w:b/>
              </w:rPr>
            </w:pPr>
            <w:bookmarkStart w:id="1" w:name="_GoBack"/>
            <w:bookmarkEnd w:id="1"/>
            <w:r w:rsidRPr="00F0677A">
              <w:rPr>
                <w:b/>
                <w:u w:val="single"/>
              </w:rPr>
              <w:t>По точка 2 от списъка на точки Б: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BB5757" w:rsidRPr="00F0677A" w:rsidRDefault="00BB5757" w:rsidP="00BB5757">
            <w:pPr>
              <w:rPr>
                <w:b/>
              </w:rPr>
            </w:pPr>
            <w:r w:rsidRPr="00F0677A">
              <w:rPr>
                <w:b/>
              </w:rPr>
              <w:t>Европейски семестър за 2015 г.: принос за заседанието на Европейския съвет (Брюксел, 25 и 26 юни 2015 г.)</w:t>
            </w:r>
          </w:p>
          <w:p w:rsidR="00BB5757" w:rsidRPr="00F0677A" w:rsidRDefault="00BB5757" w:rsidP="00BB5757">
            <w:pPr>
              <w:pStyle w:val="PointManual"/>
              <w:spacing w:before="0"/>
              <w:rPr>
                <w:b/>
              </w:rPr>
            </w:pPr>
            <w:r w:rsidRPr="00F0677A">
              <w:rPr>
                <w:b/>
              </w:rPr>
              <w:t>a)</w:t>
            </w:r>
            <w:r w:rsidRPr="00F0677A">
              <w:tab/>
            </w:r>
            <w:r w:rsidRPr="00F0677A">
              <w:rPr>
                <w:b/>
              </w:rPr>
              <w:t>Проект за препоръки на Съвета относно националните програми за реформи за 2015 г. към всяка държава членка и проект за обяснителна бележка</w:t>
            </w:r>
          </w:p>
        </w:tc>
      </w:tr>
    </w:tbl>
    <w:p w:rsidR="00BB5757" w:rsidRPr="00F0677A" w:rsidRDefault="00BB5757" w:rsidP="00BB5757">
      <w:pPr>
        <w:autoSpaceDE w:val="0"/>
        <w:autoSpaceDN w:val="0"/>
        <w:adjustRightInd w:val="0"/>
        <w:spacing w:before="240"/>
        <w:rPr>
          <w:b/>
          <w:bCs/>
        </w:rPr>
      </w:pPr>
      <w:r w:rsidRPr="00F0677A">
        <w:rPr>
          <w:b/>
        </w:rPr>
        <w:t>ЕДНОСТРАННО ИЗЯВЛЕНИЕ НА УНГАРИЯ</w:t>
      </w:r>
    </w:p>
    <w:p w:rsidR="00BB5757" w:rsidRPr="00F0677A" w:rsidRDefault="00BB5757" w:rsidP="00BB5757">
      <w:pPr>
        <w:spacing w:before="200"/>
        <w:rPr>
          <w:rFonts w:eastAsia="Calibri"/>
          <w:color w:val="000000"/>
        </w:rPr>
      </w:pPr>
      <w:r w:rsidRPr="00F0677A">
        <w:rPr>
          <w:color w:val="000000"/>
        </w:rPr>
        <w:t xml:space="preserve">„Унгария има нужда да изрази несъгласието си с някои от изявленията и с две от поисканите действия, съдържащи се в отнасящите се до нея специфични препоръки. </w:t>
      </w:r>
      <w:r w:rsidRPr="00F0677A">
        <w:t>Основна загриженост предизвикват препоръките за цифрово изражение на фискалните корекции и за пренасочване на бюджетни кредити във връзка със схемата за наемане на работа в публичния сектор.</w:t>
      </w:r>
    </w:p>
    <w:p w:rsidR="00BB5757" w:rsidRPr="00F0677A" w:rsidRDefault="00BB5757" w:rsidP="00BB5757">
      <w:pPr>
        <w:spacing w:before="240"/>
        <w:rPr>
          <w:rFonts w:eastAsia="Calibri"/>
        </w:rPr>
      </w:pPr>
      <w:r w:rsidRPr="00F0677A">
        <w:t>Унгария изразява загрижеността си по повод на макроикономическата оценка на Комисията, тъй като в нея не се отчита напълно подобряването на основните икономически показатели в Унгария (напр. силния растеж на БВП, възстановяването на икономическите инвестиции, нарастването на заетостта в корпоративния сектор и др.).</w:t>
      </w:r>
    </w:p>
    <w:p w:rsidR="00BB5757" w:rsidRPr="00F0677A" w:rsidRDefault="00BB5757" w:rsidP="00BB5757">
      <w:pPr>
        <w:spacing w:before="240"/>
        <w:rPr>
          <w:rFonts w:eastAsia="Calibri"/>
          <w:color w:val="000000"/>
        </w:rPr>
      </w:pPr>
      <w:r w:rsidRPr="00F0677A">
        <w:t>Унгария потвърждава непрекъсващия си ангажимент с провеждането на икономическа политика, основана на фискална стабилност и устойчив растеж, която, както личи, води до окуражаващи резултати, тъй като през 2014 г. Унгария постигна втория по размер растеж сред държавите — членки на ЕС, и същевременно успя да намали публичния си дълг и да поддържа постоянно бюджетен дефицит значително под 3 процента.</w:t>
      </w:r>
    </w:p>
    <w:p w:rsidR="00BB5757" w:rsidRPr="00F0677A" w:rsidRDefault="00BB5757" w:rsidP="00BB5757">
      <w:pPr>
        <w:spacing w:before="240"/>
        <w:rPr>
          <w:rFonts w:eastAsia="Calibri"/>
          <w:color w:val="000000"/>
        </w:rPr>
      </w:pPr>
      <w:r w:rsidRPr="00F0677A">
        <w:t>Като потвърждава решимостта на унгарското правителство да спазва изцяло правилата на Пакта за стабилност и растеж, Унгария счита за неоправдано въвеждането на конкретно цифрово измерение за специфичните фискални корекции.</w:t>
      </w:r>
      <w:r w:rsidRPr="00F0677A">
        <w:rPr>
          <w:color w:val="000000"/>
        </w:rPr>
        <w:t xml:space="preserve"> </w:t>
      </w:r>
      <w:r w:rsidRPr="00F0677A">
        <w:t>Тя припомня, че препоръчаните цифри не съответстват нито на изявлението, съдържащо се в преамбюла, нито на равносметката от прогнозите на Комисията за макроикономическите данни, в  т.ч. и на прогнозирания растеж на Унгария</w:t>
      </w:r>
      <w:r w:rsidRPr="00F0677A">
        <w:rPr>
          <w:rStyle w:val="FootnoteReference"/>
        </w:rPr>
        <w:footnoteReference w:id="1"/>
      </w:r>
      <w:r w:rsidRPr="00F0677A">
        <w:t>.</w:t>
      </w:r>
    </w:p>
    <w:p w:rsidR="00BB5757" w:rsidRPr="00F0677A" w:rsidRDefault="00BB5757" w:rsidP="00C9113C">
      <w:pPr>
        <w:pageBreakBefore/>
        <w:spacing w:before="600"/>
        <w:rPr>
          <w:rFonts w:eastAsia="Calibri"/>
          <w:color w:val="000000"/>
        </w:rPr>
      </w:pPr>
      <w:r w:rsidRPr="00F0677A">
        <w:lastRenderedPageBreak/>
        <w:t>Унгария не може да се съгласи с препоръката за пренасочване на бюджетни кредити във връзка със схемата за наемане на работа в публичния сектор.</w:t>
      </w:r>
      <w:r w:rsidRPr="00F0677A">
        <w:rPr>
          <w:color w:val="000000"/>
        </w:rPr>
        <w:t xml:space="preserve"> </w:t>
      </w:r>
      <w:r w:rsidRPr="00F0677A">
        <w:t>Оценката на Комисията на схемата за наемане на работа в публичния сектор не отчита важната ѝ роля като инструмент на социалната политика и мярка за приобщаващо регионално развитие и създава впечатлението, че активни политики на пазара на труда в Унгария не съществуват. Въпреки това, с цел подобряване на прехода от наемане на работа в публичния сектор към първичния пазар на труда, унгарското правителство е решено да подобри насочеността на схемата за наемане на работа в публичния сектор и да засили активните политики на пазара на труда, за да съдейства на търсещите работа лица при намирането на нова работа.</w:t>
      </w:r>
    </w:p>
    <w:p w:rsidR="00961AF2" w:rsidRPr="00F0677A" w:rsidRDefault="00BB5757" w:rsidP="00BB5757">
      <w:pPr>
        <w:spacing w:before="240"/>
        <w:rPr>
          <w:rFonts w:eastAsia="Calibri"/>
        </w:rPr>
      </w:pPr>
      <w:r w:rsidRPr="00F0677A">
        <w:t>Унгария ще може да приеме онези специфични препоръки, които са добре обосновани и се базират на точна и балансирана оценка и на реални данни, които определят целите на политиките и оставят свобода на национално равнище за избор на подходящи средства на политиките за постигане на договорените цели.“</w:t>
      </w:r>
    </w:p>
    <w:p w:rsidR="00FC4670" w:rsidRPr="005322ED" w:rsidRDefault="00FC4670" w:rsidP="00961AF2">
      <w:pPr>
        <w:pStyle w:val="FinalLine"/>
      </w:pPr>
    </w:p>
    <w:sectPr w:rsidR="00FC4670" w:rsidRPr="005322ED" w:rsidSect="002B4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F2" w:rsidRDefault="00961AF2" w:rsidP="00961AF2">
      <w:r>
        <w:separator/>
      </w:r>
    </w:p>
  </w:endnote>
  <w:endnote w:type="continuationSeparator" w:id="0">
    <w:p w:rsidR="00961AF2" w:rsidRDefault="00961AF2" w:rsidP="009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4F" w:rsidRPr="002B441E" w:rsidRDefault="00E4284F" w:rsidP="002B4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441E" w:rsidRPr="00D94637" w:rsidTr="002B44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441E" w:rsidRPr="00D94637" w:rsidRDefault="002B44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B441E" w:rsidRPr="00B310DC" w:rsidTr="002B44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441E" w:rsidRPr="00AD7BF2" w:rsidRDefault="002B441E" w:rsidP="004F54B2">
          <w:pPr>
            <w:pStyle w:val="FooterText"/>
          </w:pPr>
          <w:r>
            <w:t>10171/1/15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441E" w:rsidRPr="00AD7BF2" w:rsidRDefault="002B44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441E" w:rsidRPr="002511D8" w:rsidRDefault="002B441E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nb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441E" w:rsidRPr="00B310DC" w:rsidRDefault="002B44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23530">
            <w:rPr>
              <w:noProof/>
            </w:rPr>
            <w:t>10</w:t>
          </w:r>
          <w:r>
            <w:fldChar w:fldCharType="end"/>
          </w:r>
        </w:p>
      </w:tc>
    </w:tr>
    <w:tr w:rsidR="002B441E" w:rsidRPr="00D94637" w:rsidTr="002B441E">
      <w:trPr>
        <w:jc w:val="center"/>
      </w:trPr>
      <w:tc>
        <w:tcPr>
          <w:tcW w:w="1774" w:type="pct"/>
          <w:shd w:val="clear" w:color="auto" w:fill="auto"/>
        </w:tcPr>
        <w:p w:rsidR="002B441E" w:rsidRPr="00AD7BF2" w:rsidRDefault="002B44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441E" w:rsidRPr="00AD7BF2" w:rsidRDefault="002B441E" w:rsidP="00D204D6">
          <w:pPr>
            <w:pStyle w:val="FooterText"/>
            <w:spacing w:before="40"/>
            <w:jc w:val="center"/>
          </w:pPr>
          <w:r>
            <w:t>DG B4</w:t>
          </w:r>
        </w:p>
      </w:tc>
      <w:tc>
        <w:tcPr>
          <w:tcW w:w="1147" w:type="pct"/>
          <w:shd w:val="clear" w:color="auto" w:fill="auto"/>
        </w:tcPr>
        <w:p w:rsidR="002B441E" w:rsidRPr="00D94637" w:rsidRDefault="002B44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441E" w:rsidRPr="00D94637" w:rsidRDefault="002B44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61AF2" w:rsidRPr="002B441E" w:rsidRDefault="00961AF2" w:rsidP="002B441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441E" w:rsidRPr="00D94637" w:rsidTr="002B44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441E" w:rsidRPr="00D94637" w:rsidRDefault="002B44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B441E" w:rsidRPr="00B310DC" w:rsidTr="002B44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441E" w:rsidRPr="00AD7BF2" w:rsidRDefault="002B441E" w:rsidP="004F54B2">
          <w:pPr>
            <w:pStyle w:val="FooterText"/>
          </w:pPr>
          <w:r>
            <w:t>10171/1/15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441E" w:rsidRPr="00AD7BF2" w:rsidRDefault="002B44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441E" w:rsidRPr="002511D8" w:rsidRDefault="002B441E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nb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441E" w:rsidRPr="00B310DC" w:rsidRDefault="002B44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54439">
            <w:rPr>
              <w:noProof/>
            </w:rPr>
            <w:t>1</w:t>
          </w:r>
          <w:r>
            <w:fldChar w:fldCharType="end"/>
          </w:r>
        </w:p>
      </w:tc>
    </w:tr>
    <w:tr w:rsidR="002B441E" w:rsidRPr="00D94637" w:rsidTr="002B441E">
      <w:trPr>
        <w:jc w:val="center"/>
      </w:trPr>
      <w:tc>
        <w:tcPr>
          <w:tcW w:w="1774" w:type="pct"/>
          <w:shd w:val="clear" w:color="auto" w:fill="auto"/>
        </w:tcPr>
        <w:p w:rsidR="002B441E" w:rsidRPr="00AD7BF2" w:rsidRDefault="002B44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441E" w:rsidRPr="00AD7BF2" w:rsidRDefault="002B441E" w:rsidP="00D204D6">
          <w:pPr>
            <w:pStyle w:val="FooterText"/>
            <w:spacing w:before="40"/>
            <w:jc w:val="center"/>
          </w:pPr>
          <w:r>
            <w:t>DG B4</w:t>
          </w:r>
        </w:p>
      </w:tc>
      <w:tc>
        <w:tcPr>
          <w:tcW w:w="1147" w:type="pct"/>
          <w:shd w:val="clear" w:color="auto" w:fill="auto"/>
        </w:tcPr>
        <w:p w:rsidR="002B441E" w:rsidRPr="00D94637" w:rsidRDefault="002B44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441E" w:rsidRPr="00D94637" w:rsidRDefault="002B44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61AF2" w:rsidRPr="002B441E" w:rsidRDefault="00961AF2" w:rsidP="002B441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F2" w:rsidRDefault="00961AF2" w:rsidP="00961AF2">
      <w:r>
        <w:separator/>
      </w:r>
    </w:p>
  </w:footnote>
  <w:footnote w:type="continuationSeparator" w:id="0">
    <w:p w:rsidR="00961AF2" w:rsidRDefault="00961AF2" w:rsidP="00961AF2">
      <w:r>
        <w:continuationSeparator/>
      </w:r>
    </w:p>
  </w:footnote>
  <w:footnote w:id="1">
    <w:p w:rsidR="00BB5757" w:rsidRDefault="00BB5757" w:rsidP="00BB5757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noProof/>
          <w:lang w:val="en-GB" w:eastAsia="en-GB" w:bidi="ar-SA"/>
        </w:rPr>
        <w:drawing>
          <wp:inline distT="0" distB="0" distL="0" distR="0" wp14:anchorId="0FDB25FB" wp14:editId="654CC302">
            <wp:extent cx="572452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1"/>
                    <a:stretch/>
                  </pic:blipFill>
                  <pic:spPr bwMode="auto">
                    <a:xfrm>
                      <a:off x="0" y="0"/>
                      <a:ext cx="5728961" cy="7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4F" w:rsidRPr="002B441E" w:rsidRDefault="00E4284F" w:rsidP="002B4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4F" w:rsidRPr="002B441E" w:rsidRDefault="00E4284F" w:rsidP="002B441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4F" w:rsidRPr="002B441E" w:rsidRDefault="00E4284F" w:rsidP="002B441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a906b984-0976-48a8-8eed-4018ff9905a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17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5&lt;/text&gt;_x000d__x000a_      &lt;text&gt;SOC 425&lt;/text&gt;_x000d__x000a_      &lt;text&gt;EMPL 277&lt;/text&gt;_x000d__x000a_      &lt;text&gt;SAN 192&lt;/text&gt;_x000d__x000a_      &lt;text&gt;CONSOM 11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7;&amp;#1040;&amp;#1045;&amp;#1058;&amp;#1054;&amp;#1057;&amp;#1058;, &amp;#1057;&amp;#1054;&amp;#1062;&amp;#1048;&amp;#1040;&amp;#1051;&amp;#1053;&amp;#1040; &amp;#1055;&amp;#1054;&amp;#1051;&amp;#1048;&amp;#1058;&amp;#1048;&amp;#1050;&amp;#1040;, &amp;#1047;&amp;#1044;&amp;#1056;&amp;#1040;&amp;#1042;&amp;#1045;&amp;#1054;&amp;#1055;&amp;#1040;&amp;#1047;&amp;#1042;&amp;#1040;&amp;#1053;&amp;#1045; &amp;#1080; &amp;#1055;&amp;#1054;&amp;#1058;&amp;#1056;&amp;#1045;&amp;#1041;&amp;#1048;&amp;#1058;&amp;#1045;&amp;#1051;&amp;#1057;&amp;#1050;&amp;#1048; &amp;#1042;&amp;#1066;&amp;#1055;&amp;#1056;&amp;#1054;&amp;#1057;&amp;#1048;), &amp;#1087;&amp;#1088;&amp;#1086;&amp;#1074;&amp;#1077;&amp;#1076;&amp;#1077;&amp;#1085;&amp;#1086; &amp;#1074; &amp;#1051;&amp;#1102;&amp;#1082;&amp;#1089;&amp;#1077;&amp;#1084;&amp;#1073;&amp;#1091;&amp;#1088;&amp;#1075; &amp;#1085;&amp;#1072; 18 &amp;#1080; 19 &amp;#1102;&amp;#1085;&amp;#1080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 FontWeight=&quot;Bold&quot;&amp;gt;33&amp;lt;/Run&amp;gt;&amp;lt;Run FontFamily=&quot;Times New Roman&quot; FontWeight=&quot;Bold&quot; xml:lang=&quot;en-gb&quot;&amp;gt;98&amp;lt;/Run&amp;gt;&amp;lt;Run FontFamily=&quot;Times New Roman&quot; FontWeight=&quot;Bold&quot;&amp;gt;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lt;/Run&amp;gt;&amp;lt;Run FontFamily=&quot;Times New Roman&quot; FontWeight=&quot;Bold&quot; xml:lang=&quot;en-gb&quot;&amp;gt;&amp;#1047;&amp;#1040;&amp;#1045;&amp;#1058;&amp;#1054;&amp;#1057;&amp;#1058;, &amp;#1057;&amp;#1054;&amp;#1062;&amp;#1048;&amp;#1040;&amp;#1051;&amp;#1053;&amp;#1040; &amp;#1055;&amp;#1054;&amp;#1051;&amp;#1048;&amp;#1058;&amp;#1048;&amp;#1050;&amp;#1040;, &amp;#1047;&amp;#1044;&amp;#1056;&amp;#1040;&amp;#1042;&amp;#1045;&amp;#1054;&amp;#1055;&amp;#1040;&amp;#1047;&amp;#1042;&amp;#1040;&amp;#1053;&amp;#1045; &amp;#1080; &amp;#1055;&amp;#1054;&amp;#1058;&amp;#1056;&amp;#1045;&amp;#1041;&amp;#1048;&amp;#1058;&amp;#1045;&amp;#1051;&amp;#1057;&amp;#1050;&amp;#1048; &amp;#1042;&amp;#1066;&amp;#1055;&amp;#1056;&amp;#1054;&amp;#1057;&amp;#1048;&amp;lt;/Run&amp;gt;&amp;lt;Run FontFamily=&quot;Times New Roman&quot; FontWeight=&quot;Bold&quot;&amp;gt;),&amp;lt;/Run&amp;gt;&amp;lt;Run FontFamily=&quot;Times New Roman&quot; xml:space=&quot;preserve&quot;&amp;gt; &amp;#1087;&amp;#1088;&amp;#1086;&amp;#1074;&amp;#1077;&amp;#1076;&amp;#1077;&amp;#1085;&amp;#1086; &amp;#1074; &amp;lt;/Run&amp;gt;&amp;lt;Run FontFamily=&quot;Times New Roman&quot; xml:lang=&quot;en-gb&quot; xml:space=&quot;preserve&quot;&amp;gt;&amp;#1051;&amp;#1102;&amp;#1082;&amp;#1089;&amp;#1077;&amp;#1084;&amp;#1073;&amp;#1091;&amp;#1088;&amp;#1075; &amp;#1085;&amp;#1072; 18 &amp;#1080; 19 &amp;#1102;&amp;#1085;&amp;#1080; &amp;lt;/Run&amp;gt;&amp;lt;Run FontFamily=&quot;Times New Roman&quot;&amp;gt;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G B4&lt;/text&gt;_x000d__x000a_  &lt;/metadata&gt;_x000d__x000a_  &lt;metadata key=&quot;md_Initials&quot; translate=&quot;false&quot;&gt;_x000d__x000a_    &lt;text&gt;mgt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61AF2"/>
    <w:rsid w:val="0000424B"/>
    <w:rsid w:val="00010C1D"/>
    <w:rsid w:val="0004616C"/>
    <w:rsid w:val="00054439"/>
    <w:rsid w:val="00075F45"/>
    <w:rsid w:val="0009656C"/>
    <w:rsid w:val="000D11D6"/>
    <w:rsid w:val="000E431C"/>
    <w:rsid w:val="00137A3A"/>
    <w:rsid w:val="00165755"/>
    <w:rsid w:val="00182F2F"/>
    <w:rsid w:val="00191F95"/>
    <w:rsid w:val="001A1CFE"/>
    <w:rsid w:val="001C1958"/>
    <w:rsid w:val="00213F1F"/>
    <w:rsid w:val="0023471F"/>
    <w:rsid w:val="00257706"/>
    <w:rsid w:val="002A2AE8"/>
    <w:rsid w:val="002B441E"/>
    <w:rsid w:val="002C3D52"/>
    <w:rsid w:val="00323530"/>
    <w:rsid w:val="003922CC"/>
    <w:rsid w:val="003C6E8B"/>
    <w:rsid w:val="004D59FF"/>
    <w:rsid w:val="0050745A"/>
    <w:rsid w:val="005157F5"/>
    <w:rsid w:val="005322ED"/>
    <w:rsid w:val="00563B08"/>
    <w:rsid w:val="0063379B"/>
    <w:rsid w:val="006A38C5"/>
    <w:rsid w:val="006C1AD4"/>
    <w:rsid w:val="006E33E2"/>
    <w:rsid w:val="006F4741"/>
    <w:rsid w:val="0075756A"/>
    <w:rsid w:val="007D41CA"/>
    <w:rsid w:val="00825503"/>
    <w:rsid w:val="00833081"/>
    <w:rsid w:val="008826F8"/>
    <w:rsid w:val="008F6CDD"/>
    <w:rsid w:val="009158CF"/>
    <w:rsid w:val="00961AF2"/>
    <w:rsid w:val="00967D92"/>
    <w:rsid w:val="009B33B3"/>
    <w:rsid w:val="009F0ED1"/>
    <w:rsid w:val="00A4307B"/>
    <w:rsid w:val="00A469D7"/>
    <w:rsid w:val="00AA161D"/>
    <w:rsid w:val="00BB5757"/>
    <w:rsid w:val="00BE1373"/>
    <w:rsid w:val="00C449E3"/>
    <w:rsid w:val="00C9113C"/>
    <w:rsid w:val="00CC2EAC"/>
    <w:rsid w:val="00D451E4"/>
    <w:rsid w:val="00DC3C82"/>
    <w:rsid w:val="00E4284F"/>
    <w:rsid w:val="00E716B8"/>
    <w:rsid w:val="00E9397D"/>
    <w:rsid w:val="00EF4FCC"/>
    <w:rsid w:val="00F0677A"/>
    <w:rsid w:val="00FB71A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3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61AF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61AF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61AF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61AF2"/>
  </w:style>
  <w:style w:type="character" w:customStyle="1" w:styleId="PointManualChar">
    <w:name w:val="Point Manual Char"/>
    <w:rsid w:val="0023471F"/>
    <w:rPr>
      <w:sz w:val="24"/>
      <w:szCs w:val="24"/>
      <w:lang w:val="bg-BG" w:eastAsia="bg-BG"/>
    </w:rPr>
  </w:style>
  <w:style w:type="character" w:customStyle="1" w:styleId="Text1Char">
    <w:name w:val="Text 1 Char"/>
    <w:rsid w:val="0023471F"/>
    <w:rPr>
      <w:sz w:val="24"/>
      <w:szCs w:val="24"/>
      <w:lang w:val="bg-BG" w:eastAsia="bg-BG"/>
    </w:rPr>
  </w:style>
  <w:style w:type="character" w:customStyle="1" w:styleId="Text3Char">
    <w:name w:val="Text 3 Char"/>
    <w:locked/>
    <w:rsid w:val="0023471F"/>
    <w:rPr>
      <w:sz w:val="24"/>
      <w:szCs w:val="24"/>
      <w:lang w:val="bg-BG" w:eastAsia="bg-BG"/>
    </w:rPr>
  </w:style>
  <w:style w:type="character" w:customStyle="1" w:styleId="Text2Char">
    <w:name w:val="Text 2 Char"/>
    <w:rsid w:val="0023471F"/>
    <w:rPr>
      <w:sz w:val="24"/>
      <w:szCs w:val="24"/>
      <w:lang w:val="bg-BG" w:eastAsia="bg-BG"/>
    </w:rPr>
  </w:style>
  <w:style w:type="character" w:customStyle="1" w:styleId="Dash2Char">
    <w:name w:val="Dash 2 Char"/>
    <w:rsid w:val="0023471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5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16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6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461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3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B441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3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61AF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61AF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61AF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61AF2"/>
  </w:style>
  <w:style w:type="character" w:customStyle="1" w:styleId="PointManualChar">
    <w:name w:val="Point Manual Char"/>
    <w:rsid w:val="0023471F"/>
    <w:rPr>
      <w:sz w:val="24"/>
      <w:szCs w:val="24"/>
      <w:lang w:val="bg-BG" w:eastAsia="bg-BG"/>
    </w:rPr>
  </w:style>
  <w:style w:type="character" w:customStyle="1" w:styleId="Text1Char">
    <w:name w:val="Text 1 Char"/>
    <w:rsid w:val="0023471F"/>
    <w:rPr>
      <w:sz w:val="24"/>
      <w:szCs w:val="24"/>
      <w:lang w:val="bg-BG" w:eastAsia="bg-BG"/>
    </w:rPr>
  </w:style>
  <w:style w:type="character" w:customStyle="1" w:styleId="Text3Char">
    <w:name w:val="Text 3 Char"/>
    <w:locked/>
    <w:rsid w:val="0023471F"/>
    <w:rPr>
      <w:sz w:val="24"/>
      <w:szCs w:val="24"/>
      <w:lang w:val="bg-BG" w:eastAsia="bg-BG"/>
    </w:rPr>
  </w:style>
  <w:style w:type="character" w:customStyle="1" w:styleId="Text2Char">
    <w:name w:val="Text 2 Char"/>
    <w:rsid w:val="0023471F"/>
    <w:rPr>
      <w:sz w:val="24"/>
      <w:szCs w:val="24"/>
      <w:lang w:val="bg-BG" w:eastAsia="bg-BG"/>
    </w:rPr>
  </w:style>
  <w:style w:type="character" w:customStyle="1" w:styleId="Dash2Char">
    <w:name w:val="Dash 2 Char"/>
    <w:rsid w:val="0023471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5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16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6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461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3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B441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11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BORANOVA Nevina</cp:lastModifiedBy>
  <cp:revision>6</cp:revision>
  <cp:lastPrinted>2015-07-20T15:20:00Z</cp:lastPrinted>
  <dcterms:created xsi:type="dcterms:W3CDTF">2015-07-23T08:56:00Z</dcterms:created>
  <dcterms:modified xsi:type="dcterms:W3CDTF">2015-07-23T08:58:00Z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