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AF2" w:rsidRPr="006D0CBF" w:rsidRDefault="006D0CBF" w:rsidP="006D0CBF">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00ce8583-4369-4af7-b444-65f42e638727_0" style="width:568.5pt;height:317.95pt">
            <v:imagedata r:id="rId8" o:title=""/>
          </v:shape>
        </w:pict>
      </w:r>
      <w:bookmarkEnd w:id="0"/>
    </w:p>
    <w:p w:rsidR="0023471F" w:rsidRPr="00C31285" w:rsidRDefault="0023471F" w:rsidP="00833081">
      <w:pPr>
        <w:pStyle w:val="HeadingCentered"/>
        <w:spacing w:before="0"/>
      </w:pPr>
      <w:r w:rsidRPr="00C31285">
        <w:br w:type="page"/>
      </w:r>
      <w:r w:rsidRPr="00C31285">
        <w:lastRenderedPageBreak/>
        <w:t>SOMMAIRE</w:t>
      </w:r>
    </w:p>
    <w:p w:rsidR="0023471F" w:rsidRPr="00C31285" w:rsidRDefault="0023471F" w:rsidP="00833081">
      <w:pPr>
        <w:pStyle w:val="NormalRight"/>
        <w:spacing w:before="480" w:after="120"/>
        <w:rPr>
          <w:b/>
          <w:bCs/>
        </w:rPr>
      </w:pPr>
      <w:r w:rsidRPr="00C31285">
        <w:rPr>
          <w:b/>
        </w:rPr>
        <w:t>Page</w:t>
      </w:r>
    </w:p>
    <w:p w:rsidR="0023471F" w:rsidRPr="00C31285" w:rsidRDefault="0023471F" w:rsidP="0023471F">
      <w:pPr>
        <w:pStyle w:val="PointManual"/>
        <w:tabs>
          <w:tab w:val="right" w:leader="dot" w:pos="9639"/>
        </w:tabs>
      </w:pPr>
      <w:r w:rsidRPr="00C31285">
        <w:t>1.</w:t>
      </w:r>
      <w:r w:rsidRPr="00C31285">
        <w:tab/>
        <w:t>Adoption de l'ordre du jour</w:t>
      </w:r>
      <w:r w:rsidRPr="00C31285">
        <w:tab/>
        <w:t>3</w:t>
      </w:r>
    </w:p>
    <w:p w:rsidR="00FB71A3" w:rsidRPr="00C31285" w:rsidRDefault="00833081" w:rsidP="00833081">
      <w:pPr>
        <w:pStyle w:val="HeadingCentered"/>
        <w:spacing w:before="360"/>
        <w:rPr>
          <w:b w:val="0"/>
          <w:bCs/>
        </w:rPr>
      </w:pPr>
      <w:r w:rsidRPr="00C31285">
        <w:rPr>
          <w:b w:val="0"/>
        </w:rPr>
        <w:t>EMPLOI et POLITIQUE sociale</w:t>
      </w:r>
    </w:p>
    <w:p w:rsidR="0023471F" w:rsidRPr="00C31285" w:rsidRDefault="0023471F" w:rsidP="0023471F">
      <w:pPr>
        <w:spacing w:before="240"/>
        <w:rPr>
          <w:b/>
          <w:bCs/>
        </w:rPr>
      </w:pPr>
      <w:r w:rsidRPr="00C31285">
        <w:rPr>
          <w:b/>
        </w:rPr>
        <w:t>ACTIVITÉS NON LÉGISLATIVES</w:t>
      </w:r>
    </w:p>
    <w:p w:rsidR="0023471F" w:rsidRPr="00C31285" w:rsidRDefault="00833081" w:rsidP="00D24D64">
      <w:pPr>
        <w:pStyle w:val="PointManual"/>
        <w:tabs>
          <w:tab w:val="right" w:leader="dot" w:pos="9639"/>
        </w:tabs>
      </w:pPr>
      <w:r w:rsidRPr="00C31285">
        <w:t>2.</w:t>
      </w:r>
      <w:r w:rsidRPr="00C31285">
        <w:tab/>
        <w:t xml:space="preserve">Semestre européen 2015: </w:t>
      </w:r>
      <w:r w:rsidR="00D24D64">
        <w:t>c</w:t>
      </w:r>
      <w:r w:rsidRPr="00C31285">
        <w:t>ontribution aux travaux du Conseil européen (Bruxelles, 25 et 26 juin)</w:t>
      </w:r>
      <w:r w:rsidRPr="00C31285">
        <w:tab/>
        <w:t>3</w:t>
      </w:r>
    </w:p>
    <w:p w:rsidR="0023471F" w:rsidRPr="00C31285" w:rsidRDefault="00833081" w:rsidP="00833081">
      <w:pPr>
        <w:pStyle w:val="PointManual"/>
        <w:tabs>
          <w:tab w:val="right" w:leader="dot" w:pos="9639"/>
        </w:tabs>
      </w:pPr>
      <w:r w:rsidRPr="00C31285">
        <w:t>3.</w:t>
      </w:r>
      <w:r w:rsidRPr="00C31285">
        <w:tab/>
        <w:t>Proposition de décision du Conseil relative aux lignes directrices pour les politiques de l'emploi des États membres</w:t>
      </w:r>
      <w:r w:rsidRPr="00C31285">
        <w:tab/>
        <w:t>5</w:t>
      </w:r>
    </w:p>
    <w:p w:rsidR="00833081" w:rsidRPr="00C31285" w:rsidRDefault="00833081" w:rsidP="00833081">
      <w:pPr>
        <w:pStyle w:val="PointManual"/>
        <w:tabs>
          <w:tab w:val="right" w:leader="dot" w:pos="9639"/>
        </w:tabs>
      </w:pPr>
      <w:r w:rsidRPr="00C31285">
        <w:t>4.</w:t>
      </w:r>
      <w:r w:rsidRPr="00C31285">
        <w:tab/>
        <w:t>Emploi des jeunes</w:t>
      </w:r>
      <w:r w:rsidRPr="00C31285">
        <w:tab/>
        <w:t>5</w:t>
      </w:r>
    </w:p>
    <w:p w:rsidR="00FB71A3" w:rsidRPr="00C31285" w:rsidRDefault="00833081" w:rsidP="00833081">
      <w:pPr>
        <w:pStyle w:val="PointManual1"/>
        <w:rPr>
          <w:rFonts w:eastAsia="Calibri"/>
        </w:rPr>
      </w:pPr>
      <w:r w:rsidRPr="00C31285">
        <w:t>a)</w:t>
      </w:r>
      <w:r w:rsidRPr="00C31285">
        <w:tab/>
        <w:t>Projet de conclusions du Conseil sur le rapport spécial n° 3/2015 de la Cour des comptes européenne intitulé "La garantie pour la jeunesse de l'Union européenne: les premières mesures ont été prises, mais des risques pour la mise en œuvre s'annoncent"</w:t>
      </w:r>
    </w:p>
    <w:p w:rsidR="00833081" w:rsidRPr="00C31285" w:rsidRDefault="00833081" w:rsidP="00833081">
      <w:pPr>
        <w:pStyle w:val="PointManual1"/>
        <w:rPr>
          <w:rFonts w:eastAsia="Calibri"/>
        </w:rPr>
      </w:pPr>
      <w:r w:rsidRPr="00C31285">
        <w:t>b)</w:t>
      </w:r>
      <w:r w:rsidRPr="00C31285">
        <w:tab/>
        <w:t>État d'avancement de la mise en œuvre des mesures de l'UE</w:t>
      </w:r>
    </w:p>
    <w:p w:rsidR="0023471F" w:rsidRPr="00C31285" w:rsidRDefault="0023471F" w:rsidP="00D24D64">
      <w:pPr>
        <w:pStyle w:val="PointManual"/>
        <w:tabs>
          <w:tab w:val="right" w:leader="dot" w:pos="9639"/>
        </w:tabs>
      </w:pPr>
      <w:r w:rsidRPr="00C31285">
        <w:t>5.</w:t>
      </w:r>
      <w:r w:rsidRPr="00C31285">
        <w:tab/>
        <w:t>Projet de conclusions du Conseil sur le thème "Égalité des</w:t>
      </w:r>
      <w:r w:rsidR="00BA117D">
        <w:t xml:space="preserve"> chances pour les femmes et les </w:t>
      </w:r>
      <w:r w:rsidRPr="00C31285">
        <w:t>hommes en ce qui concerne les revenus:</w:t>
      </w:r>
      <w:r w:rsidR="00D24D64">
        <w:t xml:space="preserve"> </w:t>
      </w:r>
      <w:r w:rsidRPr="00C31285">
        <w:rPr>
          <w:color w:val="000000"/>
        </w:rPr>
        <w:t>combler l'</w:t>
      </w:r>
      <w:r w:rsidR="00D24D64">
        <w:rPr>
          <w:color w:val="000000"/>
        </w:rPr>
        <w:t>écart en matière de pensions de </w:t>
      </w:r>
      <w:bookmarkStart w:id="1" w:name="_GoBack"/>
      <w:bookmarkEnd w:id="1"/>
      <w:r w:rsidRPr="00C31285">
        <w:rPr>
          <w:color w:val="000000"/>
        </w:rPr>
        <w:t>retraite entre les hommes et les femmes"</w:t>
      </w:r>
      <w:r w:rsidRPr="00C31285">
        <w:tab/>
        <w:t>5</w:t>
      </w:r>
    </w:p>
    <w:p w:rsidR="0023471F" w:rsidRPr="00C31285" w:rsidRDefault="0023471F" w:rsidP="0023471F">
      <w:pPr>
        <w:spacing w:before="360"/>
        <w:rPr>
          <w:b/>
          <w:bCs/>
        </w:rPr>
      </w:pPr>
      <w:r w:rsidRPr="00C31285">
        <w:rPr>
          <w:b/>
        </w:rPr>
        <w:t>DÉLIBÉRATIONS LÉGISLATIVES</w:t>
      </w:r>
    </w:p>
    <w:p w:rsidR="0023471F" w:rsidRPr="00C31285" w:rsidRDefault="0023471F" w:rsidP="00833081">
      <w:pPr>
        <w:pStyle w:val="PointManual"/>
        <w:tabs>
          <w:tab w:val="right" w:leader="dot" w:pos="9639"/>
        </w:tabs>
      </w:pPr>
      <w:r w:rsidRPr="00C31285">
        <w:t>6.</w:t>
      </w:r>
      <w:r w:rsidRPr="00C31285">
        <w:tab/>
        <w:t>Proposition de directive du Parlement européen et du Conseil relative à un meilleur équilibre hommes-femmes parmi les administrateurs non exécutifs des sociétés cotées en bourse et à des mesures connexes [première lecture]</w:t>
      </w:r>
      <w:r w:rsidRPr="00C31285">
        <w:tab/>
        <w:t>6</w:t>
      </w:r>
    </w:p>
    <w:p w:rsidR="00833081" w:rsidRPr="00C31285" w:rsidRDefault="0023471F" w:rsidP="00833081">
      <w:pPr>
        <w:pStyle w:val="PointManual"/>
        <w:tabs>
          <w:tab w:val="right" w:leader="dot" w:pos="9639"/>
        </w:tabs>
      </w:pPr>
      <w:r w:rsidRPr="00C31285">
        <w:t>7.</w:t>
      </w:r>
      <w:r w:rsidRPr="00C31285">
        <w:tab/>
        <w:t>Proposition de directive du Conseil relative à la mise en œuvre du principe de l'égalité de traitement entre les personnes sans distinction de religion ou de convictions, de handicap, d'âge ou d'orientation sexuelle</w:t>
      </w:r>
      <w:r w:rsidRPr="00C31285">
        <w:tab/>
        <w:t>6</w:t>
      </w:r>
    </w:p>
    <w:p w:rsidR="0023471F" w:rsidRPr="00C31285" w:rsidRDefault="0023471F" w:rsidP="00833081">
      <w:pPr>
        <w:pStyle w:val="PointManual"/>
        <w:tabs>
          <w:tab w:val="right" w:leader="dot" w:pos="9639"/>
        </w:tabs>
      </w:pPr>
      <w:r w:rsidRPr="00C31285">
        <w:t>8.</w:t>
      </w:r>
      <w:r w:rsidRPr="00C31285">
        <w:tab/>
        <w:t>Divers</w:t>
      </w:r>
      <w:r w:rsidRPr="00C31285">
        <w:tab/>
        <w:t>6</w:t>
      </w:r>
    </w:p>
    <w:p w:rsidR="00833081" w:rsidRPr="00C31285" w:rsidRDefault="00833081" w:rsidP="00833081">
      <w:pPr>
        <w:pStyle w:val="HeadingCentered"/>
        <w:spacing w:before="240"/>
        <w:rPr>
          <w:b w:val="0"/>
          <w:bCs/>
        </w:rPr>
      </w:pPr>
      <w:r w:rsidRPr="00C31285">
        <w:rPr>
          <w:b w:val="0"/>
        </w:rPr>
        <w:t>SANTÉ</w:t>
      </w:r>
    </w:p>
    <w:p w:rsidR="00833081" w:rsidRPr="00C31285" w:rsidRDefault="00833081" w:rsidP="00833081">
      <w:pPr>
        <w:pStyle w:val="PointManual"/>
        <w:tabs>
          <w:tab w:val="right" w:leader="dot" w:pos="9639"/>
        </w:tabs>
        <w:spacing w:before="120"/>
      </w:pPr>
      <w:r w:rsidRPr="00C31285">
        <w:t>9.</w:t>
      </w:r>
      <w:r w:rsidRPr="00C31285">
        <w:tab/>
        <w:t>Proposition de règlement du Parlement européen et du Conseil relatif aux dispositifs médicaux, et modifiant la directive 2</w:t>
      </w:r>
      <w:r w:rsidR="00BA117D">
        <w:t>001/83/CE, le règlement (CE) n° </w:t>
      </w:r>
      <w:r w:rsidRPr="00C31285">
        <w:t>1</w:t>
      </w:r>
      <w:r w:rsidR="00BA117D">
        <w:t>78/2002 et le règlement (CE) n° </w:t>
      </w:r>
      <w:r w:rsidRPr="00C31285">
        <w:t>1223/2009</w:t>
      </w:r>
      <w:r w:rsidR="00D24D64">
        <w:t xml:space="preserve"> </w:t>
      </w:r>
      <w:r w:rsidRPr="00C31285">
        <w:t>[première lecture]</w:t>
      </w:r>
      <w:r w:rsidRPr="00C31285">
        <w:tab/>
        <w:t>8</w:t>
      </w:r>
    </w:p>
    <w:p w:rsidR="00833081" w:rsidRPr="00C31285" w:rsidRDefault="00833081" w:rsidP="00833081">
      <w:pPr>
        <w:pStyle w:val="Text1"/>
      </w:pPr>
      <w:r w:rsidRPr="00C31285">
        <w:t>Proposition de règlement du Parlement européen et du Conseil relatif aux dispositifs médicaux de diagnostic in vitro</w:t>
      </w:r>
      <w:r w:rsidR="00D24D64">
        <w:t xml:space="preserve"> </w:t>
      </w:r>
      <w:r w:rsidRPr="00C31285">
        <w:t>[première lecture]</w:t>
      </w:r>
    </w:p>
    <w:p w:rsidR="00833081" w:rsidRPr="00C31285" w:rsidRDefault="00833081" w:rsidP="00833081">
      <w:pPr>
        <w:pStyle w:val="PointManual"/>
        <w:tabs>
          <w:tab w:val="right" w:leader="dot" w:pos="9639"/>
        </w:tabs>
      </w:pPr>
      <w:r w:rsidRPr="00C31285">
        <w:t>10.</w:t>
      </w:r>
      <w:r w:rsidRPr="00C31285">
        <w:tab/>
        <w:t>Divers</w:t>
      </w:r>
      <w:r w:rsidRPr="00C31285">
        <w:tab/>
        <w:t>9</w:t>
      </w:r>
    </w:p>
    <w:p w:rsidR="0023471F" w:rsidRPr="00C31285" w:rsidRDefault="0023471F" w:rsidP="00833081">
      <w:pPr>
        <w:tabs>
          <w:tab w:val="left" w:pos="567"/>
          <w:tab w:val="right" w:leader="dot" w:pos="9639"/>
        </w:tabs>
        <w:spacing w:before="360" w:after="120"/>
      </w:pPr>
      <w:r w:rsidRPr="00C31285">
        <w:t>ANNEXE - Déclarations à inscrire au procès-verbal du Conseil</w:t>
      </w:r>
      <w:r w:rsidRPr="00C31285">
        <w:tab/>
        <w:t>10</w:t>
      </w:r>
    </w:p>
    <w:p w:rsidR="0023471F" w:rsidRPr="00C31285" w:rsidRDefault="0023471F" w:rsidP="00833081">
      <w:pPr>
        <w:pStyle w:val="NormalCentered"/>
        <w:spacing w:before="120"/>
      </w:pPr>
      <w:r w:rsidRPr="00C31285">
        <w:lastRenderedPageBreak/>
        <w:t>*</w:t>
      </w:r>
    </w:p>
    <w:p w:rsidR="0023471F" w:rsidRPr="00C31285" w:rsidRDefault="0023471F" w:rsidP="00833081">
      <w:pPr>
        <w:pStyle w:val="NormalCentered"/>
      </w:pPr>
      <w:r w:rsidRPr="00C31285">
        <w:t>*</w:t>
      </w:r>
      <w:r w:rsidRPr="00C31285">
        <w:tab/>
      </w:r>
      <w:r w:rsidRPr="00C31285">
        <w:tab/>
        <w:t>*</w:t>
      </w:r>
    </w:p>
    <w:p w:rsidR="0023471F" w:rsidRPr="00C31285" w:rsidRDefault="0023471F" w:rsidP="0023471F">
      <w:pPr>
        <w:pStyle w:val="PointManual"/>
        <w:spacing w:before="400"/>
        <w:rPr>
          <w:b/>
          <w:bCs/>
        </w:rPr>
      </w:pPr>
      <w:r w:rsidRPr="00C31285">
        <w:br w:type="page"/>
      </w:r>
      <w:r w:rsidRPr="00C31285">
        <w:rPr>
          <w:b/>
        </w:rPr>
        <w:t>1.</w:t>
      </w:r>
      <w:r w:rsidRPr="00C31285">
        <w:tab/>
      </w:r>
      <w:r w:rsidRPr="00C31285">
        <w:rPr>
          <w:b/>
          <w:u w:val="single"/>
        </w:rPr>
        <w:t>Adoption de l'ordre du jour</w:t>
      </w:r>
    </w:p>
    <w:p w:rsidR="0023471F" w:rsidRPr="00C31285" w:rsidRDefault="00833081" w:rsidP="00833081">
      <w:pPr>
        <w:pStyle w:val="Text3"/>
      </w:pPr>
      <w:r w:rsidRPr="00C31285">
        <w:t>9748/15 OJ/CONS 35 SOC 412 EMPL 268 SAN 174 CONSOM 106</w:t>
      </w:r>
    </w:p>
    <w:p w:rsidR="0023471F" w:rsidRPr="00C31285" w:rsidRDefault="0023471F" w:rsidP="0023471F">
      <w:pPr>
        <w:pStyle w:val="Text1"/>
        <w:spacing w:before="200" w:line="360" w:lineRule="auto"/>
      </w:pPr>
      <w:r w:rsidRPr="00C31285">
        <w:rPr>
          <w:u w:val="single"/>
        </w:rPr>
        <w:t>Le Conseil</w:t>
      </w:r>
      <w:r w:rsidRPr="00C31285">
        <w:t xml:space="preserve"> a adopté l'ordre du jour susmentionné. À la demande de la </w:t>
      </w:r>
      <w:r w:rsidRPr="00C31285">
        <w:rPr>
          <w:u w:val="single"/>
        </w:rPr>
        <w:t>délégation espagnole</w:t>
      </w:r>
      <w:r w:rsidR="00BA117D">
        <w:t>, le </w:t>
      </w:r>
      <w:r w:rsidRPr="00C31285">
        <w:t>Conseil a décidé d'ajouter sous "Divers" un point co</w:t>
      </w:r>
      <w:r w:rsidR="00BA117D">
        <w:t>ncernant un cas de diphtérie en </w:t>
      </w:r>
      <w:r w:rsidRPr="00C31285">
        <w:t>Espagne.</w:t>
      </w:r>
    </w:p>
    <w:p w:rsidR="0023471F" w:rsidRPr="00C31285" w:rsidRDefault="0023471F" w:rsidP="0023471F">
      <w:pPr>
        <w:spacing w:before="480"/>
        <w:rPr>
          <w:b/>
          <w:bCs/>
          <w:u w:val="single"/>
        </w:rPr>
      </w:pPr>
      <w:r w:rsidRPr="00C31285">
        <w:rPr>
          <w:b/>
          <w:u w:val="single"/>
        </w:rPr>
        <w:t>ACTIVITÉS NON LÉGISLATIVES</w:t>
      </w:r>
    </w:p>
    <w:p w:rsidR="0023471F" w:rsidRPr="00C31285" w:rsidRDefault="0023471F" w:rsidP="009F0ED1">
      <w:pPr>
        <w:outlineLvl w:val="1"/>
      </w:pPr>
      <w:r w:rsidRPr="00C31285">
        <w:rPr>
          <w:b/>
          <w:i/>
        </w:rPr>
        <w:t>(Débat public, en application de l'article 8, paragraphe 2, du règlement intérieur du Conseil [proposé par la présidence] pour les points 2 à 5)</w:t>
      </w:r>
    </w:p>
    <w:p w:rsidR="00FB71A3" w:rsidRPr="00C31285" w:rsidRDefault="0023471F" w:rsidP="0023471F">
      <w:pPr>
        <w:pStyle w:val="HeadingCentered"/>
        <w:spacing w:before="360"/>
        <w:rPr>
          <w:b w:val="0"/>
          <w:bCs/>
        </w:rPr>
      </w:pPr>
      <w:r w:rsidRPr="00C31285">
        <w:rPr>
          <w:b w:val="0"/>
        </w:rPr>
        <w:t>EMPLOI et POLITIQUE sociale</w:t>
      </w:r>
    </w:p>
    <w:p w:rsidR="0023471F" w:rsidRPr="00C31285" w:rsidRDefault="0023471F" w:rsidP="0023471F">
      <w:pPr>
        <w:pStyle w:val="PointManual"/>
        <w:spacing w:before="360"/>
        <w:rPr>
          <w:b/>
          <w:bCs/>
        </w:rPr>
      </w:pPr>
      <w:r w:rsidRPr="00C31285">
        <w:rPr>
          <w:b/>
        </w:rPr>
        <w:t>2.</w:t>
      </w:r>
      <w:r w:rsidRPr="00C31285">
        <w:tab/>
      </w:r>
      <w:r w:rsidRPr="00C31285">
        <w:rPr>
          <w:b/>
          <w:u w:val="single"/>
        </w:rPr>
        <w:t>Semestre européen 2015: contribution aux travaux du Conseil européen (Bruxelles, 25 et 26 juin)</w:t>
      </w:r>
    </w:p>
    <w:p w:rsidR="0023471F" w:rsidRPr="00C31285" w:rsidRDefault="0023471F" w:rsidP="00FB71A3">
      <w:pPr>
        <w:pStyle w:val="Dash1"/>
        <w:numPr>
          <w:ilvl w:val="0"/>
          <w:numId w:val="2"/>
        </w:numPr>
      </w:pPr>
      <w:r w:rsidRPr="00C31285">
        <w:t>Débat d'orientation</w:t>
      </w:r>
    </w:p>
    <w:p w:rsidR="0023471F" w:rsidRPr="00C31285" w:rsidRDefault="0023471F" w:rsidP="0023471F">
      <w:pPr>
        <w:pStyle w:val="Text3"/>
        <w:rPr>
          <w:rFonts w:eastAsia="Calibri"/>
        </w:rPr>
      </w:pPr>
      <w:r w:rsidRPr="00C31285">
        <w:t>9304/15 SOC 372 EMPL 244 ECOFIN 409 EDUC 189</w:t>
      </w:r>
    </w:p>
    <w:p w:rsidR="0023471F" w:rsidRPr="00C31285" w:rsidRDefault="0023471F" w:rsidP="00EF4FCC">
      <w:pPr>
        <w:pStyle w:val="Text1"/>
        <w:spacing w:before="240" w:line="360" w:lineRule="auto"/>
      </w:pPr>
      <w:r w:rsidRPr="00C31285">
        <w:rPr>
          <w:u w:val="single"/>
        </w:rPr>
        <w:t>Le Conseil</w:t>
      </w:r>
      <w:r w:rsidRPr="00C31285">
        <w:t xml:space="preserve"> a tenu un débat d'orientation sur les recommandations par pays dans le cadre du Semestre européen. Les ministres étaient guidés dans la discussion par un questionnaire établi dans une note de la présidence (doc. 9304/15). Ils ont pris acte que la situation économique dans l'UE s'était améliorée, mais que la reprise n'était pas encore stable et demeurait inégale. Cela est particulièrement marquant dans le domaine social et</w:t>
      </w:r>
      <w:r w:rsidR="00BA117D">
        <w:t xml:space="preserve"> de l'emploi, la reprise ne s'y </w:t>
      </w:r>
      <w:r w:rsidRPr="00C31285">
        <w:t>étant pas encore accompagnée d'une amélioration manifeste de la situation à l'échelle de l'UE. Pour renforcer l'UEM, il est nécessaire d'accorder une attention accrue aux questions d'emploi et aux questions sociales afin de garantir</w:t>
      </w:r>
      <w:r w:rsidR="00BA117D">
        <w:t xml:space="preserve"> la stabilité de la zone euro. </w:t>
      </w:r>
      <w:r w:rsidRPr="00C31285">
        <w:rPr>
          <w:u w:val="single"/>
        </w:rPr>
        <w:t>Les ministres</w:t>
      </w:r>
      <w:r w:rsidRPr="00C31285">
        <w:t xml:space="preserve"> ont réaffirmé que les questions relevant de l'emploi et de la politique sociale doivent continuer à relever des compétences décisionnelles du Conseil EPSCO et ne devraient pas être systématiquement intégrées au processus de la PDM.</w:t>
      </w:r>
    </w:p>
    <w:p w:rsidR="0023471F" w:rsidRPr="00C31285" w:rsidRDefault="0023471F" w:rsidP="008F6CDD">
      <w:pPr>
        <w:pStyle w:val="Text1"/>
        <w:spacing w:before="240" w:line="360" w:lineRule="auto"/>
        <w:rPr>
          <w:bCs/>
        </w:rPr>
      </w:pPr>
      <w:r w:rsidRPr="00C31285">
        <w:t xml:space="preserve">Si l'accent doit à présent être placé sur la mise en œuvre, il convient que les États membres disposent d'une marge de manœuvre appropriée pour se prononcer quant aux mesures les plus pertinentes à adopter en fonction de leur situation et de leur priorités spécifiques. En ce qui concerne le processus suivi, les ministres se sont félicités du fait que la préparation et l'organisation du semestre européen se soient améliorées </w:t>
      </w:r>
      <w:r w:rsidR="00BA117D">
        <w:t>cette année, ce qui a permis de </w:t>
      </w:r>
      <w:r w:rsidRPr="00C31285">
        <w:t>mieux préparer les travaux au niveau national.</w:t>
      </w:r>
    </w:p>
    <w:p w:rsidR="0023471F" w:rsidRPr="00C31285" w:rsidRDefault="0023471F" w:rsidP="0004616C">
      <w:pPr>
        <w:pStyle w:val="PointManual1"/>
        <w:pageBreakBefore/>
        <w:spacing w:before="600"/>
        <w:rPr>
          <w:rFonts w:eastAsia="Calibri"/>
          <w:b/>
          <w:bCs/>
        </w:rPr>
      </w:pPr>
      <w:r w:rsidRPr="00C31285">
        <w:rPr>
          <w:b/>
        </w:rPr>
        <w:t>a)</w:t>
      </w:r>
      <w:r w:rsidRPr="00C31285">
        <w:tab/>
      </w:r>
      <w:r w:rsidRPr="00C31285">
        <w:rPr>
          <w:b/>
        </w:rPr>
        <w:t>Projets de recommandations du Conseil concern</w:t>
      </w:r>
      <w:r w:rsidR="00BA117D">
        <w:rPr>
          <w:b/>
        </w:rPr>
        <w:t>ant les programmes nationaux de </w:t>
      </w:r>
      <w:r w:rsidRPr="00C31285">
        <w:rPr>
          <w:b/>
        </w:rPr>
        <w:t>réforme pour 2015 à l'intention de chaque État membre et projet de note explicative</w:t>
      </w:r>
    </w:p>
    <w:p w:rsidR="00FB71A3" w:rsidRPr="00C31285" w:rsidRDefault="0023471F" w:rsidP="00FB71A3">
      <w:pPr>
        <w:pStyle w:val="Dash2"/>
        <w:numPr>
          <w:ilvl w:val="0"/>
          <w:numId w:val="3"/>
        </w:numPr>
      </w:pPr>
      <w:r w:rsidRPr="00C31285">
        <w:t>Approbation</w:t>
      </w:r>
    </w:p>
    <w:p w:rsidR="00FB71A3" w:rsidRPr="00C31285" w:rsidRDefault="0023471F" w:rsidP="0023471F">
      <w:pPr>
        <w:pStyle w:val="Text3"/>
        <w:rPr>
          <w:rFonts w:eastAsia="Calibri"/>
          <w:lang w:val="pt-PT"/>
        </w:rPr>
      </w:pPr>
      <w:r w:rsidRPr="00C31285">
        <w:rPr>
          <w:lang w:val="pt-PT"/>
        </w:rPr>
        <w:t>9224/15 ECOFIN 376 UEM 171 SOC 339 EMPL 213 COMPET 250 ENV 332</w:t>
      </w:r>
    </w:p>
    <w:p w:rsidR="00FB71A3" w:rsidRPr="00C31285" w:rsidRDefault="0023471F" w:rsidP="0023471F">
      <w:pPr>
        <w:pStyle w:val="Text5"/>
        <w:rPr>
          <w:rFonts w:eastAsia="Calibri"/>
          <w:lang w:val="en-GB"/>
        </w:rPr>
      </w:pPr>
      <w:r w:rsidRPr="00C31285">
        <w:rPr>
          <w:lang w:val="en-GB"/>
        </w:rPr>
        <w:t>EDUC 158 RECH 149 ENER 190 JAI 354</w:t>
      </w:r>
    </w:p>
    <w:p w:rsidR="00FB71A3" w:rsidRPr="00C31285" w:rsidRDefault="0023471F" w:rsidP="0023471F">
      <w:pPr>
        <w:pStyle w:val="Text3"/>
        <w:rPr>
          <w:rFonts w:eastAsia="Calibri"/>
          <w:lang w:val="en-GB"/>
        </w:rPr>
      </w:pPr>
      <w:r w:rsidRPr="00C31285">
        <w:rPr>
          <w:lang w:val="en-GB"/>
        </w:rPr>
        <w:t>9229/1/15 UEM 172 ECOFIN 377 SOC 340 COMPET 251 ENV 333 EDUC 159</w:t>
      </w:r>
    </w:p>
    <w:p w:rsidR="0023471F" w:rsidRPr="00C31285" w:rsidRDefault="0023471F" w:rsidP="0023471F">
      <w:pPr>
        <w:pStyle w:val="Text5"/>
        <w:rPr>
          <w:rFonts w:eastAsia="Calibri"/>
          <w:lang w:val="sv-SE"/>
        </w:rPr>
      </w:pPr>
      <w:r w:rsidRPr="00C31285">
        <w:rPr>
          <w:lang w:val="sv-SE"/>
        </w:rPr>
        <w:t>RECH 150 ENER 191 JAI 355 EMPL 214 REV 1</w:t>
      </w:r>
    </w:p>
    <w:p w:rsidR="00FB71A3" w:rsidRPr="00C31285" w:rsidRDefault="0023471F" w:rsidP="0023471F">
      <w:pPr>
        <w:pStyle w:val="Text3"/>
        <w:rPr>
          <w:rFonts w:eastAsia="Calibri"/>
          <w:lang w:val="pt-PT"/>
        </w:rPr>
      </w:pPr>
      <w:r w:rsidRPr="00C31285">
        <w:rPr>
          <w:lang w:val="pt-PT"/>
        </w:rPr>
        <w:t>9305/1/15 UEM 201 ECOFIN 410 SOC 373 COMPET 282 ENV 370 EDUC 190</w:t>
      </w:r>
    </w:p>
    <w:p w:rsidR="0023471F" w:rsidRPr="00C31285" w:rsidRDefault="0023471F" w:rsidP="0023471F">
      <w:pPr>
        <w:pStyle w:val="Text5"/>
        <w:rPr>
          <w:rFonts w:eastAsia="Calibri"/>
          <w:lang w:val="sv-SE"/>
        </w:rPr>
      </w:pPr>
      <w:r w:rsidRPr="00C31285">
        <w:rPr>
          <w:lang w:val="sv-SE"/>
        </w:rPr>
        <w:t>RECH 178 ENER 225 JAI 384 EMPL 245 REV 1</w:t>
      </w:r>
    </w:p>
    <w:p w:rsidR="00FB71A3" w:rsidRPr="00C31285" w:rsidRDefault="0023471F" w:rsidP="0023471F">
      <w:pPr>
        <w:pStyle w:val="Text3"/>
        <w:rPr>
          <w:rFonts w:eastAsia="Calibri"/>
          <w:lang w:val="pt-PT"/>
        </w:rPr>
      </w:pPr>
      <w:r w:rsidRPr="00C31285">
        <w:rPr>
          <w:lang w:val="pt-PT"/>
        </w:rPr>
        <w:t>9306/15 UEM 202 ECOFIN 411 SOC 374 COMPET 283 ENV 371 EDUC 191</w:t>
      </w:r>
    </w:p>
    <w:p w:rsidR="0023471F" w:rsidRPr="00C31285" w:rsidRDefault="0023471F" w:rsidP="0023471F">
      <w:pPr>
        <w:pStyle w:val="Text5"/>
        <w:rPr>
          <w:rFonts w:eastAsia="Calibri"/>
        </w:rPr>
      </w:pPr>
      <w:r w:rsidRPr="00C31285">
        <w:t>RECH 179 ENER 226 JAI 386 EMPL 246</w:t>
      </w:r>
    </w:p>
    <w:p w:rsidR="00FB71A3" w:rsidRPr="00C31285" w:rsidRDefault="0023471F" w:rsidP="0023471F">
      <w:pPr>
        <w:pStyle w:val="Text2"/>
        <w:spacing w:before="240" w:line="360" w:lineRule="auto"/>
      </w:pPr>
      <w:r w:rsidRPr="00C31285">
        <w:rPr>
          <w:u w:val="single"/>
        </w:rPr>
        <w:t>Le Conseil</w:t>
      </w:r>
      <w:r w:rsidRPr="00C31285">
        <w:t xml:space="preserve"> a approuvé les aspects liés à l'emploi et à la politique sociale des recommandations (énumérées dans le document 9229/1/15 REV 1) et le document explicatif d'accompagnement (doc. 9305/1/15 REV 1).</w:t>
      </w:r>
    </w:p>
    <w:p w:rsidR="0023471F" w:rsidRPr="00C31285" w:rsidRDefault="0023471F" w:rsidP="0023471F">
      <w:pPr>
        <w:pStyle w:val="Text2"/>
        <w:spacing w:before="240" w:line="360" w:lineRule="auto"/>
      </w:pPr>
      <w:r w:rsidRPr="00C31285">
        <w:rPr>
          <w:u w:val="single"/>
        </w:rPr>
        <w:t>HU</w:t>
      </w:r>
      <w:r w:rsidRPr="00C31285">
        <w:t xml:space="preserve"> a demandé que la recommandation n° 4 la concernant soit modifiée et qu'il soit procédé à un vote à ce sujet, conformément à l'article 3, paragraphe 2, du protocole 36 sur les dispositions transitoires, avec application de la majorité qualifiée défin</w:t>
      </w:r>
      <w:r w:rsidR="00BA117D">
        <w:t>ie au </w:t>
      </w:r>
      <w:r w:rsidRPr="00C31285">
        <w:t>paragraphe 3 dudit article. Cette demande n'ayant pas recueilli le soutien nécessaire, le Conseil n'a pas accepté de modifier la recommandation en question.</w:t>
      </w:r>
    </w:p>
    <w:p w:rsidR="00FB71A3" w:rsidRPr="00C31285" w:rsidRDefault="0023471F" w:rsidP="0023471F">
      <w:pPr>
        <w:pStyle w:val="PointManual1"/>
        <w:spacing w:before="480"/>
        <w:rPr>
          <w:rFonts w:eastAsia="Calibri"/>
          <w:b/>
          <w:bCs/>
        </w:rPr>
      </w:pPr>
      <w:r w:rsidRPr="00C31285">
        <w:rPr>
          <w:b/>
        </w:rPr>
        <w:t>b)</w:t>
      </w:r>
      <w:r w:rsidRPr="00C31285">
        <w:tab/>
      </w:r>
      <w:r w:rsidRPr="00C31285">
        <w:rPr>
          <w:b/>
        </w:rPr>
        <w:t xml:space="preserve">Évaluation des recommandations par pays pour </w:t>
      </w:r>
      <w:r w:rsidR="00BA117D">
        <w:rPr>
          <w:b/>
        </w:rPr>
        <w:t>2015 et de la mise en œuvre des </w:t>
      </w:r>
      <w:r w:rsidRPr="00C31285">
        <w:rPr>
          <w:b/>
        </w:rPr>
        <w:t>recommandations par pays pour 2014</w:t>
      </w:r>
    </w:p>
    <w:p w:rsidR="0023471F" w:rsidRPr="00C31285" w:rsidRDefault="0023471F" w:rsidP="0023471F">
      <w:pPr>
        <w:pStyle w:val="Dash2"/>
      </w:pPr>
      <w:r w:rsidRPr="00C31285">
        <w:t>Approbation des avis du Comité de l'emploi et du Comité de la protection sociale (CPS)</w:t>
      </w:r>
    </w:p>
    <w:p w:rsidR="0023471F" w:rsidRPr="00C31285" w:rsidRDefault="0023471F" w:rsidP="0023471F">
      <w:pPr>
        <w:pStyle w:val="Text3"/>
        <w:rPr>
          <w:lang w:val="es-ES"/>
        </w:rPr>
      </w:pPr>
      <w:r w:rsidRPr="00C31285">
        <w:rPr>
          <w:lang w:val="es-ES"/>
        </w:rPr>
        <w:t>9311/15 SOC 377 EMPL 249 ECOFIN 414 EDUC 194 SAN 187</w:t>
      </w:r>
    </w:p>
    <w:p w:rsidR="0023471F" w:rsidRPr="00C31285" w:rsidRDefault="0023471F" w:rsidP="0023471F">
      <w:pPr>
        <w:pStyle w:val="Text2"/>
        <w:spacing w:before="240" w:line="360" w:lineRule="auto"/>
      </w:pPr>
      <w:r w:rsidRPr="00C31285">
        <w:rPr>
          <w:u w:val="single"/>
        </w:rPr>
        <w:t>Le Conseil</w:t>
      </w:r>
      <w:r w:rsidRPr="00C31285">
        <w:t xml:space="preserve"> a approuvé les avis du Comité de l'emploi et du Comité de la protection sociale figurant dans le document susmentionné.</w:t>
      </w:r>
    </w:p>
    <w:p w:rsidR="0023471F" w:rsidRPr="00C31285" w:rsidRDefault="0023471F" w:rsidP="0023471F">
      <w:pPr>
        <w:pStyle w:val="PointManual1"/>
        <w:spacing w:before="480"/>
        <w:rPr>
          <w:rFonts w:eastAsia="Calibri"/>
          <w:b/>
          <w:bCs/>
        </w:rPr>
      </w:pPr>
      <w:r w:rsidRPr="00C31285">
        <w:rPr>
          <w:b/>
        </w:rPr>
        <w:t>c)</w:t>
      </w:r>
      <w:r w:rsidRPr="00C31285">
        <w:tab/>
      </w:r>
      <w:r w:rsidRPr="00C31285">
        <w:rPr>
          <w:b/>
        </w:rPr>
        <w:t>Relevé des résultats en matière d'emploi et repères</w:t>
      </w:r>
    </w:p>
    <w:p w:rsidR="0023471F" w:rsidRPr="00C31285" w:rsidRDefault="0023471F" w:rsidP="0023471F">
      <w:pPr>
        <w:pStyle w:val="Dash2"/>
      </w:pPr>
      <w:r w:rsidRPr="00C31285">
        <w:t>Approbation du rapport du Comité de l'emploi</w:t>
      </w:r>
    </w:p>
    <w:p w:rsidR="0023471F" w:rsidRPr="00C31285" w:rsidRDefault="0023471F" w:rsidP="0023471F">
      <w:pPr>
        <w:pStyle w:val="Text3"/>
      </w:pPr>
      <w:r w:rsidRPr="00C31285">
        <w:t>9307/15 SOC 375 EMPL 247 ECOFIN 412 EDUC 192</w:t>
      </w:r>
    </w:p>
    <w:p w:rsidR="0023471F" w:rsidRPr="00C31285" w:rsidRDefault="0023471F" w:rsidP="0023471F">
      <w:pPr>
        <w:pStyle w:val="Text2"/>
        <w:spacing w:before="240" w:line="360" w:lineRule="auto"/>
        <w:rPr>
          <w:bCs/>
        </w:rPr>
      </w:pPr>
      <w:r w:rsidRPr="00C31285">
        <w:rPr>
          <w:u w:val="single"/>
        </w:rPr>
        <w:t>Le Conseil</w:t>
      </w:r>
      <w:r w:rsidRPr="00C31285">
        <w:t xml:space="preserve"> a approuvé le relevé des résultats élaboré par le Comité de l'emploi et figurant dans le document susmentionné.</w:t>
      </w:r>
    </w:p>
    <w:p w:rsidR="00FB71A3" w:rsidRPr="00C31285" w:rsidRDefault="0023471F" w:rsidP="0004616C">
      <w:pPr>
        <w:pStyle w:val="PointManual"/>
        <w:pageBreakBefore/>
        <w:spacing w:before="600"/>
        <w:rPr>
          <w:b/>
          <w:bCs/>
        </w:rPr>
      </w:pPr>
      <w:r w:rsidRPr="00C31285">
        <w:rPr>
          <w:b/>
        </w:rPr>
        <w:t>3.</w:t>
      </w:r>
      <w:r w:rsidRPr="00C31285">
        <w:tab/>
      </w:r>
      <w:r w:rsidRPr="00C31285">
        <w:rPr>
          <w:b/>
          <w:u w:val="single"/>
        </w:rPr>
        <w:t>Proposition de décision du Conseil relative aux lignes directrices pour les politiques de l'emploi des États membres</w:t>
      </w:r>
    </w:p>
    <w:p w:rsidR="0023471F" w:rsidRPr="00C31285" w:rsidRDefault="0023471F" w:rsidP="0023471F">
      <w:pPr>
        <w:pStyle w:val="Dash1"/>
      </w:pPr>
      <w:r w:rsidRPr="00C31285">
        <w:t>Orientation générale</w:t>
      </w:r>
    </w:p>
    <w:p w:rsidR="00FB71A3" w:rsidRPr="00C31285" w:rsidRDefault="0023471F" w:rsidP="0023471F">
      <w:pPr>
        <w:pStyle w:val="Text3"/>
      </w:pPr>
      <w:r w:rsidRPr="00C31285">
        <w:t>6144/15 SOC 70 EMPL 31 ECOFIN 97 EDUC 28 JEUN 21</w:t>
      </w:r>
    </w:p>
    <w:p w:rsidR="0023471F" w:rsidRPr="00C31285" w:rsidRDefault="0023471F" w:rsidP="0023471F">
      <w:pPr>
        <w:pStyle w:val="Text4"/>
        <w:rPr>
          <w:i/>
          <w:iCs/>
          <w:lang w:val="en-GB"/>
        </w:rPr>
      </w:pPr>
      <w:r w:rsidRPr="00C31285">
        <w:rPr>
          <w:lang w:val="en-GB"/>
        </w:rPr>
        <w:t>+ ADD 1</w:t>
      </w:r>
    </w:p>
    <w:p w:rsidR="0023471F" w:rsidRPr="00C31285" w:rsidRDefault="0023471F" w:rsidP="0023471F">
      <w:pPr>
        <w:pStyle w:val="Text3"/>
        <w:rPr>
          <w:lang w:val="en-GB"/>
        </w:rPr>
      </w:pPr>
      <w:r w:rsidRPr="00C31285">
        <w:rPr>
          <w:lang w:val="en-GB"/>
        </w:rPr>
        <w:t>9632/15 SOC 408 EMPL 265 ECOFIN 449 EDUC 206 JEUN 48</w:t>
      </w:r>
    </w:p>
    <w:p w:rsidR="0023471F" w:rsidRPr="00C31285" w:rsidRDefault="0023471F" w:rsidP="0023471F">
      <w:pPr>
        <w:pStyle w:val="Text1"/>
        <w:spacing w:before="240" w:line="360" w:lineRule="auto"/>
      </w:pPr>
      <w:r w:rsidRPr="00C31285">
        <w:rPr>
          <w:u w:val="single"/>
        </w:rPr>
        <w:t>Le Conseil</w:t>
      </w:r>
      <w:r w:rsidRPr="00C31285">
        <w:t xml:space="preserve"> a dégagé une orientation générale concernant les lignes directrices pour les politiques de l'emploi (doc. 9632/15).</w:t>
      </w:r>
    </w:p>
    <w:p w:rsidR="0023471F" w:rsidRPr="00C31285" w:rsidRDefault="0023471F" w:rsidP="0023471F">
      <w:pPr>
        <w:pStyle w:val="Text1"/>
        <w:spacing w:before="240" w:line="360" w:lineRule="auto"/>
      </w:pPr>
      <w:r w:rsidRPr="00C31285">
        <w:t>Cette orientation générale fera l'objet d'un réexamen une fois que tous les avis requis par l'article 148, paragraphe 2, du traité auront été reçus.</w:t>
      </w:r>
    </w:p>
    <w:p w:rsidR="0023471F" w:rsidRPr="00C31285" w:rsidRDefault="0023471F" w:rsidP="0023471F">
      <w:pPr>
        <w:pStyle w:val="PointManual"/>
        <w:spacing w:before="600"/>
        <w:rPr>
          <w:b/>
          <w:bCs/>
        </w:rPr>
      </w:pPr>
      <w:r w:rsidRPr="00C31285">
        <w:rPr>
          <w:b/>
        </w:rPr>
        <w:t>4.</w:t>
      </w:r>
      <w:r w:rsidRPr="00C31285">
        <w:tab/>
      </w:r>
      <w:r w:rsidRPr="00C31285">
        <w:rPr>
          <w:b/>
          <w:u w:val="single"/>
        </w:rPr>
        <w:t>Emploi des jeunes</w:t>
      </w:r>
    </w:p>
    <w:p w:rsidR="00FB71A3" w:rsidRPr="00C31285" w:rsidRDefault="0023471F" w:rsidP="0023471F">
      <w:pPr>
        <w:pStyle w:val="PointManual1"/>
        <w:spacing w:before="120"/>
        <w:rPr>
          <w:rFonts w:eastAsia="Calibri"/>
          <w:b/>
          <w:bCs/>
        </w:rPr>
      </w:pPr>
      <w:r w:rsidRPr="00C31285">
        <w:rPr>
          <w:b/>
        </w:rPr>
        <w:t>a)</w:t>
      </w:r>
      <w:r w:rsidRPr="00C31285">
        <w:tab/>
      </w:r>
      <w:r w:rsidRPr="00C31285">
        <w:rPr>
          <w:b/>
        </w:rPr>
        <w:t>Projet de conclusions du Conseil sur le rapport spécial n° 3/2015 de la Cour des comptes européenne intitulé "La garantie pour la jeunesse de l'Union européenne: les premières mesures ont été prises, mais des risques pour la mise en œuvre s'annoncent"</w:t>
      </w:r>
    </w:p>
    <w:p w:rsidR="00FB71A3" w:rsidRPr="00C31285" w:rsidRDefault="0023471F" w:rsidP="0023471F">
      <w:pPr>
        <w:pStyle w:val="Dash2"/>
        <w:rPr>
          <w:rFonts w:eastAsia="Calibri"/>
        </w:rPr>
      </w:pPr>
      <w:r w:rsidRPr="00C31285">
        <w:t>Adoption</w:t>
      </w:r>
    </w:p>
    <w:p w:rsidR="0023471F" w:rsidRPr="00C31285" w:rsidRDefault="0023471F" w:rsidP="0023471F">
      <w:pPr>
        <w:pStyle w:val="Text3"/>
      </w:pPr>
      <w:r w:rsidRPr="00C31285">
        <w:t>9300/15 FIN 390 SOC 369 EMPL 242 ECOFIN 407 EDUC 187 JEUN 43</w:t>
      </w:r>
    </w:p>
    <w:p w:rsidR="0023471F" w:rsidRPr="00C31285" w:rsidRDefault="0023471F" w:rsidP="0023471F">
      <w:pPr>
        <w:pStyle w:val="Text5"/>
      </w:pPr>
      <w:r w:rsidRPr="00C31285">
        <w:t>REGIO 42</w:t>
      </w:r>
    </w:p>
    <w:p w:rsidR="0023471F" w:rsidRPr="00C31285" w:rsidRDefault="0023471F" w:rsidP="0023471F">
      <w:pPr>
        <w:pStyle w:val="Text2"/>
        <w:spacing w:before="240" w:line="360" w:lineRule="auto"/>
      </w:pPr>
      <w:r w:rsidRPr="00C31285">
        <w:rPr>
          <w:u w:val="single"/>
        </w:rPr>
        <w:t>Le Conseil</w:t>
      </w:r>
      <w:r w:rsidRPr="00C31285">
        <w:t xml:space="preserve"> a adopté les conclusions figurant dans le document 9300/15. La version définitive de ces conclusions figure dans le document 10104/15.</w:t>
      </w:r>
    </w:p>
    <w:p w:rsidR="0023471F" w:rsidRPr="00C31285" w:rsidRDefault="0023471F" w:rsidP="0023471F">
      <w:pPr>
        <w:pStyle w:val="PointManual1"/>
        <w:spacing w:before="360"/>
        <w:rPr>
          <w:rFonts w:eastAsia="Calibri"/>
          <w:b/>
          <w:bCs/>
        </w:rPr>
      </w:pPr>
      <w:r w:rsidRPr="00C31285">
        <w:rPr>
          <w:b/>
        </w:rPr>
        <w:t>b)</w:t>
      </w:r>
      <w:r w:rsidRPr="00C31285">
        <w:tab/>
      </w:r>
      <w:r w:rsidRPr="00C31285">
        <w:rPr>
          <w:b/>
        </w:rPr>
        <w:t>État d'avancement de la mise en œuvre des mesures de l'UE</w:t>
      </w:r>
    </w:p>
    <w:p w:rsidR="00FB71A3" w:rsidRPr="00C31285" w:rsidRDefault="0023471F" w:rsidP="0023471F">
      <w:pPr>
        <w:pStyle w:val="Dash2"/>
        <w:rPr>
          <w:rFonts w:eastAsia="Calibri"/>
        </w:rPr>
      </w:pPr>
      <w:r w:rsidRPr="00C31285">
        <w:t>Présentation par la Commission</w:t>
      </w:r>
    </w:p>
    <w:p w:rsidR="0023471F" w:rsidRPr="00C31285" w:rsidRDefault="0023471F" w:rsidP="0023471F">
      <w:pPr>
        <w:pStyle w:val="Text3"/>
      </w:pPr>
      <w:r w:rsidRPr="00C31285">
        <w:t>9301/15 SOC 370 EMPL 243 ECOFIN 408 EDUC 188 JEUN 44</w:t>
      </w:r>
    </w:p>
    <w:p w:rsidR="0023471F" w:rsidRPr="00C31285" w:rsidRDefault="0023471F" w:rsidP="0023471F">
      <w:pPr>
        <w:pStyle w:val="Text2"/>
        <w:spacing w:before="240" w:line="360" w:lineRule="auto"/>
        <w:rPr>
          <w:color w:val="000000"/>
        </w:rPr>
      </w:pPr>
      <w:r w:rsidRPr="00C31285">
        <w:rPr>
          <w:color w:val="000000"/>
          <w:u w:val="single"/>
        </w:rPr>
        <w:t>Le Conseil</w:t>
      </w:r>
      <w:r w:rsidRPr="00C31285">
        <w:t xml:space="preserve"> a pris note des informations communiquées par la Commission (doc. 9301/15).</w:t>
      </w:r>
    </w:p>
    <w:p w:rsidR="0023471F" w:rsidRPr="00C31285" w:rsidRDefault="0023471F" w:rsidP="0023471F">
      <w:pPr>
        <w:pStyle w:val="PointManual"/>
        <w:spacing w:before="600"/>
        <w:rPr>
          <w:b/>
          <w:bCs/>
        </w:rPr>
      </w:pPr>
      <w:r w:rsidRPr="00C31285">
        <w:rPr>
          <w:b/>
        </w:rPr>
        <w:t>5.</w:t>
      </w:r>
      <w:r w:rsidRPr="00C31285">
        <w:tab/>
      </w:r>
      <w:r w:rsidRPr="00C31285">
        <w:rPr>
          <w:b/>
          <w:u w:val="single"/>
        </w:rPr>
        <w:t>Projet de conclusions du Conseil sur le thème "Égalité</w:t>
      </w:r>
      <w:r w:rsidR="00BA117D">
        <w:rPr>
          <w:b/>
          <w:u w:val="single"/>
        </w:rPr>
        <w:t xml:space="preserve"> des chances pour les femmes et </w:t>
      </w:r>
      <w:r w:rsidRPr="00C31285">
        <w:rPr>
          <w:b/>
          <w:u w:val="single"/>
        </w:rPr>
        <w:t>les hommes en ce qui concerne les revenus: combler l'</w:t>
      </w:r>
      <w:r w:rsidR="00BA117D">
        <w:rPr>
          <w:b/>
          <w:u w:val="single"/>
        </w:rPr>
        <w:t>écart en matière de pensions de </w:t>
      </w:r>
      <w:r w:rsidRPr="00C31285">
        <w:rPr>
          <w:b/>
          <w:u w:val="single"/>
        </w:rPr>
        <w:t>retraite entre les hommes et les femmes"</w:t>
      </w:r>
    </w:p>
    <w:p w:rsidR="00FB71A3" w:rsidRPr="00C31285" w:rsidRDefault="0023471F" w:rsidP="0023471F">
      <w:pPr>
        <w:pStyle w:val="Dash1"/>
      </w:pPr>
      <w:r w:rsidRPr="00C31285">
        <w:t>Adoption</w:t>
      </w:r>
    </w:p>
    <w:p w:rsidR="0023471F" w:rsidRPr="00C31285" w:rsidRDefault="0023471F" w:rsidP="0023471F">
      <w:pPr>
        <w:pStyle w:val="Text3"/>
        <w:rPr>
          <w:i/>
          <w:iCs/>
        </w:rPr>
      </w:pPr>
      <w:r w:rsidRPr="00C31285">
        <w:t>9302/15 SOC 371 GENDER 7 PENS 4</w:t>
      </w:r>
    </w:p>
    <w:p w:rsidR="0023471F" w:rsidRPr="00C31285" w:rsidRDefault="0023471F" w:rsidP="0023471F">
      <w:pPr>
        <w:pStyle w:val="Text4"/>
      </w:pPr>
      <w:r w:rsidRPr="00C31285">
        <w:t>+ REV 1 (lv)</w:t>
      </w:r>
    </w:p>
    <w:p w:rsidR="0023471F" w:rsidRPr="00C31285" w:rsidRDefault="0023471F" w:rsidP="0023471F">
      <w:pPr>
        <w:pStyle w:val="Text1"/>
        <w:spacing w:before="240" w:line="360" w:lineRule="auto"/>
      </w:pPr>
      <w:r w:rsidRPr="00C31285">
        <w:rPr>
          <w:u w:val="single"/>
        </w:rPr>
        <w:t>Le Conseil</w:t>
      </w:r>
      <w:r w:rsidRPr="00C31285">
        <w:t xml:space="preserve"> a adopté les conclusions figurant dans le document 9302/15. La version définitive de ces conclusions figure dans le document 10081/15.</w:t>
      </w:r>
    </w:p>
    <w:p w:rsidR="0023471F" w:rsidRPr="00C31285" w:rsidRDefault="0023471F" w:rsidP="0004616C">
      <w:pPr>
        <w:pageBreakBefore/>
        <w:spacing w:before="600"/>
        <w:rPr>
          <w:b/>
          <w:bCs/>
          <w:u w:val="single"/>
        </w:rPr>
      </w:pPr>
      <w:r w:rsidRPr="00C31285">
        <w:rPr>
          <w:b/>
          <w:u w:val="single"/>
        </w:rPr>
        <w:t>DÉLIBÉRATIONS LÉGISLATIVES</w:t>
      </w:r>
    </w:p>
    <w:p w:rsidR="0023471F" w:rsidRPr="00C31285" w:rsidRDefault="0023471F" w:rsidP="0023471F">
      <w:pPr>
        <w:rPr>
          <w:b/>
          <w:bCs/>
          <w:i/>
          <w:iCs/>
        </w:rPr>
      </w:pPr>
      <w:r w:rsidRPr="00C31285">
        <w:rPr>
          <w:b/>
          <w:i/>
        </w:rPr>
        <w:t>(Délibération publique conformément à l'article 16, paragraphe 8, du traité sur l'Union européenne)</w:t>
      </w:r>
    </w:p>
    <w:p w:rsidR="0023471F" w:rsidRPr="00C31285" w:rsidRDefault="0023471F" w:rsidP="0023471F">
      <w:pPr>
        <w:pStyle w:val="PointManual"/>
        <w:rPr>
          <w:b/>
          <w:bCs/>
        </w:rPr>
      </w:pPr>
      <w:r w:rsidRPr="00C31285">
        <w:rPr>
          <w:b/>
        </w:rPr>
        <w:t>6.</w:t>
      </w:r>
      <w:r w:rsidRPr="00C31285">
        <w:tab/>
      </w:r>
      <w:r w:rsidRPr="00C31285">
        <w:rPr>
          <w:b/>
          <w:u w:val="single"/>
        </w:rPr>
        <w:t>Proposition de directive du Parlement européen et du Conseil relative à un meilleur équilibre hommes-femmes parmi les administrateurs non e</w:t>
      </w:r>
      <w:r w:rsidR="00BA117D">
        <w:rPr>
          <w:b/>
          <w:u w:val="single"/>
        </w:rPr>
        <w:t>xécutifs des sociétés cotées en </w:t>
      </w:r>
      <w:r w:rsidRPr="00C31285">
        <w:rPr>
          <w:b/>
          <w:u w:val="single"/>
        </w:rPr>
        <w:t>bourse et à des mesures connexes</w:t>
      </w:r>
      <w:r w:rsidRPr="00C31285">
        <w:rPr>
          <w:b/>
        </w:rPr>
        <w:t xml:space="preserve"> [première lecture]</w:t>
      </w:r>
    </w:p>
    <w:p w:rsidR="0023471F" w:rsidRPr="00C31285" w:rsidRDefault="0023471F" w:rsidP="0023471F">
      <w:pPr>
        <w:pStyle w:val="Text1"/>
        <w:rPr>
          <w:i/>
          <w:iCs/>
        </w:rPr>
      </w:pPr>
      <w:r w:rsidRPr="00C31285">
        <w:rPr>
          <w:i/>
        </w:rPr>
        <w:t>(Base juridique proposée par la Commission: article 157, paragraphe 3, du TFUE)</w:t>
      </w:r>
    </w:p>
    <w:p w:rsidR="0023471F" w:rsidRPr="00C31285" w:rsidRDefault="0023471F" w:rsidP="0023471F">
      <w:pPr>
        <w:pStyle w:val="Text1"/>
        <w:rPr>
          <w:i/>
          <w:iCs/>
        </w:rPr>
      </w:pPr>
      <w:r w:rsidRPr="00C31285">
        <w:rPr>
          <w:i/>
        </w:rPr>
        <w:t>Dossier interinstitutionnel: 2012/0299 (COD)</w:t>
      </w:r>
    </w:p>
    <w:p w:rsidR="00FB71A3" w:rsidRPr="00C31285" w:rsidRDefault="0023471F" w:rsidP="0023471F">
      <w:pPr>
        <w:pStyle w:val="Dash1"/>
      </w:pPr>
      <w:r w:rsidRPr="00C31285">
        <w:t>Rapport sur l'état d'avancement des travaux</w:t>
      </w:r>
    </w:p>
    <w:p w:rsidR="0023471F" w:rsidRPr="00C31285" w:rsidRDefault="0023471F" w:rsidP="0023471F">
      <w:pPr>
        <w:pStyle w:val="Text3"/>
        <w:tabs>
          <w:tab w:val="right" w:pos="9356"/>
        </w:tabs>
        <w:rPr>
          <w:bCs/>
          <w:i/>
          <w:iCs/>
        </w:rPr>
      </w:pPr>
      <w:r w:rsidRPr="00C31285">
        <w:t>16433/12 SOC 943 ECOFIN 708 DRS 130 CODEC 2724</w:t>
      </w:r>
    </w:p>
    <w:p w:rsidR="0023471F" w:rsidRPr="00C31285" w:rsidRDefault="0023471F" w:rsidP="0023471F">
      <w:pPr>
        <w:pStyle w:val="Text3"/>
      </w:pPr>
      <w:r w:rsidRPr="00C31285">
        <w:t>9020/1/15 SOC 331 GENDER 6 ECOFIN 367 DRS 40 CODEC 741 REV 1</w:t>
      </w:r>
    </w:p>
    <w:p w:rsidR="0023471F" w:rsidRPr="00C31285" w:rsidRDefault="0023471F" w:rsidP="0023471F">
      <w:pPr>
        <w:pStyle w:val="Text4"/>
      </w:pPr>
      <w:r w:rsidRPr="00C31285">
        <w:t>+ REV 1 COR 1 (el)</w:t>
      </w:r>
    </w:p>
    <w:p w:rsidR="0023471F" w:rsidRPr="00C31285" w:rsidRDefault="0023471F" w:rsidP="0023471F">
      <w:pPr>
        <w:pStyle w:val="Text1"/>
        <w:spacing w:before="240" w:line="360" w:lineRule="auto"/>
        <w:rPr>
          <w:bCs/>
          <w:i/>
          <w:iCs/>
        </w:rPr>
      </w:pPr>
      <w:r w:rsidRPr="00C31285">
        <w:rPr>
          <w:color w:val="000000"/>
          <w:u w:val="single"/>
        </w:rPr>
        <w:t>Le Conseil</w:t>
      </w:r>
      <w:r w:rsidRPr="00C31285">
        <w:t xml:space="preserve"> a pris note du rapport de la présidence sur l'état des travaux (doc. 9020/1/15 REV 1 + REV 1 COR 1).</w:t>
      </w:r>
    </w:p>
    <w:p w:rsidR="0023471F" w:rsidRPr="00C31285" w:rsidRDefault="0023471F" w:rsidP="0023471F">
      <w:pPr>
        <w:pStyle w:val="PointManual"/>
        <w:spacing w:before="720"/>
        <w:rPr>
          <w:b/>
          <w:bCs/>
        </w:rPr>
      </w:pPr>
      <w:r w:rsidRPr="00C31285">
        <w:rPr>
          <w:b/>
        </w:rPr>
        <w:t>7.</w:t>
      </w:r>
      <w:r w:rsidRPr="00C31285">
        <w:tab/>
      </w:r>
      <w:r w:rsidRPr="00C31285">
        <w:rPr>
          <w:b/>
          <w:u w:val="single"/>
        </w:rPr>
        <w:t>Proposition de directive du Conseil relative à la mise en œuvre du principe de l'égalité de traitement entre les personnes sans distinction de</w:t>
      </w:r>
      <w:r w:rsidR="00BA117D">
        <w:rPr>
          <w:b/>
          <w:u w:val="single"/>
        </w:rPr>
        <w:t xml:space="preserve"> religion ou de convictions, de </w:t>
      </w:r>
      <w:r w:rsidRPr="00C31285">
        <w:rPr>
          <w:b/>
          <w:u w:val="single"/>
        </w:rPr>
        <w:t>handicap, d'âge ou d'orientation sexuelle</w:t>
      </w:r>
    </w:p>
    <w:p w:rsidR="0023471F" w:rsidRPr="00C31285" w:rsidRDefault="0023471F" w:rsidP="0023471F">
      <w:pPr>
        <w:pStyle w:val="Text1"/>
        <w:rPr>
          <w:i/>
          <w:iCs/>
        </w:rPr>
      </w:pPr>
      <w:r w:rsidRPr="00C31285">
        <w:rPr>
          <w:i/>
        </w:rPr>
        <w:t>Dossier interinstitutionnel: 2008/0140 (CNS)</w:t>
      </w:r>
    </w:p>
    <w:p w:rsidR="0023471F" w:rsidRPr="00C31285" w:rsidRDefault="0023471F" w:rsidP="0023471F">
      <w:pPr>
        <w:pStyle w:val="Dash1"/>
      </w:pPr>
      <w:r w:rsidRPr="00C31285">
        <w:t>Rapport sur l'état d'avancement des travaux</w:t>
      </w:r>
    </w:p>
    <w:p w:rsidR="0023471F" w:rsidRPr="00C31285" w:rsidRDefault="0023471F" w:rsidP="0023471F">
      <w:pPr>
        <w:pStyle w:val="Text3"/>
        <w:tabs>
          <w:tab w:val="right" w:pos="9356"/>
        </w:tabs>
        <w:rPr>
          <w:b/>
          <w:bCs/>
          <w:u w:val="single"/>
          <w:lang w:val="it-IT"/>
        </w:rPr>
      </w:pPr>
      <w:r w:rsidRPr="00C31285">
        <w:rPr>
          <w:lang w:val="it-IT"/>
        </w:rPr>
        <w:t>11531/08 SOC 411 JAI 368 MI 246</w:t>
      </w:r>
    </w:p>
    <w:p w:rsidR="0023471F" w:rsidRPr="00C31285" w:rsidRDefault="0023471F" w:rsidP="0023471F">
      <w:pPr>
        <w:pStyle w:val="Text3"/>
        <w:rPr>
          <w:b/>
          <w:bCs/>
          <w:u w:val="single"/>
          <w:lang w:val="it-IT"/>
        </w:rPr>
      </w:pPr>
      <w:r w:rsidRPr="00C31285">
        <w:rPr>
          <w:lang w:val="it-IT"/>
        </w:rPr>
        <w:t>9011/1/15 SOC 330 ANTIDISCRIM 6 JAI 338 MI 326 FREMP 114 REV 1</w:t>
      </w:r>
    </w:p>
    <w:p w:rsidR="0023471F" w:rsidRPr="00C31285" w:rsidRDefault="0023471F" w:rsidP="0023471F">
      <w:pPr>
        <w:pStyle w:val="Text1"/>
        <w:spacing w:before="240" w:line="360" w:lineRule="auto"/>
        <w:rPr>
          <w:color w:val="000000"/>
        </w:rPr>
      </w:pPr>
      <w:r w:rsidRPr="00C31285">
        <w:rPr>
          <w:color w:val="000000"/>
          <w:u w:val="single"/>
        </w:rPr>
        <w:t>Le Conseil</w:t>
      </w:r>
      <w:r w:rsidRPr="00C31285">
        <w:t xml:space="preserve"> a pris note du rapport de la présidence sur l'état d'avancement des travaux (doc. 9011/1/15).</w:t>
      </w:r>
    </w:p>
    <w:p w:rsidR="0023471F" w:rsidRPr="00C31285" w:rsidRDefault="0023471F" w:rsidP="0023471F">
      <w:pPr>
        <w:pStyle w:val="PointManual"/>
        <w:spacing w:before="720"/>
      </w:pPr>
      <w:r w:rsidRPr="00C31285">
        <w:rPr>
          <w:b/>
        </w:rPr>
        <w:t>8.</w:t>
      </w:r>
      <w:r w:rsidRPr="00C31285">
        <w:tab/>
      </w:r>
      <w:r w:rsidRPr="00C31285">
        <w:rPr>
          <w:b/>
          <w:u w:val="single"/>
        </w:rPr>
        <w:t>Divers</w:t>
      </w:r>
    </w:p>
    <w:p w:rsidR="0023471F" w:rsidRPr="00C31285" w:rsidRDefault="0023471F" w:rsidP="0023471F">
      <w:pPr>
        <w:pStyle w:val="PointManual1"/>
        <w:spacing w:before="200"/>
        <w:rPr>
          <w:b/>
          <w:bCs/>
        </w:rPr>
      </w:pPr>
      <w:r w:rsidRPr="00C31285">
        <w:rPr>
          <w:b/>
        </w:rPr>
        <w:t>a)</w:t>
      </w:r>
      <w:r w:rsidRPr="00C31285">
        <w:tab/>
      </w:r>
      <w:r w:rsidRPr="00C31285">
        <w:rPr>
          <w:b/>
        </w:rPr>
        <w:t>Propositions législatives en cours d'examen</w:t>
      </w:r>
    </w:p>
    <w:p w:rsidR="0023471F" w:rsidRPr="00C31285" w:rsidRDefault="0023471F" w:rsidP="0023471F">
      <w:pPr>
        <w:pStyle w:val="Text2"/>
        <w:rPr>
          <w:i/>
          <w:iCs/>
        </w:rPr>
      </w:pPr>
      <w:r w:rsidRPr="00C31285">
        <w:rPr>
          <w:i/>
        </w:rPr>
        <w:t>(Délibération publique conformément à l'article 16, paragraphe 8, du traité sur l'Union européenne)</w:t>
      </w:r>
    </w:p>
    <w:p w:rsidR="0023471F" w:rsidRPr="00C31285" w:rsidRDefault="0023471F" w:rsidP="0023471F">
      <w:pPr>
        <w:pStyle w:val="Dash2"/>
      </w:pPr>
      <w:r w:rsidRPr="00C31285">
        <w:t>Informations communiquées par la présidence</w:t>
      </w:r>
    </w:p>
    <w:p w:rsidR="0023471F" w:rsidRPr="00C31285" w:rsidRDefault="0023471F" w:rsidP="0023471F">
      <w:pPr>
        <w:pStyle w:val="Text2"/>
        <w:spacing w:before="240" w:line="312" w:lineRule="auto"/>
      </w:pPr>
      <w:r w:rsidRPr="00C31285">
        <w:rPr>
          <w:u w:val="single"/>
        </w:rPr>
        <w:t>La présidence</w:t>
      </w:r>
      <w:r w:rsidRPr="00C31285">
        <w:t xml:space="preserve"> a informé le Conseil des résultats obtenus et de l'état des travaux dans les différents dossiers examinés sous la présidence lettone.</w:t>
      </w:r>
    </w:p>
    <w:p w:rsidR="0023471F" w:rsidRPr="00C31285" w:rsidRDefault="0023471F" w:rsidP="0004616C">
      <w:pPr>
        <w:pStyle w:val="PointManual1"/>
        <w:pageBreakBefore/>
        <w:spacing w:before="600"/>
        <w:rPr>
          <w:b/>
          <w:bCs/>
        </w:rPr>
      </w:pPr>
      <w:r w:rsidRPr="00C31285">
        <w:rPr>
          <w:b/>
        </w:rPr>
        <w:t>b)</w:t>
      </w:r>
      <w:r w:rsidRPr="00C31285">
        <w:tab/>
      </w:r>
      <w:r w:rsidRPr="00C31285">
        <w:rPr>
          <w:b/>
        </w:rPr>
        <w:t>Rapport de 2015 sur la mise en œuvre du cadre de l'UE pour les stratégies nationales d'intégration des Roms</w:t>
      </w:r>
    </w:p>
    <w:p w:rsidR="0023471F" w:rsidRPr="00C31285" w:rsidRDefault="0023471F" w:rsidP="0023471F">
      <w:pPr>
        <w:pStyle w:val="Dash2"/>
      </w:pPr>
      <w:r w:rsidRPr="00C31285">
        <w:t>Informations communiquées par la Commission</w:t>
      </w:r>
    </w:p>
    <w:p w:rsidR="00FB71A3" w:rsidRPr="00C31285" w:rsidRDefault="0023471F" w:rsidP="0023471F">
      <w:pPr>
        <w:pStyle w:val="Text3"/>
        <w:rPr>
          <w:rFonts w:asciiTheme="majorBidi" w:hAnsiTheme="majorBidi" w:cstheme="majorBidi"/>
        </w:rPr>
      </w:pPr>
      <w:r w:rsidRPr="00C31285">
        <w:rPr>
          <w:rFonts w:asciiTheme="majorBidi" w:hAnsiTheme="majorBidi" w:cstheme="majorBidi"/>
        </w:rPr>
        <w:t>9551/15 SOC 392 EMPL 254 ANTIDISCRIM 7 JAI 418 EDUC 200 FREMP 132</w:t>
      </w:r>
    </w:p>
    <w:p w:rsidR="0023471F" w:rsidRPr="00C31285" w:rsidRDefault="0023471F" w:rsidP="0023471F">
      <w:pPr>
        <w:pStyle w:val="Text5"/>
        <w:rPr>
          <w:rFonts w:asciiTheme="majorBidi" w:hAnsiTheme="majorBidi" w:cstheme="majorBidi"/>
        </w:rPr>
      </w:pPr>
      <w:r w:rsidRPr="00C31285">
        <w:rPr>
          <w:rFonts w:asciiTheme="majorBidi" w:hAnsiTheme="majorBidi" w:cstheme="majorBidi"/>
        </w:rPr>
        <w:t>COHOM 54 GENDER 8</w:t>
      </w:r>
    </w:p>
    <w:p w:rsidR="0023471F" w:rsidRPr="00C31285" w:rsidRDefault="0023471F" w:rsidP="0023471F">
      <w:pPr>
        <w:pStyle w:val="Text2"/>
        <w:spacing w:before="240" w:line="312" w:lineRule="auto"/>
      </w:pPr>
      <w:r w:rsidRPr="00C31285">
        <w:rPr>
          <w:u w:val="single"/>
        </w:rPr>
        <w:t>Le Conseil</w:t>
      </w:r>
      <w:r w:rsidRPr="00C31285">
        <w:t xml:space="preserve"> a pris note des informations communiquées par la Commission qui figurent dans le document 9551/15.</w:t>
      </w:r>
    </w:p>
    <w:p w:rsidR="0023471F" w:rsidRPr="00C31285" w:rsidRDefault="0023471F" w:rsidP="0023471F">
      <w:pPr>
        <w:pStyle w:val="PointManual1"/>
        <w:spacing w:before="480"/>
        <w:rPr>
          <w:b/>
          <w:bCs/>
        </w:rPr>
      </w:pPr>
      <w:r w:rsidRPr="00C31285">
        <w:rPr>
          <w:b/>
        </w:rPr>
        <w:t>c)</w:t>
      </w:r>
      <w:r w:rsidRPr="00C31285">
        <w:tab/>
      </w:r>
      <w:r w:rsidRPr="00C31285">
        <w:rPr>
          <w:b/>
        </w:rPr>
        <w:t>Rapport sur le fonctionnement des dispositions transitoires sur la libre circulation des travailleurs en provenance de Croatie et document de travail des services de la Commission accompagnant ce rapport</w:t>
      </w:r>
    </w:p>
    <w:p w:rsidR="0023471F" w:rsidRPr="00C31285" w:rsidRDefault="0023471F" w:rsidP="0023471F">
      <w:pPr>
        <w:pStyle w:val="Dash2"/>
      </w:pPr>
      <w:r w:rsidRPr="00C31285">
        <w:t>Informations communiquées par la Commission</w:t>
      </w:r>
    </w:p>
    <w:p w:rsidR="0023471F" w:rsidRPr="00C31285" w:rsidRDefault="0023471F" w:rsidP="0023471F">
      <w:pPr>
        <w:pStyle w:val="Text3"/>
        <w:rPr>
          <w:rFonts w:eastAsia="Calibri"/>
          <w:lang w:val="es-ES"/>
        </w:rPr>
      </w:pPr>
      <w:r w:rsidRPr="00C31285">
        <w:rPr>
          <w:lang w:val="es-ES"/>
        </w:rPr>
        <w:t>9631/15 SOC 407 MI 377 EDUC 205 ECOFIN 448 JEUN 47 JAI 428 ETS 4</w:t>
      </w:r>
    </w:p>
    <w:p w:rsidR="0023471F" w:rsidRPr="00C31285" w:rsidRDefault="0023471F" w:rsidP="0023471F">
      <w:pPr>
        <w:pStyle w:val="Text2"/>
        <w:spacing w:before="240" w:line="312" w:lineRule="auto"/>
      </w:pPr>
      <w:r w:rsidRPr="00C31285">
        <w:rPr>
          <w:u w:val="single"/>
        </w:rPr>
        <w:t>Le Conseil</w:t>
      </w:r>
      <w:r w:rsidRPr="00C31285">
        <w:t xml:space="preserve"> a pris note des informations communiquées par la Commission qui figurent dans le document 9631/15.</w:t>
      </w:r>
    </w:p>
    <w:p w:rsidR="00FB71A3" w:rsidRPr="00C31285" w:rsidRDefault="0023471F" w:rsidP="0023471F">
      <w:pPr>
        <w:pStyle w:val="PointManual1"/>
        <w:spacing w:before="480"/>
        <w:rPr>
          <w:b/>
          <w:bCs/>
        </w:rPr>
      </w:pPr>
      <w:r w:rsidRPr="00C31285">
        <w:rPr>
          <w:b/>
        </w:rPr>
        <w:t>d)</w:t>
      </w:r>
      <w:r w:rsidRPr="00C31285">
        <w:tab/>
      </w:r>
      <w:r w:rsidRPr="00C31285">
        <w:rPr>
          <w:b/>
        </w:rPr>
        <w:t>Résultats des conférences organisées par la présidence lettone</w:t>
      </w:r>
    </w:p>
    <w:p w:rsidR="00FB71A3" w:rsidRPr="00C31285" w:rsidRDefault="0023471F" w:rsidP="0023471F">
      <w:pPr>
        <w:pStyle w:val="Dash2"/>
      </w:pPr>
      <w:r w:rsidRPr="00C31285">
        <w:t>Informations communiquées par la présidence</w:t>
      </w:r>
    </w:p>
    <w:p w:rsidR="00FB71A3" w:rsidRPr="00C31285" w:rsidRDefault="0023471F" w:rsidP="0023471F">
      <w:pPr>
        <w:pStyle w:val="Text3"/>
      </w:pPr>
      <w:r w:rsidRPr="00C31285">
        <w:t>9308/15 SOC 376 EMPL 248</w:t>
      </w:r>
    </w:p>
    <w:p w:rsidR="0023471F" w:rsidRPr="00C31285" w:rsidRDefault="0023471F" w:rsidP="0023471F">
      <w:pPr>
        <w:pStyle w:val="Text2"/>
        <w:spacing w:before="240" w:line="312" w:lineRule="auto"/>
      </w:pPr>
      <w:r w:rsidRPr="00C31285">
        <w:rPr>
          <w:u w:val="single"/>
        </w:rPr>
        <w:t>Le Conseil</w:t>
      </w:r>
      <w:r w:rsidRPr="00C31285">
        <w:t xml:space="preserve"> a pris note des informations communiquées par la présidence.</w:t>
      </w:r>
    </w:p>
    <w:p w:rsidR="0023471F" w:rsidRPr="00C31285" w:rsidRDefault="0023471F" w:rsidP="0023471F">
      <w:pPr>
        <w:pStyle w:val="PointManual1"/>
        <w:spacing w:before="480"/>
        <w:rPr>
          <w:b/>
          <w:bCs/>
        </w:rPr>
      </w:pPr>
      <w:r w:rsidRPr="00C31285">
        <w:rPr>
          <w:b/>
        </w:rPr>
        <w:t>e)</w:t>
      </w:r>
      <w:r w:rsidRPr="00C31285">
        <w:tab/>
      </w:r>
      <w:r w:rsidRPr="00C31285">
        <w:rPr>
          <w:b/>
        </w:rPr>
        <w:t>Programme de travail de la future présidence</w:t>
      </w:r>
    </w:p>
    <w:p w:rsidR="0023471F" w:rsidRPr="00C31285" w:rsidRDefault="0023471F" w:rsidP="0023471F">
      <w:pPr>
        <w:pStyle w:val="Dash2"/>
      </w:pPr>
      <w:r w:rsidRPr="00C31285">
        <w:t>Informations communiquées par la délégation luxembourgeoise</w:t>
      </w:r>
    </w:p>
    <w:p w:rsidR="0023471F" w:rsidRPr="00C31285" w:rsidRDefault="0023471F" w:rsidP="0023471F">
      <w:pPr>
        <w:pStyle w:val="Text2"/>
        <w:spacing w:before="240" w:line="312" w:lineRule="auto"/>
      </w:pPr>
      <w:r w:rsidRPr="00C31285">
        <w:rPr>
          <w:u w:val="single"/>
        </w:rPr>
        <w:t>Le Conseil</w:t>
      </w:r>
      <w:r w:rsidRPr="00C31285">
        <w:t xml:space="preserve"> a pris note des informations communiquées par la future présidence sur son programme de travail.</w:t>
      </w:r>
    </w:p>
    <w:p w:rsidR="0023471F" w:rsidRPr="00C31285" w:rsidRDefault="0023471F" w:rsidP="0023471F">
      <w:pPr>
        <w:pageBreakBefore/>
        <w:spacing w:before="600"/>
        <w:rPr>
          <w:b/>
          <w:bCs/>
          <w:i/>
          <w:iCs/>
          <w:sz w:val="32"/>
          <w:szCs w:val="32"/>
        </w:rPr>
      </w:pPr>
      <w:r w:rsidRPr="00C31285">
        <w:rPr>
          <w:b/>
          <w:i/>
          <w:sz w:val="32"/>
        </w:rPr>
        <w:t>Session du 19 juin 2015</w:t>
      </w:r>
    </w:p>
    <w:p w:rsidR="0023471F" w:rsidRPr="00C31285" w:rsidRDefault="0023471F" w:rsidP="0023471F">
      <w:pPr>
        <w:pStyle w:val="HeadingCentered"/>
        <w:spacing w:before="240" w:after="240"/>
        <w:rPr>
          <w:b w:val="0"/>
          <w:bCs/>
        </w:rPr>
      </w:pPr>
      <w:r w:rsidRPr="00C31285">
        <w:rPr>
          <w:b w:val="0"/>
        </w:rPr>
        <w:t>SANTÉ</w:t>
      </w:r>
    </w:p>
    <w:p w:rsidR="0023471F" w:rsidRPr="00C31285" w:rsidRDefault="0023471F" w:rsidP="0023471F">
      <w:pPr>
        <w:spacing w:before="240"/>
        <w:rPr>
          <w:b/>
          <w:bCs/>
          <w:u w:val="single"/>
        </w:rPr>
      </w:pPr>
      <w:r w:rsidRPr="00C31285">
        <w:rPr>
          <w:b/>
          <w:u w:val="single"/>
        </w:rPr>
        <w:t>DÉLIBÉRATIONS LÉGISLATIVES</w:t>
      </w:r>
    </w:p>
    <w:p w:rsidR="0023471F" w:rsidRPr="00C31285" w:rsidRDefault="0023471F" w:rsidP="0023471F">
      <w:pPr>
        <w:rPr>
          <w:b/>
          <w:bCs/>
          <w:i/>
          <w:iCs/>
        </w:rPr>
      </w:pPr>
      <w:r w:rsidRPr="00C31285">
        <w:rPr>
          <w:b/>
          <w:i/>
        </w:rPr>
        <w:t>(Délibération publique conformément à l'article 16, paragraphe 8, du traité sur l'Union européenne)</w:t>
      </w:r>
    </w:p>
    <w:p w:rsidR="0023471F" w:rsidRPr="00C31285" w:rsidRDefault="0023471F" w:rsidP="0023471F">
      <w:pPr>
        <w:pStyle w:val="PointManual"/>
        <w:rPr>
          <w:b/>
          <w:bCs/>
        </w:rPr>
      </w:pPr>
      <w:r w:rsidRPr="00C31285">
        <w:rPr>
          <w:b/>
        </w:rPr>
        <w:t>9.</w:t>
      </w:r>
      <w:r w:rsidRPr="00C31285">
        <w:tab/>
      </w:r>
      <w:r w:rsidRPr="00C31285">
        <w:rPr>
          <w:b/>
          <w:u w:val="single"/>
        </w:rPr>
        <w:t>Proposition de règlement du Parlement européen et du Conseil relatif aux dispositifs médicaux, et modifiant la directive 2</w:t>
      </w:r>
      <w:r w:rsidR="00BA117D">
        <w:rPr>
          <w:b/>
          <w:u w:val="single"/>
        </w:rPr>
        <w:t>001/83/CE, le règlement (CE) n° </w:t>
      </w:r>
      <w:r w:rsidRPr="00C31285">
        <w:rPr>
          <w:b/>
          <w:u w:val="single"/>
        </w:rPr>
        <w:t>1</w:t>
      </w:r>
      <w:r w:rsidR="00BA117D">
        <w:rPr>
          <w:b/>
          <w:u w:val="single"/>
        </w:rPr>
        <w:t>78/2002 et le règlement (CE) n° </w:t>
      </w:r>
      <w:r w:rsidRPr="00C31285">
        <w:rPr>
          <w:b/>
          <w:u w:val="single"/>
        </w:rPr>
        <w:t>1223/2009</w:t>
      </w:r>
      <w:r w:rsidR="00BA117D" w:rsidRPr="00BA117D">
        <w:rPr>
          <w:b/>
        </w:rPr>
        <w:t xml:space="preserve"> </w:t>
      </w:r>
      <w:r w:rsidRPr="00C31285">
        <w:rPr>
          <w:b/>
        </w:rPr>
        <w:t>[première lecture]</w:t>
      </w:r>
    </w:p>
    <w:p w:rsidR="0023471F" w:rsidRPr="00C31285" w:rsidRDefault="0023471F" w:rsidP="0023471F">
      <w:pPr>
        <w:pStyle w:val="Text1"/>
        <w:rPr>
          <w:i/>
          <w:iCs/>
        </w:rPr>
      </w:pPr>
      <w:r w:rsidRPr="00C31285">
        <w:rPr>
          <w:i/>
        </w:rPr>
        <w:t>(Base juridique proposée par la Commission: Article 114 et article 168, paragraphe 4, point c), du TFUE)</w:t>
      </w:r>
    </w:p>
    <w:p w:rsidR="0023471F" w:rsidRPr="00C31285" w:rsidRDefault="0023471F" w:rsidP="0023471F">
      <w:pPr>
        <w:pStyle w:val="Text1"/>
        <w:rPr>
          <w:rFonts w:eastAsia="Calibri" w:cs="Arial"/>
          <w:i/>
          <w:iCs/>
          <w:szCs w:val="22"/>
        </w:rPr>
      </w:pPr>
      <w:r w:rsidRPr="00C31285">
        <w:rPr>
          <w:i/>
        </w:rPr>
        <w:t>Dossier interinstitutionnel: 2012/0266 (COD)</w:t>
      </w:r>
    </w:p>
    <w:p w:rsidR="0023471F" w:rsidRPr="00C31285" w:rsidRDefault="0023471F" w:rsidP="0023471F">
      <w:pPr>
        <w:pStyle w:val="Text1"/>
        <w:rPr>
          <w:rFonts w:eastAsia="Calibri"/>
        </w:rPr>
      </w:pPr>
      <w:r w:rsidRPr="00C31285">
        <w:t>et</w:t>
      </w:r>
    </w:p>
    <w:p w:rsidR="0023471F" w:rsidRPr="00C31285" w:rsidRDefault="0023471F" w:rsidP="0023471F">
      <w:pPr>
        <w:pStyle w:val="Text1"/>
        <w:rPr>
          <w:b/>
          <w:bCs/>
        </w:rPr>
      </w:pPr>
      <w:r w:rsidRPr="00C31285">
        <w:rPr>
          <w:b/>
          <w:u w:val="single"/>
        </w:rPr>
        <w:t>Proposition de règlement du Parlement européen et du Conseil relatif aux dispositifs médicaux de diagnostic in vitro</w:t>
      </w:r>
      <w:r w:rsidR="00D24D64" w:rsidRPr="00D24D64">
        <w:rPr>
          <w:b/>
        </w:rPr>
        <w:t xml:space="preserve"> </w:t>
      </w:r>
      <w:r w:rsidRPr="00C31285">
        <w:rPr>
          <w:b/>
        </w:rPr>
        <w:t>[première lecture]</w:t>
      </w:r>
    </w:p>
    <w:p w:rsidR="0023471F" w:rsidRPr="00C31285" w:rsidRDefault="0023471F" w:rsidP="0023471F">
      <w:pPr>
        <w:pStyle w:val="Text1"/>
        <w:rPr>
          <w:i/>
          <w:iCs/>
        </w:rPr>
      </w:pPr>
      <w:r w:rsidRPr="00C31285">
        <w:rPr>
          <w:i/>
        </w:rPr>
        <w:t>(Base juridique proposée par la Commission: Article 114 et article 168, paragraphe 4, point c), du TFUE)</w:t>
      </w:r>
    </w:p>
    <w:p w:rsidR="0023471F" w:rsidRPr="00C31285" w:rsidRDefault="0023471F" w:rsidP="0023471F">
      <w:pPr>
        <w:pStyle w:val="Text1"/>
        <w:rPr>
          <w:rFonts w:eastAsia="Calibri" w:cs="Arial"/>
          <w:i/>
          <w:iCs/>
          <w:szCs w:val="22"/>
        </w:rPr>
      </w:pPr>
      <w:r w:rsidRPr="00C31285">
        <w:rPr>
          <w:i/>
        </w:rPr>
        <w:t>Dossier interinstitutionnel: 2012/0267 (COD)</w:t>
      </w:r>
    </w:p>
    <w:p w:rsidR="0023471F" w:rsidRPr="00C31285" w:rsidRDefault="0023471F" w:rsidP="0023471F">
      <w:pPr>
        <w:pStyle w:val="Dash1"/>
        <w:rPr>
          <w:b/>
          <w:bCs/>
        </w:rPr>
      </w:pPr>
      <w:r w:rsidRPr="00C31285">
        <w:t>Orientation générale partielle (●)</w:t>
      </w:r>
    </w:p>
    <w:p w:rsidR="0023471F" w:rsidRPr="00C31285" w:rsidRDefault="0023471F" w:rsidP="0023471F">
      <w:pPr>
        <w:pStyle w:val="Text3"/>
        <w:tabs>
          <w:tab w:val="right" w:pos="9356"/>
        </w:tabs>
        <w:rPr>
          <w:lang w:val="it-IT"/>
        </w:rPr>
      </w:pPr>
      <w:r w:rsidRPr="00C31285">
        <w:rPr>
          <w:lang w:val="it-IT"/>
        </w:rPr>
        <w:t>14493/12 PHARM 71 SAN 215 MI 597 COMPET 600 CODEC 2305</w:t>
      </w:r>
    </w:p>
    <w:p w:rsidR="0023471F" w:rsidRPr="00C31285" w:rsidRDefault="0023471F" w:rsidP="0023471F">
      <w:pPr>
        <w:pStyle w:val="Text3"/>
        <w:tabs>
          <w:tab w:val="right" w:pos="9356"/>
        </w:tabs>
        <w:rPr>
          <w:lang w:val="it-IT"/>
        </w:rPr>
      </w:pPr>
      <w:r w:rsidRPr="00C31285">
        <w:rPr>
          <w:lang w:val="it-IT"/>
        </w:rPr>
        <w:t>14499/12 PHARM 72 SAN 216 MI 598 COMPET 599 CODEC 2312</w:t>
      </w:r>
    </w:p>
    <w:p w:rsidR="0023471F" w:rsidRPr="00C31285" w:rsidRDefault="0023471F" w:rsidP="0023471F">
      <w:pPr>
        <w:pStyle w:val="Text3"/>
        <w:tabs>
          <w:tab w:val="right" w:pos="9356"/>
        </w:tabs>
        <w:rPr>
          <w:lang w:val="it-IT"/>
        </w:rPr>
      </w:pPr>
      <w:r w:rsidRPr="00C31285">
        <w:rPr>
          <w:lang w:val="it-IT"/>
        </w:rPr>
        <w:t>9773/15 PHARM 28 SAN 178 MI 393 COMPET 306 CODEC 860</w:t>
      </w:r>
    </w:p>
    <w:p w:rsidR="0023471F" w:rsidRPr="00C31285" w:rsidRDefault="0023471F" w:rsidP="0023471F">
      <w:pPr>
        <w:pStyle w:val="Text3"/>
        <w:tabs>
          <w:tab w:val="right" w:pos="9356"/>
        </w:tabs>
        <w:rPr>
          <w:lang w:val="it-IT"/>
        </w:rPr>
      </w:pPr>
      <w:r w:rsidRPr="00C31285">
        <w:rPr>
          <w:lang w:val="it-IT"/>
        </w:rPr>
        <w:t>9769/15 PHARM 26 SAN 176 MI 391 COMPET 304 CODEC 858</w:t>
      </w:r>
    </w:p>
    <w:p w:rsidR="0023471F" w:rsidRPr="00C31285" w:rsidRDefault="0023471F" w:rsidP="0023471F">
      <w:pPr>
        <w:pStyle w:val="Text4"/>
        <w:rPr>
          <w:lang w:val="it-IT"/>
        </w:rPr>
      </w:pPr>
      <w:r w:rsidRPr="00C31285">
        <w:rPr>
          <w:lang w:val="it-IT"/>
        </w:rPr>
        <w:t>+ ADD 1</w:t>
      </w:r>
    </w:p>
    <w:p w:rsidR="0023471F" w:rsidRPr="00C31285" w:rsidRDefault="0023471F" w:rsidP="0023471F">
      <w:pPr>
        <w:pStyle w:val="Text3"/>
        <w:tabs>
          <w:tab w:val="right" w:pos="9356"/>
        </w:tabs>
        <w:rPr>
          <w:lang w:val="it-IT"/>
        </w:rPr>
      </w:pPr>
      <w:r w:rsidRPr="00C31285">
        <w:rPr>
          <w:lang w:val="it-IT"/>
        </w:rPr>
        <w:t>9770/15 PHARM 27 SAN 177 MI 392 COMPET 305 CODEC 859</w:t>
      </w:r>
    </w:p>
    <w:p w:rsidR="0023471F" w:rsidRPr="00C31285" w:rsidRDefault="0023471F" w:rsidP="0023471F">
      <w:pPr>
        <w:pStyle w:val="Text4"/>
      </w:pPr>
      <w:r w:rsidRPr="00C31285">
        <w:t>+ ADD 1</w:t>
      </w:r>
    </w:p>
    <w:p w:rsidR="0023471F" w:rsidRPr="00C31285" w:rsidRDefault="0023471F" w:rsidP="0023471F">
      <w:pPr>
        <w:pStyle w:val="Text1"/>
        <w:spacing w:before="240" w:line="360" w:lineRule="auto"/>
        <w:rPr>
          <w:u w:val="single"/>
        </w:rPr>
      </w:pPr>
      <w:r w:rsidRPr="00C31285">
        <w:rPr>
          <w:u w:val="single"/>
        </w:rPr>
        <w:t>Le Conseil</w:t>
      </w:r>
    </w:p>
    <w:p w:rsidR="0023471F" w:rsidRPr="00C31285" w:rsidRDefault="0023471F" w:rsidP="0023471F">
      <w:pPr>
        <w:pStyle w:val="Dash1"/>
        <w:spacing w:line="360" w:lineRule="auto"/>
      </w:pPr>
      <w:r w:rsidRPr="00C31285">
        <w:t>a dégagé une orientation générale partielle (à l'exclusion des considérants) qui figure dans le doc. 9769/15 + ADD 1 en ce qui concerne le projet de règlement relatif aux dispositifs médicaux;</w:t>
      </w:r>
    </w:p>
    <w:p w:rsidR="0023471F" w:rsidRPr="00C31285" w:rsidRDefault="0023471F" w:rsidP="0023471F">
      <w:pPr>
        <w:pStyle w:val="Dash1"/>
        <w:spacing w:line="360" w:lineRule="auto"/>
      </w:pPr>
      <w:r w:rsidRPr="00C31285">
        <w:t>a accepté une dérogation linguistique pour le projet de règlement relatif aux dispositifs médicaux de diagnostic in vitro et a dégagé une or</w:t>
      </w:r>
      <w:r w:rsidR="00BA117D">
        <w:t>ientation générale partielle (à </w:t>
      </w:r>
      <w:r w:rsidRPr="00C31285">
        <w:t>l'exclusion des considérants) qui figure dans le doc. 9770/15 + ADD 1 en ce qui concerne ce projet de règlement;</w:t>
      </w:r>
    </w:p>
    <w:p w:rsidR="0023471F" w:rsidRPr="00C31285" w:rsidRDefault="0023471F" w:rsidP="0023471F">
      <w:pPr>
        <w:pStyle w:val="Text1"/>
        <w:spacing w:before="120" w:after="120"/>
      </w:pPr>
      <w:r w:rsidRPr="00C31285">
        <w:t>et</w:t>
      </w:r>
    </w:p>
    <w:p w:rsidR="0023471F" w:rsidRPr="00C31285" w:rsidRDefault="0023471F" w:rsidP="0023471F">
      <w:pPr>
        <w:pStyle w:val="Dash1"/>
        <w:spacing w:line="360" w:lineRule="auto"/>
      </w:pPr>
      <w:r w:rsidRPr="00C31285">
        <w:t xml:space="preserve">a chargé ses instances préparatoires d'examiner les </w:t>
      </w:r>
      <w:r w:rsidR="00BA117D">
        <w:t>considérants et de vérifier les </w:t>
      </w:r>
      <w:r w:rsidRPr="00C31285">
        <w:t>dispositifs pour repérer les incohérences techniques</w:t>
      </w:r>
      <w:r w:rsidR="00BA117D">
        <w:t xml:space="preserve"> afin de préparer la voie à des </w:t>
      </w:r>
      <w:r w:rsidRPr="00C31285">
        <w:t>orientations générales complètes pour les deux projets de règlements.</w:t>
      </w:r>
    </w:p>
    <w:p w:rsidR="0023471F" w:rsidRPr="00C31285" w:rsidRDefault="0023471F" w:rsidP="0004616C">
      <w:pPr>
        <w:pStyle w:val="PointManual"/>
        <w:pageBreakBefore/>
        <w:spacing w:before="600"/>
      </w:pPr>
      <w:r w:rsidRPr="00C31285">
        <w:rPr>
          <w:b/>
        </w:rPr>
        <w:t>10.</w:t>
      </w:r>
      <w:r w:rsidRPr="00C31285">
        <w:tab/>
      </w:r>
      <w:r w:rsidRPr="00C31285">
        <w:rPr>
          <w:b/>
          <w:u w:val="single"/>
        </w:rPr>
        <w:t>Divers</w:t>
      </w:r>
    </w:p>
    <w:p w:rsidR="00FB71A3" w:rsidRPr="00C31285" w:rsidRDefault="0023471F" w:rsidP="0023471F">
      <w:pPr>
        <w:pStyle w:val="PointManual1"/>
        <w:spacing w:before="240"/>
        <w:rPr>
          <w:b/>
          <w:bCs/>
        </w:rPr>
      </w:pPr>
      <w:r w:rsidRPr="00C31285">
        <w:rPr>
          <w:b/>
        </w:rPr>
        <w:t>a)</w:t>
      </w:r>
      <w:r w:rsidRPr="00C31285">
        <w:tab/>
      </w:r>
      <w:r w:rsidRPr="00C31285">
        <w:rPr>
          <w:b/>
        </w:rPr>
        <w:t>Un nouveau cadre pour la politique de l'UE en matière d'alcool</w:t>
      </w:r>
    </w:p>
    <w:p w:rsidR="00FB71A3" w:rsidRPr="00C31285" w:rsidRDefault="0023471F" w:rsidP="0023471F">
      <w:pPr>
        <w:pStyle w:val="Dash2"/>
        <w:rPr>
          <w:rFonts w:eastAsia="Calibri"/>
        </w:rPr>
      </w:pPr>
      <w:r w:rsidRPr="00C31285">
        <w:t>Informations communiquées par la délégation slovène</w:t>
      </w:r>
    </w:p>
    <w:p w:rsidR="0023471F" w:rsidRPr="00C31285" w:rsidRDefault="0023471F" w:rsidP="0023471F">
      <w:pPr>
        <w:pStyle w:val="Text3"/>
        <w:rPr>
          <w:rFonts w:eastAsia="Calibri"/>
        </w:rPr>
      </w:pPr>
      <w:r w:rsidRPr="00C31285">
        <w:t>9286/15 SAN 160</w:t>
      </w:r>
    </w:p>
    <w:p w:rsidR="0023471F" w:rsidRPr="00C31285" w:rsidRDefault="0023471F" w:rsidP="0023471F">
      <w:pPr>
        <w:pStyle w:val="Text2"/>
        <w:spacing w:before="200" w:line="312" w:lineRule="auto"/>
        <w:rPr>
          <w:rFonts w:eastAsia="Calibri"/>
        </w:rPr>
      </w:pPr>
      <w:r w:rsidRPr="00C31285">
        <w:rPr>
          <w:u w:val="single"/>
        </w:rPr>
        <w:t>Le Conseil</w:t>
      </w:r>
      <w:r w:rsidRPr="00C31285">
        <w:t xml:space="preserve"> a pris note des informations communiquées par la délégation slovène dans le cadre de ce point et des interventions de vingt délégations qui y ont apporté leur soutien.</w:t>
      </w:r>
    </w:p>
    <w:p w:rsidR="0023471F" w:rsidRPr="00C31285" w:rsidRDefault="0023471F" w:rsidP="0023471F">
      <w:pPr>
        <w:pStyle w:val="PointManual1"/>
        <w:spacing w:before="480"/>
        <w:rPr>
          <w:rFonts w:eastAsia="Calibri"/>
          <w:b/>
          <w:bCs/>
        </w:rPr>
      </w:pPr>
      <w:r w:rsidRPr="00C31285">
        <w:rPr>
          <w:b/>
        </w:rPr>
        <w:t>b)</w:t>
      </w:r>
      <w:r w:rsidRPr="00C31285">
        <w:tab/>
      </w:r>
      <w:r w:rsidRPr="00C31285">
        <w:rPr>
          <w:b/>
        </w:rPr>
        <w:t>L'importance de la dimension relative à la santé dans le programme européen en matière de migration</w:t>
      </w:r>
    </w:p>
    <w:p w:rsidR="0023471F" w:rsidRPr="00C31285" w:rsidRDefault="0023471F" w:rsidP="0023471F">
      <w:pPr>
        <w:pStyle w:val="Dash2"/>
        <w:rPr>
          <w:rFonts w:eastAsia="Calibri"/>
        </w:rPr>
      </w:pPr>
      <w:r w:rsidRPr="00C31285">
        <w:t>Informations communiquées par les délégations c</w:t>
      </w:r>
      <w:r w:rsidR="00BA117D">
        <w:t>hypriote, grecque, italienne et </w:t>
      </w:r>
      <w:r w:rsidRPr="00C31285">
        <w:t>maltaise</w:t>
      </w:r>
    </w:p>
    <w:p w:rsidR="00FB71A3" w:rsidRPr="00C31285" w:rsidRDefault="0023471F" w:rsidP="0023471F">
      <w:pPr>
        <w:pStyle w:val="Text3"/>
        <w:rPr>
          <w:rFonts w:eastAsia="Calibri"/>
        </w:rPr>
      </w:pPr>
      <w:r w:rsidRPr="00C31285">
        <w:t>9479/15 SAN 165 MIGR 31 SOC 382 DEVGEN 88</w:t>
      </w:r>
    </w:p>
    <w:p w:rsidR="0023471F" w:rsidRPr="00C31285" w:rsidRDefault="0023471F" w:rsidP="0023471F">
      <w:pPr>
        <w:pStyle w:val="Text2"/>
        <w:spacing w:before="200" w:line="312" w:lineRule="auto"/>
        <w:rPr>
          <w:rFonts w:eastAsia="Calibri"/>
        </w:rPr>
      </w:pPr>
      <w:r w:rsidRPr="00C31285">
        <w:rPr>
          <w:u w:val="single"/>
        </w:rPr>
        <w:t>Le Conseil</w:t>
      </w:r>
      <w:r w:rsidRPr="00C31285">
        <w:t xml:space="preserve"> a pris note des informations présentées par les délégations chypriote, grecque, italienne et maltaise et des interventions d'autres délégations.</w:t>
      </w:r>
    </w:p>
    <w:p w:rsidR="0023471F" w:rsidRPr="00C31285" w:rsidRDefault="0023471F" w:rsidP="0023471F">
      <w:pPr>
        <w:pStyle w:val="PointManual1"/>
        <w:spacing w:before="480"/>
        <w:rPr>
          <w:rFonts w:eastAsia="Calibri"/>
          <w:b/>
          <w:bCs/>
        </w:rPr>
      </w:pPr>
      <w:r w:rsidRPr="00C31285">
        <w:rPr>
          <w:b/>
        </w:rPr>
        <w:t>c)</w:t>
      </w:r>
      <w:r w:rsidRPr="00C31285">
        <w:tab/>
      </w:r>
      <w:r w:rsidRPr="00C31285">
        <w:rPr>
          <w:b/>
        </w:rPr>
        <w:t>Un cas de diphtérie en Espagne</w:t>
      </w:r>
    </w:p>
    <w:p w:rsidR="0023471F" w:rsidRPr="00C31285" w:rsidRDefault="0023471F" w:rsidP="00AA161D">
      <w:pPr>
        <w:pStyle w:val="Dash2"/>
        <w:numPr>
          <w:ilvl w:val="0"/>
          <w:numId w:val="1"/>
        </w:numPr>
        <w:spacing w:after="120"/>
        <w:rPr>
          <w:rFonts w:eastAsia="Calibri"/>
        </w:rPr>
      </w:pPr>
      <w:r w:rsidRPr="00C31285">
        <w:t>Informations communiquées par la délégation espagnole</w:t>
      </w:r>
    </w:p>
    <w:p w:rsidR="0023471F" w:rsidRPr="00C31285" w:rsidRDefault="0023471F" w:rsidP="0023471F">
      <w:pPr>
        <w:pStyle w:val="Text2"/>
        <w:spacing w:before="200" w:line="312" w:lineRule="auto"/>
      </w:pPr>
      <w:r w:rsidRPr="00C31285">
        <w:rPr>
          <w:u w:val="single"/>
        </w:rPr>
        <w:t>Le Conseil</w:t>
      </w:r>
      <w:r w:rsidRPr="00C31285">
        <w:t xml:space="preserve"> a pris note des informations communiquées par la délégation espagnole.</w:t>
      </w:r>
    </w:p>
    <w:p w:rsidR="0023471F" w:rsidRPr="00C31285" w:rsidRDefault="0023471F" w:rsidP="0023471F">
      <w:pPr>
        <w:pStyle w:val="PointManual1"/>
        <w:spacing w:before="480"/>
        <w:rPr>
          <w:rFonts w:eastAsia="Calibri"/>
          <w:b/>
          <w:bCs/>
        </w:rPr>
      </w:pPr>
      <w:r w:rsidRPr="00C31285">
        <w:rPr>
          <w:b/>
        </w:rPr>
        <w:t>d)</w:t>
      </w:r>
      <w:r w:rsidRPr="00C31285">
        <w:tab/>
      </w:r>
      <w:r w:rsidRPr="00C31285">
        <w:rPr>
          <w:b/>
        </w:rPr>
        <w:t>Programme de travail de la future présidence</w:t>
      </w:r>
    </w:p>
    <w:p w:rsidR="0023471F" w:rsidRPr="00C31285" w:rsidRDefault="0023471F" w:rsidP="00AA161D">
      <w:pPr>
        <w:pStyle w:val="Dash2"/>
        <w:numPr>
          <w:ilvl w:val="0"/>
          <w:numId w:val="1"/>
        </w:numPr>
        <w:spacing w:after="120"/>
      </w:pPr>
      <w:r w:rsidRPr="00C31285">
        <w:t>Informations communiquées par la délégation luxembourgeoise</w:t>
      </w:r>
    </w:p>
    <w:p w:rsidR="00BB5757" w:rsidRPr="00C31285" w:rsidRDefault="0023471F" w:rsidP="0004616C">
      <w:pPr>
        <w:pStyle w:val="Text2"/>
        <w:spacing w:line="360" w:lineRule="auto"/>
      </w:pPr>
      <w:r w:rsidRPr="00C31285">
        <w:rPr>
          <w:u w:val="single"/>
        </w:rPr>
        <w:t>Le Conseil</w:t>
      </w:r>
      <w:r w:rsidRPr="00C31285">
        <w:t xml:space="preserve"> a pris note des informations communiquées par la future présidence sur son programme de travail.</w:t>
      </w:r>
    </w:p>
    <w:p w:rsidR="00BB5757" w:rsidRPr="00C31285" w:rsidRDefault="00BB5757" w:rsidP="00BB5757">
      <w:pPr>
        <w:pStyle w:val="NormalCentered"/>
      </w:pPr>
      <w:r w:rsidRPr="00C31285">
        <w:t>************</w:t>
      </w:r>
    </w:p>
    <w:p w:rsidR="00BB5757" w:rsidRPr="00C31285" w:rsidRDefault="00BB5757" w:rsidP="00BB5757">
      <w:pPr>
        <w:pStyle w:val="NormalRight"/>
        <w:spacing w:before="0"/>
        <w:rPr>
          <w:b/>
          <w:u w:val="single"/>
        </w:rPr>
      </w:pPr>
      <w:r w:rsidRPr="00C31285">
        <w:br w:type="page"/>
      </w:r>
      <w:r w:rsidRPr="00C31285">
        <w:rPr>
          <w:b/>
          <w:u w:val="single"/>
        </w:rPr>
        <w:t>ANNEXE</w:t>
      </w:r>
    </w:p>
    <w:p w:rsidR="00BB5757" w:rsidRPr="00C31285" w:rsidRDefault="00BB5757" w:rsidP="00BB5757">
      <w:pPr>
        <w:pStyle w:val="HeadingCentered"/>
        <w:spacing w:before="1440" w:after="1440"/>
      </w:pPr>
      <w:r w:rsidRPr="00C31285">
        <w:t>DÉCLARATION À INSCRIRE AU PROCÈS-VERBAL DU CONSEIL</w:t>
      </w:r>
    </w:p>
    <w:tbl>
      <w:tblPr>
        <w:tblW w:w="0" w:type="auto"/>
        <w:tblLook w:val="01E0" w:firstRow="1" w:lastRow="1" w:firstColumn="1" w:lastColumn="1" w:noHBand="0" w:noVBand="0"/>
      </w:tblPr>
      <w:tblGrid>
        <w:gridCol w:w="1951"/>
        <w:gridCol w:w="7904"/>
      </w:tblGrid>
      <w:tr w:rsidR="00BB5757" w:rsidRPr="00C31285" w:rsidTr="00A10C32">
        <w:trPr>
          <w:trHeight w:val="170"/>
        </w:trPr>
        <w:tc>
          <w:tcPr>
            <w:tcW w:w="1951" w:type="dxa"/>
            <w:shd w:val="clear" w:color="auto" w:fill="auto"/>
          </w:tcPr>
          <w:p w:rsidR="00BB5757" w:rsidRPr="00C31285" w:rsidRDefault="00BB5757" w:rsidP="00BB5757">
            <w:pPr>
              <w:rPr>
                <w:b/>
              </w:rPr>
            </w:pPr>
            <w:r w:rsidRPr="00C31285">
              <w:rPr>
                <w:b/>
                <w:u w:val="single"/>
              </w:rPr>
              <w:t>Concernant le point 2 de la liste des points "B"</w:t>
            </w:r>
            <w:r w:rsidRPr="00C31285">
              <w:rPr>
                <w:b/>
              </w:rPr>
              <w:t>:</w:t>
            </w:r>
          </w:p>
        </w:tc>
        <w:tc>
          <w:tcPr>
            <w:tcW w:w="7904" w:type="dxa"/>
            <w:shd w:val="clear" w:color="auto" w:fill="auto"/>
            <w:vAlign w:val="center"/>
          </w:tcPr>
          <w:p w:rsidR="00BB5757" w:rsidRPr="00C31285" w:rsidRDefault="00BB5757" w:rsidP="00BB5757">
            <w:pPr>
              <w:rPr>
                <w:b/>
              </w:rPr>
            </w:pPr>
            <w:r w:rsidRPr="00C31285">
              <w:rPr>
                <w:b/>
              </w:rPr>
              <w:t>Semestre européen 2015: Contribution à la réunion du Conseil européen (Bruxelles, 25 et 26 juin 2015)</w:t>
            </w:r>
          </w:p>
          <w:p w:rsidR="00BB5757" w:rsidRPr="00C31285" w:rsidRDefault="00BB5757" w:rsidP="00BB5757">
            <w:pPr>
              <w:pStyle w:val="PointManual"/>
              <w:spacing w:before="0"/>
              <w:rPr>
                <w:b/>
              </w:rPr>
            </w:pPr>
            <w:r w:rsidRPr="00C31285">
              <w:rPr>
                <w:b/>
              </w:rPr>
              <w:t>a)</w:t>
            </w:r>
            <w:r w:rsidR="00E61409">
              <w:tab/>
            </w:r>
            <w:r w:rsidRPr="00C31285">
              <w:rPr>
                <w:b/>
              </w:rPr>
              <w:t>Projets de recommandations du Conseil concernant les programmes nationaux de réforme pour 2015 à l'intention de chaque État membre et projet de note explicative</w:t>
            </w:r>
          </w:p>
        </w:tc>
      </w:tr>
    </w:tbl>
    <w:p w:rsidR="00BB5757" w:rsidRPr="00C31285" w:rsidRDefault="00BB5757" w:rsidP="00BB5757">
      <w:pPr>
        <w:autoSpaceDE w:val="0"/>
        <w:autoSpaceDN w:val="0"/>
        <w:adjustRightInd w:val="0"/>
        <w:spacing w:before="240"/>
        <w:rPr>
          <w:b/>
          <w:bCs/>
        </w:rPr>
      </w:pPr>
      <w:r w:rsidRPr="00C31285">
        <w:rPr>
          <w:b/>
        </w:rPr>
        <w:t>DÉCLARATION UNILATÉRALE DE LA HONGRIE</w:t>
      </w:r>
    </w:p>
    <w:p w:rsidR="00BB5757" w:rsidRPr="00C31285" w:rsidRDefault="00BB5757" w:rsidP="00BB5757">
      <w:pPr>
        <w:spacing w:before="200"/>
        <w:rPr>
          <w:rFonts w:eastAsia="Calibri"/>
          <w:color w:val="000000"/>
        </w:rPr>
      </w:pPr>
      <w:r w:rsidRPr="00C31285">
        <w:rPr>
          <w:color w:val="000000"/>
        </w:rPr>
        <w:t xml:space="preserve">"La Hongrie se doit d'exprimer son désaccord avec certaines des déclarations et deux des mesures requises dans les recommandations par pays qui la concernent. </w:t>
      </w:r>
      <w:r w:rsidRPr="00C31285">
        <w:t>Les préoccupations portent principalement sur les recommandations relatives à l'ajustement budgét</w:t>
      </w:r>
      <w:r w:rsidR="00BA117D">
        <w:t>aire chiffré et aux </w:t>
      </w:r>
      <w:r w:rsidRPr="00C31285">
        <w:t>réaffectations budgétaires en ce qui concerne le programme de travaux publics.</w:t>
      </w:r>
    </w:p>
    <w:p w:rsidR="00BB5757" w:rsidRPr="00C31285" w:rsidRDefault="00BB5757" w:rsidP="00BB5757">
      <w:pPr>
        <w:spacing w:before="240"/>
        <w:rPr>
          <w:rFonts w:eastAsia="Calibri"/>
        </w:rPr>
      </w:pPr>
      <w:r w:rsidRPr="00C31285">
        <w:t>La Hongrie exprime sa préoccupation au sujet de l'analyse m</w:t>
      </w:r>
      <w:r w:rsidR="00BA117D">
        <w:t>acroéconomique effectuée par la </w:t>
      </w:r>
      <w:r w:rsidRPr="00C31285">
        <w:t>Commission, qui ne reconnaît pas pleinement l'amélioration enregistrée par les fondamentaux économiques sous-jacents de la Hongrie (solide croissance du PIB, reprise des investissements commerciaux et croissance de l'emploi dans le secteur des entreprises, par exemple).</w:t>
      </w:r>
    </w:p>
    <w:p w:rsidR="00BB5757" w:rsidRPr="00C31285" w:rsidRDefault="00BB5757" w:rsidP="00BB5757">
      <w:pPr>
        <w:spacing w:before="240"/>
        <w:rPr>
          <w:rFonts w:eastAsia="Calibri"/>
          <w:color w:val="000000"/>
        </w:rPr>
      </w:pPr>
      <w:r w:rsidRPr="00C31285">
        <w:t>La Hongrie confirme qu'elle est toujours résolue à poursuivre la politique économique fondée sur la stabilité budgétaire et une croissance durable qui semble avoir produit des résultats encourageants, tant il est vrai que la Hongrie a enregistré le deuxième taux de croissance parmi les États membres de l'UE en 2014 et qu'elle a pu, dans le même temps, réduire le volume de sa dette publique et garder le déficit public bien en dessous du niveau des 3 pour cent.</w:t>
      </w:r>
    </w:p>
    <w:p w:rsidR="00BB5757" w:rsidRPr="00C31285" w:rsidRDefault="00BB5757" w:rsidP="00BB5757">
      <w:pPr>
        <w:spacing w:before="240"/>
        <w:rPr>
          <w:rFonts w:eastAsia="Calibri"/>
          <w:color w:val="000000"/>
        </w:rPr>
      </w:pPr>
      <w:r w:rsidRPr="00C31285">
        <w:t>Tout en confirmant la détermination de son gouvernement de res</w:t>
      </w:r>
      <w:r w:rsidR="00BA117D">
        <w:t>pecter pleinement les règles du </w:t>
      </w:r>
      <w:r w:rsidRPr="00C31285">
        <w:t>pacte de stabilité et de croissance, la Hongrie estime qu'il n'est pas justifié d'assortir de chiffres concrets un ajustement budgétaire donné.</w:t>
      </w:r>
      <w:r w:rsidRPr="00C31285">
        <w:rPr>
          <w:color w:val="000000"/>
        </w:rPr>
        <w:t xml:space="preserve"> </w:t>
      </w:r>
      <w:r w:rsidRPr="00C31285">
        <w:t xml:space="preserve">La Hongrie rappelle </w:t>
      </w:r>
      <w:r w:rsidR="00BA117D">
        <w:t>que les chiffres recommandés ne </w:t>
      </w:r>
      <w:r w:rsidRPr="00C31285">
        <w:t>correspondent ni à l'exposé figurant dans le préambule, ni à l'hi</w:t>
      </w:r>
      <w:r w:rsidR="00BA117D">
        <w:t>storique des prévisions de la </w:t>
      </w:r>
      <w:r w:rsidRPr="00C31285">
        <w:t>Commission sur les chiffres macroéconomiques, y compris les p</w:t>
      </w:r>
      <w:r w:rsidR="00BA117D">
        <w:t>révisions pour la croissance en </w:t>
      </w:r>
      <w:r w:rsidRPr="00C31285">
        <w:t>Hongrie</w:t>
      </w:r>
      <w:r w:rsidRPr="00C31285">
        <w:rPr>
          <w:rStyle w:val="FootnoteReference"/>
        </w:rPr>
        <w:footnoteReference w:id="1"/>
      </w:r>
      <w:r w:rsidRPr="00C31285">
        <w:t>.</w:t>
      </w:r>
    </w:p>
    <w:p w:rsidR="00BB5757" w:rsidRPr="00C31285" w:rsidRDefault="00BB5757" w:rsidP="00C9113C">
      <w:pPr>
        <w:pageBreakBefore/>
        <w:spacing w:before="600"/>
        <w:rPr>
          <w:rFonts w:eastAsia="Calibri"/>
          <w:color w:val="000000"/>
        </w:rPr>
      </w:pPr>
      <w:r w:rsidRPr="00C31285">
        <w:t>La Hongrie ne peut marquer son accord sur la recommandation concernant la réaffectation budgétaire relative au programme de travaux publics.</w:t>
      </w:r>
      <w:r w:rsidRPr="00C31285">
        <w:rPr>
          <w:color w:val="000000"/>
        </w:rPr>
        <w:t xml:space="preserve"> </w:t>
      </w:r>
      <w:r w:rsidRPr="00C31285">
        <w:t>L'analyse de la Commission concernant ce programme de travaux publics ne prend pas en compte le rôle important</w:t>
      </w:r>
      <w:r w:rsidR="00BA117D">
        <w:t xml:space="preserve"> qu'il joue en tant qu'outil de </w:t>
      </w:r>
      <w:r w:rsidRPr="00C31285">
        <w:t>politique sociale et mesure inclusive en matière de développement régional et elle donne l'impression qu'il n'existe en Hongrie aucune politique active du marché de l'emploi. Afin d'améliorer la transition entre travaux publics et marché du travail primaire, le gouvernement hongrois est résolu à améliorer, néanmoins, le ciblage du programme de travau</w:t>
      </w:r>
      <w:r w:rsidR="00BA117D">
        <w:t>x publics et à </w:t>
      </w:r>
      <w:r w:rsidRPr="00C31285">
        <w:t>renforcer ses politiques actives en faveur du marché de l'emploi afin d'aider les demandeurs d'emploi à trouver un nouveau travail.</w:t>
      </w:r>
    </w:p>
    <w:p w:rsidR="00961AF2" w:rsidRPr="00C31285" w:rsidRDefault="00BB5757" w:rsidP="00BB5757">
      <w:pPr>
        <w:spacing w:before="240"/>
        <w:rPr>
          <w:rFonts w:eastAsia="Calibri"/>
        </w:rPr>
      </w:pPr>
      <w:r w:rsidRPr="00C31285">
        <w:t>La Hongrie sera en mesure d'accepter les recommandations par pays si celles-ci sont solidement fondées, s'appuyant sur une évaluation correcte et équilibrée et sur des données réelles, et si elles définissent les objectifs à poursuivre et permettent de choisir au niveau national les moyens appropriés pour atteindre les objectifs convenus."</w:t>
      </w:r>
    </w:p>
    <w:p w:rsidR="00FC4670" w:rsidRPr="00F70BBA" w:rsidRDefault="00FC4670" w:rsidP="00961AF2">
      <w:pPr>
        <w:pStyle w:val="FinalLine"/>
      </w:pPr>
    </w:p>
    <w:sectPr w:rsidR="00FC4670" w:rsidRPr="00F70BBA" w:rsidSect="00C22D61">
      <w:footerReference w:type="default" r:id="rId9"/>
      <w:footerReference w:type="first" r:id="rId10"/>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F2" w:rsidRDefault="00961AF2" w:rsidP="00961AF2">
      <w:r>
        <w:separator/>
      </w:r>
    </w:p>
  </w:endnote>
  <w:endnote w:type="continuationSeparator" w:id="0">
    <w:p w:rsidR="00961AF2" w:rsidRDefault="00961AF2" w:rsidP="00961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C22D61" w:rsidRPr="00D94637" w:rsidTr="00C22D61">
      <w:trPr>
        <w:jc w:val="center"/>
      </w:trPr>
      <w:tc>
        <w:tcPr>
          <w:tcW w:w="5000" w:type="pct"/>
          <w:gridSpan w:val="7"/>
          <w:shd w:val="clear" w:color="auto" w:fill="auto"/>
          <w:tcMar>
            <w:top w:w="57" w:type="dxa"/>
          </w:tcMar>
        </w:tcPr>
        <w:p w:rsidR="00C22D61" w:rsidRPr="00D94637" w:rsidRDefault="00C22D61" w:rsidP="00D94637">
          <w:pPr>
            <w:pStyle w:val="FooterText"/>
            <w:pBdr>
              <w:top w:val="single" w:sz="4" w:space="1" w:color="auto"/>
            </w:pBdr>
            <w:spacing w:before="200"/>
            <w:rPr>
              <w:sz w:val="2"/>
              <w:szCs w:val="2"/>
            </w:rPr>
          </w:pPr>
          <w:bookmarkStart w:id="2" w:name="FOOTER_STANDARD"/>
        </w:p>
      </w:tc>
    </w:tr>
    <w:tr w:rsidR="00C22D61" w:rsidRPr="00B310DC" w:rsidTr="00C22D61">
      <w:trPr>
        <w:jc w:val="center"/>
      </w:trPr>
      <w:tc>
        <w:tcPr>
          <w:tcW w:w="2500" w:type="pct"/>
          <w:gridSpan w:val="2"/>
          <w:shd w:val="clear" w:color="auto" w:fill="auto"/>
          <w:tcMar>
            <w:top w:w="0" w:type="dxa"/>
          </w:tcMar>
        </w:tcPr>
        <w:p w:rsidR="00C22D61" w:rsidRPr="00AD7BF2" w:rsidRDefault="00C22D61" w:rsidP="004F54B2">
          <w:pPr>
            <w:pStyle w:val="FooterText"/>
          </w:pPr>
          <w:r>
            <w:t>10171/1/15</w:t>
          </w:r>
          <w:r w:rsidRPr="002511D8">
            <w:t xml:space="preserve"> </w:t>
          </w:r>
          <w:r>
            <w:t>REV 1</w:t>
          </w:r>
        </w:p>
      </w:tc>
      <w:tc>
        <w:tcPr>
          <w:tcW w:w="625" w:type="pct"/>
          <w:shd w:val="clear" w:color="auto" w:fill="auto"/>
          <w:tcMar>
            <w:top w:w="0" w:type="dxa"/>
          </w:tcMar>
        </w:tcPr>
        <w:p w:rsidR="00C22D61" w:rsidRPr="00AD7BF2" w:rsidRDefault="00C22D61" w:rsidP="00D94637">
          <w:pPr>
            <w:pStyle w:val="FooterText"/>
            <w:jc w:val="center"/>
          </w:pPr>
        </w:p>
      </w:tc>
      <w:tc>
        <w:tcPr>
          <w:tcW w:w="1287" w:type="pct"/>
          <w:gridSpan w:val="3"/>
          <w:shd w:val="clear" w:color="auto" w:fill="auto"/>
          <w:tcMar>
            <w:top w:w="0" w:type="dxa"/>
          </w:tcMar>
        </w:tcPr>
        <w:p w:rsidR="00C22D61" w:rsidRPr="002511D8" w:rsidRDefault="00C22D61" w:rsidP="00D94637">
          <w:pPr>
            <w:pStyle w:val="FooterText"/>
            <w:jc w:val="center"/>
          </w:pPr>
          <w:r>
            <w:t>ms</w:t>
          </w:r>
        </w:p>
      </w:tc>
      <w:tc>
        <w:tcPr>
          <w:tcW w:w="588" w:type="pct"/>
          <w:shd w:val="clear" w:color="auto" w:fill="auto"/>
          <w:tcMar>
            <w:top w:w="0" w:type="dxa"/>
          </w:tcMar>
        </w:tcPr>
        <w:p w:rsidR="00C22D61" w:rsidRPr="00B310DC" w:rsidRDefault="00C22D61" w:rsidP="00D94637">
          <w:pPr>
            <w:pStyle w:val="FooterText"/>
            <w:jc w:val="right"/>
          </w:pPr>
          <w:r>
            <w:fldChar w:fldCharType="begin"/>
          </w:r>
          <w:r>
            <w:instrText xml:space="preserve"> PAGE  \* MERGEFORMAT </w:instrText>
          </w:r>
          <w:r>
            <w:fldChar w:fldCharType="separate"/>
          </w:r>
          <w:r w:rsidR="00EF3918">
            <w:rPr>
              <w:noProof/>
            </w:rPr>
            <w:t>2</w:t>
          </w:r>
          <w:r>
            <w:fldChar w:fldCharType="end"/>
          </w:r>
        </w:p>
      </w:tc>
    </w:tr>
    <w:tr w:rsidR="00C22D61" w:rsidRPr="00D94637" w:rsidTr="00C22D61">
      <w:trPr>
        <w:jc w:val="center"/>
      </w:trPr>
      <w:tc>
        <w:tcPr>
          <w:tcW w:w="1774" w:type="pct"/>
          <w:shd w:val="clear" w:color="auto" w:fill="auto"/>
        </w:tcPr>
        <w:p w:rsidR="00C22D61" w:rsidRPr="00AD7BF2" w:rsidRDefault="00C22D61" w:rsidP="00D94637">
          <w:pPr>
            <w:pStyle w:val="FooterText"/>
            <w:spacing w:before="40"/>
          </w:pPr>
        </w:p>
      </w:tc>
      <w:tc>
        <w:tcPr>
          <w:tcW w:w="1455" w:type="pct"/>
          <w:gridSpan w:val="3"/>
          <w:shd w:val="clear" w:color="auto" w:fill="auto"/>
        </w:tcPr>
        <w:p w:rsidR="00C22D61" w:rsidRPr="00AD7BF2" w:rsidRDefault="00C22D61" w:rsidP="00D204D6">
          <w:pPr>
            <w:pStyle w:val="FooterText"/>
            <w:spacing w:before="40"/>
            <w:jc w:val="center"/>
          </w:pPr>
          <w:r>
            <w:t>DG B4</w:t>
          </w:r>
        </w:p>
      </w:tc>
      <w:tc>
        <w:tcPr>
          <w:tcW w:w="1147" w:type="pct"/>
          <w:shd w:val="clear" w:color="auto" w:fill="auto"/>
        </w:tcPr>
        <w:p w:rsidR="00C22D61" w:rsidRPr="00D94637" w:rsidRDefault="00C22D61" w:rsidP="00D94637">
          <w:pPr>
            <w:pStyle w:val="FooterText"/>
            <w:jc w:val="right"/>
            <w:rPr>
              <w:b/>
              <w:position w:val="-4"/>
              <w:sz w:val="36"/>
            </w:rPr>
          </w:pPr>
        </w:p>
      </w:tc>
      <w:tc>
        <w:tcPr>
          <w:tcW w:w="625" w:type="pct"/>
          <w:gridSpan w:val="2"/>
          <w:shd w:val="clear" w:color="auto" w:fill="auto"/>
        </w:tcPr>
        <w:p w:rsidR="00C22D61" w:rsidRPr="00D94637" w:rsidRDefault="00C22D61" w:rsidP="00D94637">
          <w:pPr>
            <w:pStyle w:val="FooterText"/>
            <w:jc w:val="right"/>
            <w:rPr>
              <w:sz w:val="16"/>
            </w:rPr>
          </w:pPr>
          <w:r>
            <w:rPr>
              <w:b/>
              <w:position w:val="-4"/>
              <w:sz w:val="36"/>
            </w:rPr>
            <w:t>FR</w:t>
          </w:r>
        </w:p>
      </w:tc>
    </w:tr>
    <w:bookmarkEnd w:id="2"/>
  </w:tbl>
  <w:p w:rsidR="00961AF2" w:rsidRPr="00C22D61" w:rsidRDefault="00961AF2" w:rsidP="00C22D61">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C22D61" w:rsidRPr="00D94637" w:rsidTr="00C22D61">
      <w:trPr>
        <w:jc w:val="center"/>
      </w:trPr>
      <w:tc>
        <w:tcPr>
          <w:tcW w:w="5000" w:type="pct"/>
          <w:gridSpan w:val="7"/>
          <w:shd w:val="clear" w:color="auto" w:fill="auto"/>
          <w:tcMar>
            <w:top w:w="57" w:type="dxa"/>
          </w:tcMar>
        </w:tcPr>
        <w:p w:rsidR="00C22D61" w:rsidRPr="00D94637" w:rsidRDefault="00C22D61" w:rsidP="00D94637">
          <w:pPr>
            <w:pStyle w:val="FooterText"/>
            <w:pBdr>
              <w:top w:val="single" w:sz="4" w:space="1" w:color="auto"/>
            </w:pBdr>
            <w:spacing w:before="200"/>
            <w:rPr>
              <w:sz w:val="2"/>
              <w:szCs w:val="2"/>
            </w:rPr>
          </w:pPr>
        </w:p>
      </w:tc>
    </w:tr>
    <w:tr w:rsidR="00C22D61" w:rsidRPr="00B310DC" w:rsidTr="00C22D61">
      <w:trPr>
        <w:jc w:val="center"/>
      </w:trPr>
      <w:tc>
        <w:tcPr>
          <w:tcW w:w="2500" w:type="pct"/>
          <w:gridSpan w:val="2"/>
          <w:shd w:val="clear" w:color="auto" w:fill="auto"/>
          <w:tcMar>
            <w:top w:w="0" w:type="dxa"/>
          </w:tcMar>
        </w:tcPr>
        <w:p w:rsidR="00C22D61" w:rsidRPr="00AD7BF2" w:rsidRDefault="00C22D61" w:rsidP="004F54B2">
          <w:pPr>
            <w:pStyle w:val="FooterText"/>
          </w:pPr>
          <w:r>
            <w:t>10171/1/15</w:t>
          </w:r>
          <w:r w:rsidRPr="002511D8">
            <w:t xml:space="preserve"> </w:t>
          </w:r>
          <w:r>
            <w:t>REV 1</w:t>
          </w:r>
        </w:p>
      </w:tc>
      <w:tc>
        <w:tcPr>
          <w:tcW w:w="625" w:type="pct"/>
          <w:shd w:val="clear" w:color="auto" w:fill="auto"/>
          <w:tcMar>
            <w:top w:w="0" w:type="dxa"/>
          </w:tcMar>
        </w:tcPr>
        <w:p w:rsidR="00C22D61" w:rsidRPr="00AD7BF2" w:rsidRDefault="00C22D61" w:rsidP="00D94637">
          <w:pPr>
            <w:pStyle w:val="FooterText"/>
            <w:jc w:val="center"/>
          </w:pPr>
        </w:p>
      </w:tc>
      <w:tc>
        <w:tcPr>
          <w:tcW w:w="1287" w:type="pct"/>
          <w:gridSpan w:val="3"/>
          <w:shd w:val="clear" w:color="auto" w:fill="auto"/>
          <w:tcMar>
            <w:top w:w="0" w:type="dxa"/>
          </w:tcMar>
        </w:tcPr>
        <w:p w:rsidR="00C22D61" w:rsidRPr="002511D8" w:rsidRDefault="00C22D61" w:rsidP="00D94637">
          <w:pPr>
            <w:pStyle w:val="FooterText"/>
            <w:jc w:val="center"/>
          </w:pPr>
          <w:r>
            <w:t>ms</w:t>
          </w:r>
        </w:p>
      </w:tc>
      <w:tc>
        <w:tcPr>
          <w:tcW w:w="588" w:type="pct"/>
          <w:shd w:val="clear" w:color="auto" w:fill="auto"/>
          <w:tcMar>
            <w:top w:w="0" w:type="dxa"/>
          </w:tcMar>
        </w:tcPr>
        <w:p w:rsidR="00C22D61" w:rsidRPr="00B310DC" w:rsidRDefault="00C22D61" w:rsidP="00D94637">
          <w:pPr>
            <w:pStyle w:val="FooterText"/>
            <w:jc w:val="right"/>
          </w:pPr>
          <w:r>
            <w:fldChar w:fldCharType="begin"/>
          </w:r>
          <w:r>
            <w:instrText xml:space="preserve"> PAGE  \* MERGEFORMAT </w:instrText>
          </w:r>
          <w:r>
            <w:fldChar w:fldCharType="separate"/>
          </w:r>
          <w:r w:rsidR="00EF3918">
            <w:rPr>
              <w:noProof/>
            </w:rPr>
            <w:t>1</w:t>
          </w:r>
          <w:r>
            <w:fldChar w:fldCharType="end"/>
          </w:r>
        </w:p>
      </w:tc>
    </w:tr>
    <w:tr w:rsidR="00C22D61" w:rsidRPr="00D94637" w:rsidTr="00C22D61">
      <w:trPr>
        <w:jc w:val="center"/>
      </w:trPr>
      <w:tc>
        <w:tcPr>
          <w:tcW w:w="1774" w:type="pct"/>
          <w:shd w:val="clear" w:color="auto" w:fill="auto"/>
        </w:tcPr>
        <w:p w:rsidR="00C22D61" w:rsidRPr="00AD7BF2" w:rsidRDefault="00C22D61" w:rsidP="00D94637">
          <w:pPr>
            <w:pStyle w:val="FooterText"/>
            <w:spacing w:before="40"/>
          </w:pPr>
        </w:p>
      </w:tc>
      <w:tc>
        <w:tcPr>
          <w:tcW w:w="1455" w:type="pct"/>
          <w:gridSpan w:val="3"/>
          <w:shd w:val="clear" w:color="auto" w:fill="auto"/>
        </w:tcPr>
        <w:p w:rsidR="00C22D61" w:rsidRPr="00AD7BF2" w:rsidRDefault="00C22D61" w:rsidP="00D204D6">
          <w:pPr>
            <w:pStyle w:val="FooterText"/>
            <w:spacing w:before="40"/>
            <w:jc w:val="center"/>
          </w:pPr>
          <w:r>
            <w:t>DG B4</w:t>
          </w:r>
        </w:p>
      </w:tc>
      <w:tc>
        <w:tcPr>
          <w:tcW w:w="1147" w:type="pct"/>
          <w:shd w:val="clear" w:color="auto" w:fill="auto"/>
        </w:tcPr>
        <w:p w:rsidR="00C22D61" w:rsidRPr="00D94637" w:rsidRDefault="00C22D61" w:rsidP="00D94637">
          <w:pPr>
            <w:pStyle w:val="FooterText"/>
            <w:jc w:val="right"/>
            <w:rPr>
              <w:b/>
              <w:position w:val="-4"/>
              <w:sz w:val="36"/>
            </w:rPr>
          </w:pPr>
        </w:p>
      </w:tc>
      <w:tc>
        <w:tcPr>
          <w:tcW w:w="625" w:type="pct"/>
          <w:gridSpan w:val="2"/>
          <w:shd w:val="clear" w:color="auto" w:fill="auto"/>
        </w:tcPr>
        <w:p w:rsidR="00C22D61" w:rsidRPr="00D94637" w:rsidRDefault="00C22D61" w:rsidP="00D94637">
          <w:pPr>
            <w:pStyle w:val="FooterText"/>
            <w:jc w:val="right"/>
            <w:rPr>
              <w:sz w:val="16"/>
            </w:rPr>
          </w:pPr>
          <w:r>
            <w:rPr>
              <w:b/>
              <w:position w:val="-4"/>
              <w:sz w:val="36"/>
            </w:rPr>
            <w:t>FR</w:t>
          </w:r>
        </w:p>
      </w:tc>
    </w:tr>
  </w:tbl>
  <w:p w:rsidR="00961AF2" w:rsidRPr="00C22D61" w:rsidRDefault="00961AF2" w:rsidP="00C22D61">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F2" w:rsidRDefault="00961AF2" w:rsidP="00961AF2">
      <w:r>
        <w:separator/>
      </w:r>
    </w:p>
  </w:footnote>
  <w:footnote w:type="continuationSeparator" w:id="0">
    <w:p w:rsidR="00961AF2" w:rsidRDefault="00961AF2" w:rsidP="00961AF2">
      <w:r>
        <w:continuationSeparator/>
      </w:r>
    </w:p>
  </w:footnote>
  <w:footnote w:id="1">
    <w:p w:rsidR="00C22D61" w:rsidRDefault="00BB5757" w:rsidP="00BB5757">
      <w:pPr>
        <w:pStyle w:val="FootnoteText"/>
        <w:rPr>
          <w:noProof/>
          <w:lang w:val="fr-BE" w:eastAsia="fr-BE" w:bidi="ar-SA"/>
        </w:rPr>
      </w:pPr>
      <w:r>
        <w:rPr>
          <w:rStyle w:val="FootnoteReference"/>
        </w:rPr>
        <w:footnoteRef/>
      </w:r>
      <w:r>
        <w:tab/>
      </w:r>
    </w:p>
    <w:tbl>
      <w:tblPr>
        <w:tblStyle w:val="TableGrid"/>
        <w:tblW w:w="0" w:type="auto"/>
        <w:tblInd w:w="531" w:type="dxa"/>
        <w:tblLook w:val="04A0" w:firstRow="1" w:lastRow="0" w:firstColumn="1" w:lastColumn="0" w:noHBand="0" w:noVBand="1"/>
      </w:tblPr>
      <w:tblGrid>
        <w:gridCol w:w="4786"/>
        <w:gridCol w:w="1276"/>
        <w:gridCol w:w="1276"/>
      </w:tblGrid>
      <w:tr w:rsidR="00C22D61" w:rsidTr="00FE780D">
        <w:tc>
          <w:tcPr>
            <w:tcW w:w="4786" w:type="dxa"/>
            <w:tcBorders>
              <w:top w:val="single" w:sz="4" w:space="0" w:color="auto"/>
              <w:left w:val="nil"/>
              <w:bottom w:val="single" w:sz="4" w:space="0" w:color="auto"/>
              <w:right w:val="nil"/>
            </w:tcBorders>
          </w:tcPr>
          <w:p w:rsidR="00C22D61" w:rsidRPr="00D10A74" w:rsidRDefault="00C22D61" w:rsidP="00FE780D">
            <w:pPr>
              <w:rPr>
                <w:lang w:val="fr-BE"/>
              </w:rPr>
            </w:pPr>
            <w:r w:rsidRPr="00D10A74">
              <w:rPr>
                <w:noProof/>
                <w:lang w:val="fr-BE" w:eastAsia="en-GB"/>
              </w:rPr>
              <w:t>Croissance du PIB en %</w:t>
            </w:r>
          </w:p>
        </w:tc>
        <w:tc>
          <w:tcPr>
            <w:tcW w:w="1276" w:type="dxa"/>
            <w:tcBorders>
              <w:top w:val="single" w:sz="4" w:space="0" w:color="auto"/>
              <w:left w:val="nil"/>
              <w:bottom w:val="single" w:sz="4" w:space="0" w:color="auto"/>
              <w:right w:val="nil"/>
            </w:tcBorders>
          </w:tcPr>
          <w:p w:rsidR="00C22D61" w:rsidRDefault="00C22D61" w:rsidP="00FE780D">
            <w:pPr>
              <w:rPr>
                <w:lang w:val="fr-BE"/>
              </w:rPr>
            </w:pPr>
            <w:r>
              <w:rPr>
                <w:lang w:val="fr-BE"/>
              </w:rPr>
              <w:t>2013</w:t>
            </w:r>
          </w:p>
        </w:tc>
        <w:tc>
          <w:tcPr>
            <w:tcW w:w="1276" w:type="dxa"/>
            <w:tcBorders>
              <w:top w:val="single" w:sz="4" w:space="0" w:color="auto"/>
              <w:left w:val="nil"/>
              <w:bottom w:val="single" w:sz="4" w:space="0" w:color="auto"/>
              <w:right w:val="nil"/>
            </w:tcBorders>
          </w:tcPr>
          <w:p w:rsidR="00C22D61" w:rsidRDefault="00C22D61" w:rsidP="00FE780D">
            <w:pPr>
              <w:rPr>
                <w:lang w:val="fr-BE"/>
              </w:rPr>
            </w:pPr>
            <w:r>
              <w:rPr>
                <w:lang w:val="fr-BE"/>
              </w:rPr>
              <w:t>2014</w:t>
            </w:r>
          </w:p>
        </w:tc>
      </w:tr>
      <w:tr w:rsidR="00C22D61" w:rsidTr="00FE780D">
        <w:tc>
          <w:tcPr>
            <w:tcW w:w="4786" w:type="dxa"/>
            <w:tcBorders>
              <w:top w:val="single" w:sz="4" w:space="0" w:color="auto"/>
              <w:left w:val="nil"/>
              <w:bottom w:val="nil"/>
              <w:right w:val="nil"/>
            </w:tcBorders>
          </w:tcPr>
          <w:p w:rsidR="00C22D61" w:rsidRPr="00D10A74" w:rsidRDefault="00C22D61" w:rsidP="00FE780D">
            <w:pPr>
              <w:rPr>
                <w:lang w:val="fr-BE"/>
              </w:rPr>
            </w:pPr>
            <w:r w:rsidRPr="00D10A74">
              <w:rPr>
                <w:noProof/>
                <w:lang w:val="fr-BE" w:eastAsia="en-GB"/>
              </w:rPr>
              <w:t>Données factuelles</w:t>
            </w:r>
          </w:p>
        </w:tc>
        <w:tc>
          <w:tcPr>
            <w:tcW w:w="1276" w:type="dxa"/>
            <w:tcBorders>
              <w:top w:val="single" w:sz="4" w:space="0" w:color="auto"/>
              <w:left w:val="nil"/>
              <w:bottom w:val="nil"/>
              <w:right w:val="nil"/>
            </w:tcBorders>
          </w:tcPr>
          <w:p w:rsidR="00C22D61" w:rsidRDefault="00C22D61" w:rsidP="00FE780D">
            <w:pPr>
              <w:rPr>
                <w:lang w:val="fr-BE"/>
              </w:rPr>
            </w:pPr>
            <w:r>
              <w:rPr>
                <w:lang w:val="fr-BE"/>
              </w:rPr>
              <w:t>1,5</w:t>
            </w:r>
          </w:p>
        </w:tc>
        <w:tc>
          <w:tcPr>
            <w:tcW w:w="1276" w:type="dxa"/>
            <w:tcBorders>
              <w:top w:val="single" w:sz="4" w:space="0" w:color="auto"/>
              <w:left w:val="nil"/>
              <w:bottom w:val="nil"/>
              <w:right w:val="nil"/>
            </w:tcBorders>
          </w:tcPr>
          <w:p w:rsidR="00C22D61" w:rsidRDefault="00C22D61" w:rsidP="00FE780D">
            <w:pPr>
              <w:rPr>
                <w:lang w:val="fr-BE"/>
              </w:rPr>
            </w:pPr>
            <w:r>
              <w:rPr>
                <w:lang w:val="fr-BE"/>
              </w:rPr>
              <w:t>3,6</w:t>
            </w:r>
          </w:p>
        </w:tc>
      </w:tr>
      <w:tr w:rsidR="00C22D61" w:rsidTr="00FE780D">
        <w:tc>
          <w:tcPr>
            <w:tcW w:w="4786" w:type="dxa"/>
            <w:tcBorders>
              <w:top w:val="nil"/>
              <w:left w:val="nil"/>
              <w:bottom w:val="single" w:sz="4" w:space="0" w:color="auto"/>
              <w:right w:val="nil"/>
            </w:tcBorders>
          </w:tcPr>
          <w:p w:rsidR="00C22D61" w:rsidRPr="00D10A74" w:rsidRDefault="00C22D61" w:rsidP="00FE780D">
            <w:pPr>
              <w:rPr>
                <w:noProof/>
                <w:lang w:val="fr-BE" w:eastAsia="en-GB"/>
              </w:rPr>
            </w:pPr>
            <w:r w:rsidRPr="00D10A74">
              <w:rPr>
                <w:noProof/>
                <w:lang w:val="fr-BE" w:eastAsia="en-GB"/>
              </w:rPr>
              <w:t>Prévisions de Cion pour le printemps</w:t>
            </w:r>
            <w:r>
              <w:rPr>
                <w:noProof/>
                <w:lang w:val="fr-BE" w:eastAsia="en-GB"/>
              </w:rPr>
              <w:t> </w:t>
            </w:r>
            <w:r w:rsidRPr="00D10A74">
              <w:rPr>
                <w:noProof/>
                <w:vertAlign w:val="superscript"/>
                <w:lang w:val="fr-BE" w:eastAsia="en-GB"/>
              </w:rPr>
              <w:t>(1)</w:t>
            </w:r>
            <w:r>
              <w:rPr>
                <w:noProof/>
                <w:lang w:val="fr-BE" w:eastAsia="en-GB"/>
              </w:rPr>
              <w:t xml:space="preserve"> et l'hiver </w:t>
            </w:r>
            <w:r w:rsidRPr="00D10A74">
              <w:rPr>
                <w:noProof/>
                <w:vertAlign w:val="superscript"/>
                <w:lang w:val="fr-BE" w:eastAsia="en-GB"/>
              </w:rPr>
              <w:t>(2)</w:t>
            </w:r>
          </w:p>
        </w:tc>
        <w:tc>
          <w:tcPr>
            <w:tcW w:w="1276" w:type="dxa"/>
            <w:tcBorders>
              <w:top w:val="nil"/>
              <w:left w:val="nil"/>
              <w:bottom w:val="single" w:sz="4" w:space="0" w:color="auto"/>
              <w:right w:val="nil"/>
            </w:tcBorders>
          </w:tcPr>
          <w:p w:rsidR="00C22D61" w:rsidRDefault="00C22D61" w:rsidP="00FE780D">
            <w:pPr>
              <w:rPr>
                <w:lang w:val="fr-BE"/>
              </w:rPr>
            </w:pPr>
            <w:r>
              <w:rPr>
                <w:lang w:val="fr-BE"/>
              </w:rPr>
              <w:t>0,2</w:t>
            </w:r>
            <w:r w:rsidRPr="00D10A74">
              <w:rPr>
                <w:vertAlign w:val="superscript"/>
                <w:lang w:val="fr-BE"/>
              </w:rPr>
              <w:t>(1)</w:t>
            </w:r>
            <w:r>
              <w:rPr>
                <w:lang w:val="fr-BE"/>
              </w:rPr>
              <w:t xml:space="preserve"> 0,7</w:t>
            </w:r>
            <w:r w:rsidRPr="00D10A74">
              <w:rPr>
                <w:vertAlign w:val="superscript"/>
                <w:lang w:val="fr-BE"/>
              </w:rPr>
              <w:t>(2)</w:t>
            </w:r>
          </w:p>
        </w:tc>
        <w:tc>
          <w:tcPr>
            <w:tcW w:w="1276" w:type="dxa"/>
            <w:tcBorders>
              <w:top w:val="nil"/>
              <w:left w:val="nil"/>
              <w:bottom w:val="single" w:sz="4" w:space="0" w:color="auto"/>
              <w:right w:val="nil"/>
            </w:tcBorders>
          </w:tcPr>
          <w:p w:rsidR="00C22D61" w:rsidRDefault="00C22D61" w:rsidP="00FE780D">
            <w:pPr>
              <w:rPr>
                <w:lang w:val="fr-BE"/>
              </w:rPr>
            </w:pPr>
            <w:r>
              <w:rPr>
                <w:lang w:val="fr-BE"/>
              </w:rPr>
              <w:t>2,3</w:t>
            </w:r>
            <w:r w:rsidRPr="00D10A74">
              <w:rPr>
                <w:vertAlign w:val="superscript"/>
                <w:lang w:val="fr-BE"/>
              </w:rPr>
              <w:t>(1)</w:t>
            </w:r>
            <w:r>
              <w:rPr>
                <w:lang w:val="fr-BE"/>
              </w:rPr>
              <w:t xml:space="preserve"> 3,2</w:t>
            </w:r>
            <w:r w:rsidRPr="00D10A74">
              <w:rPr>
                <w:vertAlign w:val="superscript"/>
                <w:lang w:val="fr-BE"/>
              </w:rPr>
              <w:t>(2)</w:t>
            </w:r>
          </w:p>
        </w:tc>
      </w:tr>
    </w:tbl>
    <w:p w:rsidR="00BB5757" w:rsidRDefault="00BB5757" w:rsidP="00C22D6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6">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1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5"/>
    <w:lvlOverride w:ilvl="0">
      <w:startOverride w:val="1"/>
    </w:lvlOverride>
  </w:num>
  <w:num w:numId="2">
    <w:abstractNumId w:val="17"/>
    <w:lvlOverride w:ilvl="0">
      <w:startOverride w:val="1"/>
    </w:lvlOverride>
  </w:num>
  <w:num w:numId="3">
    <w:abstractNumId w:val="5"/>
    <w:lvlOverride w:ilvl="0">
      <w:startOverride w:val="1"/>
    </w:lvlOverride>
  </w:num>
  <w:num w:numId="4">
    <w:abstractNumId w:val="11"/>
  </w:num>
  <w:num w:numId="5">
    <w:abstractNumId w:val="17"/>
  </w:num>
  <w:num w:numId="6">
    <w:abstractNumId w:val="5"/>
  </w:num>
  <w:num w:numId="7">
    <w:abstractNumId w:val="13"/>
  </w:num>
  <w:num w:numId="8">
    <w:abstractNumId w:val="3"/>
  </w:num>
  <w:num w:numId="9">
    <w:abstractNumId w:val="18"/>
  </w:num>
  <w:num w:numId="10">
    <w:abstractNumId w:val="10"/>
  </w:num>
  <w:num w:numId="11">
    <w:abstractNumId w:val="12"/>
  </w:num>
  <w:num w:numId="12">
    <w:abstractNumId w:val="14"/>
  </w:num>
  <w:num w:numId="13">
    <w:abstractNumId w:val="9"/>
  </w:num>
  <w:num w:numId="14">
    <w:abstractNumId w:val="1"/>
  </w:num>
  <w:num w:numId="15">
    <w:abstractNumId w:val="15"/>
  </w:num>
  <w:num w:numId="16">
    <w:abstractNumId w:val="8"/>
  </w:num>
  <w:num w:numId="17">
    <w:abstractNumId w:val="4"/>
  </w:num>
  <w:num w:numId="18">
    <w:abstractNumId w:val="16"/>
  </w:num>
  <w:num w:numId="19">
    <w:abstractNumId w:val="6"/>
  </w:num>
  <w:num w:numId="20">
    <w:abstractNumId w:val="0"/>
  </w:num>
  <w:num w:numId="21">
    <w:abstractNumId w:val="2"/>
  </w:num>
  <w:num w:numId="2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3&quot; technicalblockguid=&quot;00ce8583-4369-4af7-b444-65f42e638727&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9&quot; text=&quot;PROJET DE PROCÈS-VERBAL&quot; /&gt;_x000d__x000a_    &lt;/basicdatatype&gt;_x000d__x000a_  &lt;/metadata&gt;_x000d__x000a_  &lt;metadata key=&quot;md_HeadingText&quot; translate=&quot;false&quot;&gt;_x000d__x000a_    &lt;headingtext text=&quot;PROJET DE PROCÈS-VERBAL&quot;&gt;_x000d__x000a_      &lt;formattedtext&gt;_x000d__x000a_        &lt;xaml text=&quot;PROJET DE PROCÈS-VERBAL&quot;&gt;&amp;lt;FlowDocument xmlns=&quot;http://schemas.microsoft.com/winfx/2006/xaml/presentation&quot;&amp;gt;&amp;lt;Paragraph&amp;gt;PROJET DE PROCÈS-VERBA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 translate=&quot;false&quot;&gt;_x000d__x000a_    &lt;text&gt;2015-07-20&lt;/text&gt;_x000d__x000a_  &lt;/metadata&gt;_x000d__x000a_  &lt;metadata key=&quot;md_Prefix&quot; translate=&quot;false&quot;&gt;_x000d__x000a_    &lt;text&gt;&lt;/text&gt;_x000d__x000a_  &lt;/metadata&gt;_x000d__x000a_  &lt;metadata key=&quot;md_DocumentNumber&quot; translate=&quot;false&quot;&gt;_x000d__x000a_    &lt;text&gt;10171&lt;/text&gt;_x000d__x000a_  &lt;/metadata&gt;_x000d__x000a_  &lt;metadata key=&quot;md_YearDocumentNumber&quot; translate=&quot;false&quot;&gt;_x000d__x000a_    &lt;text&gt;2015&lt;/text&gt;_x000d__x000a_  &lt;/metadata&gt;_x000d__x000a_  &lt;metadata key=&quot;md_Suffixes&quot; translate=&quot;false&quot;&gt;_x000d__x000a_    &lt;text&gt;REV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1&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PV/CONS 35&lt;/text&gt;_x000d__x000a_      &lt;text&gt;SOC 425&lt;/text&gt;_x000d__x000a_      &lt;text&gt;EMPL 277&lt;/text&gt;_x000d__x000a_      &lt;text&gt;SAN 192&lt;/text&gt;_x000d__x000a_      &lt;text&gt;CONSOM 11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98e session du Conseil de l'Union européenne (EMPLOI, POLITIQUE SOCIALE, SANTÉ ET CONSOMMATEURS), tenue à Luxembourg  les 18 et 19 juin 2015&quot;&gt;&amp;lt;FlowDocument FontFamily=&quot;Arial Unicode MS&quot; FontSize=&quot;12&quot; PageWidth=&quot;329&quot; PagePadding=&quot;0,0,0,0&quot; AllowDrop=&quot;False&quot; xmlns=&quot;http://schemas.microsoft.com/winfx/2006/xaml/presentation&quot; xmlns:x=&quot;http://schemas.microsoft.com/winfx/2006/xaml&quot;&amp;gt;&amp;lt;Paragraph FontFamily=&quot;Georgia&quot; xml:space=&quot;preserve&quot;&amp;gt;&amp;lt;Run FontWeight=&quot;Bold&quot;&amp;gt;3398&amp;lt;/Run&amp;gt;&amp;lt;Run BaselineAlignment=&quot;Superscript&quot; FontWeight=&quot;Bold&quot;&amp;gt;e&amp;lt;/Run&amp;gt; session du Conseil de l'Union européenne &amp;lt;Run FontWeight=&quot;Bold&quot;&amp;gt;(EMPLOI, POLITIQUE SOCIALE, SANTÉ ET CONSOMMATEURS)&amp;lt;/Run&amp;gt;, tenue à Luxembourg &amp;lt;LineBreak /&amp;gt;les 18 et 19 juin 2015&amp;lt;/Paragraph&amp;gt;&amp;lt;/FlowDocument&amp;gt;&lt;/xaml&gt;_x000d__x000a_  &lt;/metadata&gt;_x000d__x000a_  &lt;metadata key=&quot;md_SubjectFootnote&quot; /&gt;_x000d__x000a_  &lt;metadata key=&quot;md_DG&quot; translate=&quot;false&quot;&gt;_x000d__x000a_    &lt;text&gt;DG B4&lt;/text&gt;_x000d__x000a_  &lt;/metadata&gt;_x000d__x000a_  &lt;metadata key=&quot;md_Initials&quot; translate=&quot;false&quot;&gt;_x000d__x000a_    &lt;text&gt;ms&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961AF2"/>
    <w:rsid w:val="0000424B"/>
    <w:rsid w:val="00010C1D"/>
    <w:rsid w:val="0004616C"/>
    <w:rsid w:val="00075F45"/>
    <w:rsid w:val="0009656C"/>
    <w:rsid w:val="000D11D6"/>
    <w:rsid w:val="000E431C"/>
    <w:rsid w:val="00137A3A"/>
    <w:rsid w:val="00165755"/>
    <w:rsid w:val="00182F2F"/>
    <w:rsid w:val="00191F95"/>
    <w:rsid w:val="001A1CFE"/>
    <w:rsid w:val="001C1958"/>
    <w:rsid w:val="00213F1F"/>
    <w:rsid w:val="0023471F"/>
    <w:rsid w:val="00257706"/>
    <w:rsid w:val="00270914"/>
    <w:rsid w:val="002A2AE8"/>
    <w:rsid w:val="002C3D52"/>
    <w:rsid w:val="003922CC"/>
    <w:rsid w:val="003A759C"/>
    <w:rsid w:val="003C6E8B"/>
    <w:rsid w:val="00437EB6"/>
    <w:rsid w:val="004D59FF"/>
    <w:rsid w:val="005157F5"/>
    <w:rsid w:val="00563B08"/>
    <w:rsid w:val="00580CB4"/>
    <w:rsid w:val="0063379B"/>
    <w:rsid w:val="006A38C5"/>
    <w:rsid w:val="006C1AD4"/>
    <w:rsid w:val="006D0CBF"/>
    <w:rsid w:val="006E33E2"/>
    <w:rsid w:val="006F4741"/>
    <w:rsid w:val="0075756A"/>
    <w:rsid w:val="00757ED1"/>
    <w:rsid w:val="007A3C66"/>
    <w:rsid w:val="007D41CA"/>
    <w:rsid w:val="00825503"/>
    <w:rsid w:val="00833081"/>
    <w:rsid w:val="008826F8"/>
    <w:rsid w:val="008F6CDD"/>
    <w:rsid w:val="00926029"/>
    <w:rsid w:val="00947B0E"/>
    <w:rsid w:val="00961AF2"/>
    <w:rsid w:val="00967D92"/>
    <w:rsid w:val="009B33B3"/>
    <w:rsid w:val="009F0ED1"/>
    <w:rsid w:val="00A4307B"/>
    <w:rsid w:val="00A469D7"/>
    <w:rsid w:val="00A5704E"/>
    <w:rsid w:val="00AA161D"/>
    <w:rsid w:val="00BA117D"/>
    <w:rsid w:val="00BB5757"/>
    <w:rsid w:val="00BC3A6A"/>
    <w:rsid w:val="00BE1373"/>
    <w:rsid w:val="00C22D61"/>
    <w:rsid w:val="00C31285"/>
    <w:rsid w:val="00C449E3"/>
    <w:rsid w:val="00C9113C"/>
    <w:rsid w:val="00CC2EAC"/>
    <w:rsid w:val="00D24D64"/>
    <w:rsid w:val="00D451E4"/>
    <w:rsid w:val="00D830AE"/>
    <w:rsid w:val="00E61409"/>
    <w:rsid w:val="00E716B8"/>
    <w:rsid w:val="00E9397D"/>
    <w:rsid w:val="00EF3918"/>
    <w:rsid w:val="00EF4FCC"/>
    <w:rsid w:val="00F70BBA"/>
    <w:rsid w:val="00FB71A3"/>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B33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B33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B33B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B33B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961AF2"/>
    <w:pPr>
      <w:spacing w:after="440"/>
      <w:ind w:left="-1134" w:right="-1134"/>
    </w:pPr>
    <w:rPr>
      <w:sz w:val="2"/>
    </w:rPr>
  </w:style>
  <w:style w:type="character" w:customStyle="1" w:styleId="TechnicalBlockChar">
    <w:name w:val="Technical Block Char"/>
    <w:basedOn w:val="DefaultParagraphFont"/>
    <w:rsid w:val="00961AF2"/>
    <w:rPr>
      <w:sz w:val="24"/>
      <w:szCs w:val="24"/>
      <w:lang w:val="fr-FR" w:eastAsia="fr-FR"/>
    </w:rPr>
  </w:style>
  <w:style w:type="character" w:customStyle="1" w:styleId="HeaderCouncilLargeChar">
    <w:name w:val="Header Council Large Char"/>
    <w:basedOn w:val="TechnicalBlockChar"/>
    <w:link w:val="HeaderCouncilLarge"/>
    <w:rsid w:val="00961AF2"/>
    <w:rPr>
      <w:sz w:val="2"/>
      <w:szCs w:val="24"/>
      <w:lang w:val="fr-FR" w:eastAsia="fr-FR"/>
    </w:rPr>
  </w:style>
  <w:style w:type="paragraph" w:customStyle="1" w:styleId="FooterText">
    <w:name w:val="Footer Text"/>
    <w:basedOn w:val="Normal"/>
    <w:rsid w:val="00961AF2"/>
  </w:style>
  <w:style w:type="character" w:customStyle="1" w:styleId="PointManualChar">
    <w:name w:val="Point Manual Char"/>
    <w:rsid w:val="0023471F"/>
    <w:rPr>
      <w:sz w:val="24"/>
      <w:szCs w:val="24"/>
      <w:lang w:val="fr-FR" w:eastAsia="fr-FR"/>
    </w:rPr>
  </w:style>
  <w:style w:type="character" w:customStyle="1" w:styleId="Text1Char">
    <w:name w:val="Text 1 Char"/>
    <w:rsid w:val="0023471F"/>
    <w:rPr>
      <w:sz w:val="24"/>
      <w:szCs w:val="24"/>
      <w:lang w:val="fr-FR" w:eastAsia="fr-FR"/>
    </w:rPr>
  </w:style>
  <w:style w:type="character" w:customStyle="1" w:styleId="Text3Char">
    <w:name w:val="Text 3 Char"/>
    <w:locked/>
    <w:rsid w:val="0023471F"/>
    <w:rPr>
      <w:sz w:val="24"/>
      <w:szCs w:val="24"/>
      <w:lang w:val="fr-FR" w:eastAsia="fr-FR"/>
    </w:rPr>
  </w:style>
  <w:style w:type="character" w:customStyle="1" w:styleId="Text2Char">
    <w:name w:val="Text 2 Char"/>
    <w:rsid w:val="0023471F"/>
    <w:rPr>
      <w:sz w:val="24"/>
      <w:szCs w:val="24"/>
      <w:lang w:val="fr-FR" w:eastAsia="fr-FR"/>
    </w:rPr>
  </w:style>
  <w:style w:type="character" w:customStyle="1" w:styleId="Dash2Char">
    <w:name w:val="Dash 2 Char"/>
    <w:rsid w:val="0023471F"/>
    <w:rPr>
      <w:sz w:val="24"/>
      <w:szCs w:val="24"/>
      <w:lang w:val="fr-FR" w:eastAsia="fr-FR"/>
    </w:rPr>
  </w:style>
  <w:style w:type="paragraph" w:styleId="BalloonText">
    <w:name w:val="Balloon Text"/>
    <w:basedOn w:val="Normal"/>
    <w:link w:val="BalloonTextChar"/>
    <w:uiPriority w:val="99"/>
    <w:semiHidden/>
    <w:unhideWhenUsed/>
    <w:rsid w:val="00BB5757"/>
    <w:rPr>
      <w:rFonts w:ascii="Tahoma" w:hAnsi="Tahoma" w:cs="Tahoma"/>
      <w:sz w:val="16"/>
      <w:szCs w:val="16"/>
    </w:rPr>
  </w:style>
  <w:style w:type="character" w:customStyle="1" w:styleId="BalloonTextChar">
    <w:name w:val="Balloon Text Char"/>
    <w:basedOn w:val="DefaultParagraphFont"/>
    <w:link w:val="BalloonText"/>
    <w:uiPriority w:val="99"/>
    <w:semiHidden/>
    <w:rsid w:val="00BB5757"/>
    <w:rPr>
      <w:rFonts w:ascii="Tahoma" w:hAnsi="Tahoma" w:cs="Tahoma"/>
      <w:sz w:val="16"/>
      <w:szCs w:val="16"/>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04616C"/>
    <w:rPr>
      <w:lang w:val="fr-FR" w:eastAsia="fr-FR"/>
    </w:rPr>
  </w:style>
  <w:style w:type="paragraph" w:styleId="CommentSubject">
    <w:name w:val="annotation subject"/>
    <w:basedOn w:val="CommentText"/>
    <w:next w:val="CommentText"/>
    <w:link w:val="CommentSubjectChar"/>
    <w:uiPriority w:val="99"/>
    <w:semiHidden/>
    <w:unhideWhenUsed/>
    <w:rsid w:val="0004616C"/>
    <w:rPr>
      <w:b/>
      <w:bCs/>
    </w:rPr>
  </w:style>
  <w:style w:type="character" w:customStyle="1" w:styleId="CommentSubjectChar">
    <w:name w:val="Comment Subject Char"/>
    <w:basedOn w:val="CommentTextChar"/>
    <w:link w:val="CommentSubject"/>
    <w:uiPriority w:val="99"/>
    <w:semiHidden/>
    <w:rsid w:val="0004616C"/>
    <w:rPr>
      <w:b/>
      <w:bCs/>
      <w:lang w:val="fr-FR" w:eastAsia="fr-FR"/>
    </w:rPr>
  </w:style>
  <w:style w:type="character" w:styleId="Hyperlink">
    <w:name w:val="Hyperlink"/>
    <w:basedOn w:val="DefaultParagraphFont"/>
    <w:uiPriority w:val="99"/>
    <w:unhideWhenUsed/>
    <w:rsid w:val="0004616C"/>
    <w:rPr>
      <w:color w:val="0000FF" w:themeColor="hyperlink"/>
      <w:u w:val="single"/>
    </w:rPr>
  </w:style>
  <w:style w:type="character" w:customStyle="1" w:styleId="Heading1Char">
    <w:name w:val="Heading 1 Char"/>
    <w:basedOn w:val="DefaultParagraphFont"/>
    <w:link w:val="Heading1"/>
    <w:uiPriority w:val="9"/>
    <w:rsid w:val="009B33B3"/>
    <w:rPr>
      <w:rFonts w:asciiTheme="majorHAnsi" w:eastAsiaTheme="majorEastAsia" w:hAnsiTheme="majorHAnsi" w:cstheme="majorBidi"/>
      <w:b/>
      <w:bCs/>
      <w:color w:val="365F91" w:themeColor="accent1" w:themeShade="BF"/>
      <w:sz w:val="28"/>
      <w:szCs w:val="28"/>
      <w:lang w:val="fr-FR" w:eastAsia="fr-FR"/>
    </w:rPr>
  </w:style>
  <w:style w:type="character" w:customStyle="1" w:styleId="Heading2Char">
    <w:name w:val="Heading 2 Char"/>
    <w:basedOn w:val="DefaultParagraphFont"/>
    <w:link w:val="Heading2"/>
    <w:uiPriority w:val="9"/>
    <w:semiHidden/>
    <w:rsid w:val="009B33B3"/>
    <w:rPr>
      <w:rFonts w:asciiTheme="majorHAnsi" w:eastAsiaTheme="majorEastAsia" w:hAnsiTheme="majorHAnsi" w:cstheme="majorBidi"/>
      <w:b/>
      <w:bCs/>
      <w:color w:val="4F81BD" w:themeColor="accent1"/>
      <w:sz w:val="26"/>
      <w:szCs w:val="26"/>
      <w:lang w:val="fr-FR" w:eastAsia="fr-FR"/>
    </w:rPr>
  </w:style>
  <w:style w:type="character" w:customStyle="1" w:styleId="Heading3Char">
    <w:name w:val="Heading 3 Char"/>
    <w:basedOn w:val="DefaultParagraphFont"/>
    <w:link w:val="Heading3"/>
    <w:uiPriority w:val="9"/>
    <w:semiHidden/>
    <w:rsid w:val="009B33B3"/>
    <w:rPr>
      <w:rFonts w:asciiTheme="majorHAnsi" w:eastAsiaTheme="majorEastAsia" w:hAnsiTheme="majorHAnsi" w:cstheme="majorBidi"/>
      <w:b/>
      <w:bCs/>
      <w:color w:val="4F81BD" w:themeColor="accent1"/>
      <w:sz w:val="24"/>
      <w:szCs w:val="24"/>
      <w:lang w:val="fr-FR" w:eastAsia="fr-FR"/>
    </w:rPr>
  </w:style>
  <w:style w:type="character" w:customStyle="1" w:styleId="Heading4Char">
    <w:name w:val="Heading 4 Char"/>
    <w:basedOn w:val="DefaultParagraphFont"/>
    <w:link w:val="Heading4"/>
    <w:uiPriority w:val="9"/>
    <w:semiHidden/>
    <w:rsid w:val="009B33B3"/>
    <w:rPr>
      <w:rFonts w:asciiTheme="majorHAnsi" w:eastAsiaTheme="majorEastAsia" w:hAnsiTheme="majorHAnsi" w:cstheme="majorBidi"/>
      <w:b/>
      <w:bCs/>
      <w:i/>
      <w:iCs/>
      <w:color w:val="4F81BD" w:themeColor="accent1"/>
      <w:sz w:val="24"/>
      <w:szCs w:val="24"/>
      <w:lang w:val="fr-FR" w:eastAsia="fr-FR"/>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6D0CBF"/>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9"/>
      </w:numPr>
      <w:spacing w:before="200"/>
    </w:pPr>
  </w:style>
  <w:style w:type="paragraph" w:customStyle="1" w:styleId="Pointabc1">
    <w:name w:val="Point abc (1)"/>
    <w:basedOn w:val="Normal"/>
    <w:rsid w:val="006E33E2"/>
    <w:pPr>
      <w:numPr>
        <w:ilvl w:val="3"/>
        <w:numId w:val="19"/>
      </w:numPr>
      <w:outlineLvl w:val="0"/>
    </w:pPr>
  </w:style>
  <w:style w:type="paragraph" w:customStyle="1" w:styleId="Pointabc2">
    <w:name w:val="Point abc (2)"/>
    <w:basedOn w:val="Normal"/>
    <w:rsid w:val="006E33E2"/>
    <w:pPr>
      <w:numPr>
        <w:ilvl w:val="5"/>
        <w:numId w:val="19"/>
      </w:numPr>
      <w:outlineLvl w:val="1"/>
    </w:pPr>
  </w:style>
  <w:style w:type="paragraph" w:customStyle="1" w:styleId="Pointabc3">
    <w:name w:val="Point abc (3)"/>
    <w:basedOn w:val="Normal"/>
    <w:rsid w:val="006E33E2"/>
    <w:pPr>
      <w:numPr>
        <w:ilvl w:val="7"/>
        <w:numId w:val="19"/>
      </w:numPr>
      <w:outlineLvl w:val="2"/>
    </w:pPr>
  </w:style>
  <w:style w:type="paragraph" w:customStyle="1" w:styleId="Pointabc4">
    <w:name w:val="Point abc (4)"/>
    <w:basedOn w:val="Normal"/>
    <w:rsid w:val="006E33E2"/>
    <w:pPr>
      <w:numPr>
        <w:ilvl w:val="8"/>
        <w:numId w:val="19"/>
      </w:numPr>
      <w:outlineLvl w:val="3"/>
    </w:pPr>
  </w:style>
  <w:style w:type="paragraph" w:customStyle="1" w:styleId="Point123">
    <w:name w:val="Point 123"/>
    <w:basedOn w:val="Normal"/>
    <w:rsid w:val="006E33E2"/>
    <w:pPr>
      <w:numPr>
        <w:numId w:val="19"/>
      </w:numPr>
      <w:spacing w:before="200"/>
    </w:pPr>
  </w:style>
  <w:style w:type="paragraph" w:customStyle="1" w:styleId="Point1231">
    <w:name w:val="Point 123 (1)"/>
    <w:basedOn w:val="Normal"/>
    <w:rsid w:val="006E33E2"/>
    <w:pPr>
      <w:numPr>
        <w:ilvl w:val="2"/>
        <w:numId w:val="19"/>
      </w:numPr>
      <w:outlineLvl w:val="0"/>
    </w:pPr>
  </w:style>
  <w:style w:type="paragraph" w:customStyle="1" w:styleId="Point1232">
    <w:name w:val="Point 123 (2)"/>
    <w:basedOn w:val="Normal"/>
    <w:rsid w:val="006E33E2"/>
    <w:pPr>
      <w:numPr>
        <w:ilvl w:val="4"/>
        <w:numId w:val="19"/>
      </w:numPr>
      <w:outlineLvl w:val="1"/>
    </w:pPr>
  </w:style>
  <w:style w:type="paragraph" w:customStyle="1" w:styleId="Point1233">
    <w:name w:val="Point 123 (3)"/>
    <w:basedOn w:val="Normal"/>
    <w:rsid w:val="006E33E2"/>
    <w:pPr>
      <w:numPr>
        <w:ilvl w:val="6"/>
        <w:numId w:val="19"/>
      </w:numPr>
      <w:outlineLvl w:val="2"/>
    </w:pPr>
  </w:style>
  <w:style w:type="paragraph" w:customStyle="1" w:styleId="Pointivx">
    <w:name w:val="Point ivx"/>
    <w:basedOn w:val="Normal"/>
    <w:rsid w:val="006E33E2"/>
    <w:pPr>
      <w:numPr>
        <w:numId w:val="20"/>
      </w:numPr>
      <w:spacing w:before="200"/>
    </w:pPr>
  </w:style>
  <w:style w:type="paragraph" w:customStyle="1" w:styleId="Pointivx1">
    <w:name w:val="Point ivx (1)"/>
    <w:basedOn w:val="Normal"/>
    <w:rsid w:val="006E33E2"/>
    <w:pPr>
      <w:numPr>
        <w:ilvl w:val="1"/>
        <w:numId w:val="20"/>
      </w:numPr>
      <w:outlineLvl w:val="0"/>
    </w:pPr>
  </w:style>
  <w:style w:type="paragraph" w:customStyle="1" w:styleId="Pointivx2">
    <w:name w:val="Point ivx (2)"/>
    <w:basedOn w:val="Normal"/>
    <w:rsid w:val="006E33E2"/>
    <w:pPr>
      <w:numPr>
        <w:ilvl w:val="2"/>
        <w:numId w:val="20"/>
      </w:numPr>
      <w:outlineLvl w:val="1"/>
    </w:pPr>
  </w:style>
  <w:style w:type="paragraph" w:customStyle="1" w:styleId="Pointivx3">
    <w:name w:val="Point ivx (3)"/>
    <w:basedOn w:val="Normal"/>
    <w:rsid w:val="006E33E2"/>
    <w:pPr>
      <w:numPr>
        <w:ilvl w:val="3"/>
        <w:numId w:val="20"/>
      </w:numPr>
      <w:outlineLvl w:val="2"/>
    </w:pPr>
  </w:style>
  <w:style w:type="paragraph" w:customStyle="1" w:styleId="Pointivx4">
    <w:name w:val="Point ivx (4)"/>
    <w:basedOn w:val="Normal"/>
    <w:rsid w:val="006E33E2"/>
    <w:pPr>
      <w:numPr>
        <w:ilvl w:val="4"/>
        <w:numId w:val="20"/>
      </w:numPr>
      <w:outlineLvl w:val="3"/>
    </w:pPr>
  </w:style>
  <w:style w:type="paragraph" w:customStyle="1" w:styleId="Bullet">
    <w:name w:val="Bullet"/>
    <w:basedOn w:val="Normal"/>
    <w:rsid w:val="006E33E2"/>
    <w:pPr>
      <w:numPr>
        <w:numId w:val="14"/>
      </w:numPr>
      <w:spacing w:before="200"/>
    </w:pPr>
  </w:style>
  <w:style w:type="paragraph" w:customStyle="1" w:styleId="Bullet1">
    <w:name w:val="Bullet 1"/>
    <w:basedOn w:val="Normal"/>
    <w:rsid w:val="006E33E2"/>
    <w:pPr>
      <w:numPr>
        <w:numId w:val="15"/>
      </w:numPr>
      <w:outlineLvl w:val="0"/>
    </w:pPr>
  </w:style>
  <w:style w:type="paragraph" w:customStyle="1" w:styleId="Bullet2">
    <w:name w:val="Bullet 2"/>
    <w:basedOn w:val="Normal"/>
    <w:rsid w:val="006E33E2"/>
    <w:pPr>
      <w:numPr>
        <w:numId w:val="16"/>
      </w:numPr>
      <w:outlineLvl w:val="1"/>
    </w:pPr>
  </w:style>
  <w:style w:type="paragraph" w:customStyle="1" w:styleId="Bullet3">
    <w:name w:val="Bullet 3"/>
    <w:basedOn w:val="Normal"/>
    <w:rsid w:val="006E33E2"/>
    <w:pPr>
      <w:numPr>
        <w:numId w:val="17"/>
      </w:numPr>
      <w:outlineLvl w:val="2"/>
    </w:pPr>
  </w:style>
  <w:style w:type="paragraph" w:customStyle="1" w:styleId="Bullet4">
    <w:name w:val="Bullet 4"/>
    <w:basedOn w:val="Normal"/>
    <w:rsid w:val="006E33E2"/>
    <w:pPr>
      <w:numPr>
        <w:numId w:val="18"/>
      </w:numPr>
      <w:outlineLvl w:val="3"/>
    </w:pPr>
  </w:style>
  <w:style w:type="paragraph" w:customStyle="1" w:styleId="Dash">
    <w:name w:val="Dash"/>
    <w:basedOn w:val="Normal"/>
    <w:rsid w:val="006E33E2"/>
    <w:pPr>
      <w:numPr>
        <w:numId w:val="4"/>
      </w:numPr>
      <w:spacing w:before="200"/>
    </w:pPr>
  </w:style>
  <w:style w:type="paragraph" w:customStyle="1" w:styleId="Dash1">
    <w:name w:val="Dash 1"/>
    <w:basedOn w:val="Normal"/>
    <w:rsid w:val="006E33E2"/>
    <w:pPr>
      <w:numPr>
        <w:numId w:val="5"/>
      </w:numPr>
      <w:outlineLvl w:val="0"/>
    </w:pPr>
  </w:style>
  <w:style w:type="paragraph" w:customStyle="1" w:styleId="Dash2">
    <w:name w:val="Dash 2"/>
    <w:basedOn w:val="Normal"/>
    <w:rsid w:val="006E33E2"/>
    <w:pPr>
      <w:numPr>
        <w:numId w:val="6"/>
      </w:numPr>
      <w:outlineLvl w:val="1"/>
    </w:pPr>
  </w:style>
  <w:style w:type="paragraph" w:customStyle="1" w:styleId="Dash3">
    <w:name w:val="Dash 3"/>
    <w:basedOn w:val="Normal"/>
    <w:rsid w:val="006E33E2"/>
    <w:pPr>
      <w:numPr>
        <w:numId w:val="7"/>
      </w:numPr>
      <w:outlineLvl w:val="2"/>
    </w:pPr>
  </w:style>
  <w:style w:type="paragraph" w:customStyle="1" w:styleId="Dash4">
    <w:name w:val="Dash 4"/>
    <w:basedOn w:val="Normal"/>
    <w:rsid w:val="006E33E2"/>
    <w:pPr>
      <w:numPr>
        <w:numId w:val="8"/>
      </w:numPr>
      <w:outlineLvl w:val="3"/>
    </w:pPr>
  </w:style>
  <w:style w:type="paragraph" w:customStyle="1" w:styleId="DashEqual">
    <w:name w:val="Dash Equal"/>
    <w:basedOn w:val="Dash"/>
    <w:rsid w:val="006E33E2"/>
    <w:pPr>
      <w:numPr>
        <w:numId w:val="9"/>
      </w:numPr>
    </w:pPr>
  </w:style>
  <w:style w:type="paragraph" w:customStyle="1" w:styleId="DashEqual1">
    <w:name w:val="Dash Equal 1"/>
    <w:basedOn w:val="Dash1"/>
    <w:rsid w:val="006E33E2"/>
    <w:pPr>
      <w:numPr>
        <w:numId w:val="10"/>
      </w:numPr>
    </w:pPr>
  </w:style>
  <w:style w:type="paragraph" w:customStyle="1" w:styleId="DashEqual2">
    <w:name w:val="Dash Equal 2"/>
    <w:basedOn w:val="Dash2"/>
    <w:rsid w:val="006E33E2"/>
    <w:pPr>
      <w:numPr>
        <w:numId w:val="11"/>
      </w:numPr>
    </w:pPr>
  </w:style>
  <w:style w:type="paragraph" w:customStyle="1" w:styleId="DashEqual3">
    <w:name w:val="Dash Equal 3"/>
    <w:basedOn w:val="Dash3"/>
    <w:rsid w:val="006E33E2"/>
    <w:pPr>
      <w:numPr>
        <w:numId w:val="12"/>
      </w:numPr>
    </w:pPr>
  </w:style>
  <w:style w:type="paragraph" w:customStyle="1" w:styleId="DashEqual4">
    <w:name w:val="Dash Equal 4"/>
    <w:basedOn w:val="Dash4"/>
    <w:rsid w:val="006E33E2"/>
    <w:pPr>
      <w:numPr>
        <w:numId w:val="13"/>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1"/>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2"/>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table" w:styleId="TableGrid">
    <w:name w:val="Table Grid"/>
    <w:basedOn w:val="TableNormal"/>
    <w:uiPriority w:val="59"/>
    <w:rsid w:val="00C22D61"/>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B33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B33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B33B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B33B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961AF2"/>
    <w:pPr>
      <w:spacing w:after="440"/>
      <w:ind w:left="-1134" w:right="-1134"/>
    </w:pPr>
    <w:rPr>
      <w:sz w:val="2"/>
    </w:rPr>
  </w:style>
  <w:style w:type="character" w:customStyle="1" w:styleId="TechnicalBlockChar">
    <w:name w:val="Technical Block Char"/>
    <w:basedOn w:val="DefaultParagraphFont"/>
    <w:rsid w:val="00961AF2"/>
    <w:rPr>
      <w:sz w:val="24"/>
      <w:szCs w:val="24"/>
      <w:lang w:val="fr-FR" w:eastAsia="fr-FR"/>
    </w:rPr>
  </w:style>
  <w:style w:type="character" w:customStyle="1" w:styleId="HeaderCouncilLargeChar">
    <w:name w:val="Header Council Large Char"/>
    <w:basedOn w:val="TechnicalBlockChar"/>
    <w:link w:val="HeaderCouncilLarge"/>
    <w:rsid w:val="00961AF2"/>
    <w:rPr>
      <w:sz w:val="2"/>
      <w:szCs w:val="24"/>
      <w:lang w:val="fr-FR" w:eastAsia="fr-FR"/>
    </w:rPr>
  </w:style>
  <w:style w:type="paragraph" w:customStyle="1" w:styleId="FooterText">
    <w:name w:val="Footer Text"/>
    <w:basedOn w:val="Normal"/>
    <w:rsid w:val="00961AF2"/>
  </w:style>
  <w:style w:type="character" w:customStyle="1" w:styleId="PointManualChar">
    <w:name w:val="Point Manual Char"/>
    <w:rsid w:val="0023471F"/>
    <w:rPr>
      <w:sz w:val="24"/>
      <w:szCs w:val="24"/>
      <w:lang w:val="fr-FR" w:eastAsia="fr-FR"/>
    </w:rPr>
  </w:style>
  <w:style w:type="character" w:customStyle="1" w:styleId="Text1Char">
    <w:name w:val="Text 1 Char"/>
    <w:rsid w:val="0023471F"/>
    <w:rPr>
      <w:sz w:val="24"/>
      <w:szCs w:val="24"/>
      <w:lang w:val="fr-FR" w:eastAsia="fr-FR"/>
    </w:rPr>
  </w:style>
  <w:style w:type="character" w:customStyle="1" w:styleId="Text3Char">
    <w:name w:val="Text 3 Char"/>
    <w:locked/>
    <w:rsid w:val="0023471F"/>
    <w:rPr>
      <w:sz w:val="24"/>
      <w:szCs w:val="24"/>
      <w:lang w:val="fr-FR" w:eastAsia="fr-FR"/>
    </w:rPr>
  </w:style>
  <w:style w:type="character" w:customStyle="1" w:styleId="Text2Char">
    <w:name w:val="Text 2 Char"/>
    <w:rsid w:val="0023471F"/>
    <w:rPr>
      <w:sz w:val="24"/>
      <w:szCs w:val="24"/>
      <w:lang w:val="fr-FR" w:eastAsia="fr-FR"/>
    </w:rPr>
  </w:style>
  <w:style w:type="character" w:customStyle="1" w:styleId="Dash2Char">
    <w:name w:val="Dash 2 Char"/>
    <w:rsid w:val="0023471F"/>
    <w:rPr>
      <w:sz w:val="24"/>
      <w:szCs w:val="24"/>
      <w:lang w:val="fr-FR" w:eastAsia="fr-FR"/>
    </w:rPr>
  </w:style>
  <w:style w:type="paragraph" w:styleId="BalloonText">
    <w:name w:val="Balloon Text"/>
    <w:basedOn w:val="Normal"/>
    <w:link w:val="BalloonTextChar"/>
    <w:uiPriority w:val="99"/>
    <w:semiHidden/>
    <w:unhideWhenUsed/>
    <w:rsid w:val="00BB5757"/>
    <w:rPr>
      <w:rFonts w:ascii="Tahoma" w:hAnsi="Tahoma" w:cs="Tahoma"/>
      <w:sz w:val="16"/>
      <w:szCs w:val="16"/>
    </w:rPr>
  </w:style>
  <w:style w:type="character" w:customStyle="1" w:styleId="BalloonTextChar">
    <w:name w:val="Balloon Text Char"/>
    <w:basedOn w:val="DefaultParagraphFont"/>
    <w:link w:val="BalloonText"/>
    <w:uiPriority w:val="99"/>
    <w:semiHidden/>
    <w:rsid w:val="00BB5757"/>
    <w:rPr>
      <w:rFonts w:ascii="Tahoma" w:hAnsi="Tahoma" w:cs="Tahoma"/>
      <w:sz w:val="16"/>
      <w:szCs w:val="16"/>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04616C"/>
    <w:rPr>
      <w:lang w:val="fr-FR" w:eastAsia="fr-FR"/>
    </w:rPr>
  </w:style>
  <w:style w:type="paragraph" w:styleId="CommentSubject">
    <w:name w:val="annotation subject"/>
    <w:basedOn w:val="CommentText"/>
    <w:next w:val="CommentText"/>
    <w:link w:val="CommentSubjectChar"/>
    <w:uiPriority w:val="99"/>
    <w:semiHidden/>
    <w:unhideWhenUsed/>
    <w:rsid w:val="0004616C"/>
    <w:rPr>
      <w:b/>
      <w:bCs/>
    </w:rPr>
  </w:style>
  <w:style w:type="character" w:customStyle="1" w:styleId="CommentSubjectChar">
    <w:name w:val="Comment Subject Char"/>
    <w:basedOn w:val="CommentTextChar"/>
    <w:link w:val="CommentSubject"/>
    <w:uiPriority w:val="99"/>
    <w:semiHidden/>
    <w:rsid w:val="0004616C"/>
    <w:rPr>
      <w:b/>
      <w:bCs/>
      <w:lang w:val="fr-FR" w:eastAsia="fr-FR"/>
    </w:rPr>
  </w:style>
  <w:style w:type="character" w:styleId="Hyperlink">
    <w:name w:val="Hyperlink"/>
    <w:basedOn w:val="DefaultParagraphFont"/>
    <w:uiPriority w:val="99"/>
    <w:unhideWhenUsed/>
    <w:rsid w:val="0004616C"/>
    <w:rPr>
      <w:color w:val="0000FF" w:themeColor="hyperlink"/>
      <w:u w:val="single"/>
    </w:rPr>
  </w:style>
  <w:style w:type="character" w:customStyle="1" w:styleId="Heading1Char">
    <w:name w:val="Heading 1 Char"/>
    <w:basedOn w:val="DefaultParagraphFont"/>
    <w:link w:val="Heading1"/>
    <w:uiPriority w:val="9"/>
    <w:rsid w:val="009B33B3"/>
    <w:rPr>
      <w:rFonts w:asciiTheme="majorHAnsi" w:eastAsiaTheme="majorEastAsia" w:hAnsiTheme="majorHAnsi" w:cstheme="majorBidi"/>
      <w:b/>
      <w:bCs/>
      <w:color w:val="365F91" w:themeColor="accent1" w:themeShade="BF"/>
      <w:sz w:val="28"/>
      <w:szCs w:val="28"/>
      <w:lang w:val="fr-FR" w:eastAsia="fr-FR"/>
    </w:rPr>
  </w:style>
  <w:style w:type="character" w:customStyle="1" w:styleId="Heading2Char">
    <w:name w:val="Heading 2 Char"/>
    <w:basedOn w:val="DefaultParagraphFont"/>
    <w:link w:val="Heading2"/>
    <w:uiPriority w:val="9"/>
    <w:semiHidden/>
    <w:rsid w:val="009B33B3"/>
    <w:rPr>
      <w:rFonts w:asciiTheme="majorHAnsi" w:eastAsiaTheme="majorEastAsia" w:hAnsiTheme="majorHAnsi" w:cstheme="majorBidi"/>
      <w:b/>
      <w:bCs/>
      <w:color w:val="4F81BD" w:themeColor="accent1"/>
      <w:sz w:val="26"/>
      <w:szCs w:val="26"/>
      <w:lang w:val="fr-FR" w:eastAsia="fr-FR"/>
    </w:rPr>
  </w:style>
  <w:style w:type="character" w:customStyle="1" w:styleId="Heading3Char">
    <w:name w:val="Heading 3 Char"/>
    <w:basedOn w:val="DefaultParagraphFont"/>
    <w:link w:val="Heading3"/>
    <w:uiPriority w:val="9"/>
    <w:semiHidden/>
    <w:rsid w:val="009B33B3"/>
    <w:rPr>
      <w:rFonts w:asciiTheme="majorHAnsi" w:eastAsiaTheme="majorEastAsia" w:hAnsiTheme="majorHAnsi" w:cstheme="majorBidi"/>
      <w:b/>
      <w:bCs/>
      <w:color w:val="4F81BD" w:themeColor="accent1"/>
      <w:sz w:val="24"/>
      <w:szCs w:val="24"/>
      <w:lang w:val="fr-FR" w:eastAsia="fr-FR"/>
    </w:rPr>
  </w:style>
  <w:style w:type="character" w:customStyle="1" w:styleId="Heading4Char">
    <w:name w:val="Heading 4 Char"/>
    <w:basedOn w:val="DefaultParagraphFont"/>
    <w:link w:val="Heading4"/>
    <w:uiPriority w:val="9"/>
    <w:semiHidden/>
    <w:rsid w:val="009B33B3"/>
    <w:rPr>
      <w:rFonts w:asciiTheme="majorHAnsi" w:eastAsiaTheme="majorEastAsia" w:hAnsiTheme="majorHAnsi" w:cstheme="majorBidi"/>
      <w:b/>
      <w:bCs/>
      <w:i/>
      <w:iCs/>
      <w:color w:val="4F81BD" w:themeColor="accent1"/>
      <w:sz w:val="24"/>
      <w:szCs w:val="24"/>
      <w:lang w:val="fr-FR" w:eastAsia="fr-FR"/>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6D0CBF"/>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9"/>
      </w:numPr>
      <w:spacing w:before="200"/>
    </w:pPr>
  </w:style>
  <w:style w:type="paragraph" w:customStyle="1" w:styleId="Pointabc1">
    <w:name w:val="Point abc (1)"/>
    <w:basedOn w:val="Normal"/>
    <w:rsid w:val="006E33E2"/>
    <w:pPr>
      <w:numPr>
        <w:ilvl w:val="3"/>
        <w:numId w:val="19"/>
      </w:numPr>
      <w:outlineLvl w:val="0"/>
    </w:pPr>
  </w:style>
  <w:style w:type="paragraph" w:customStyle="1" w:styleId="Pointabc2">
    <w:name w:val="Point abc (2)"/>
    <w:basedOn w:val="Normal"/>
    <w:rsid w:val="006E33E2"/>
    <w:pPr>
      <w:numPr>
        <w:ilvl w:val="5"/>
        <w:numId w:val="19"/>
      </w:numPr>
      <w:outlineLvl w:val="1"/>
    </w:pPr>
  </w:style>
  <w:style w:type="paragraph" w:customStyle="1" w:styleId="Pointabc3">
    <w:name w:val="Point abc (3)"/>
    <w:basedOn w:val="Normal"/>
    <w:rsid w:val="006E33E2"/>
    <w:pPr>
      <w:numPr>
        <w:ilvl w:val="7"/>
        <w:numId w:val="19"/>
      </w:numPr>
      <w:outlineLvl w:val="2"/>
    </w:pPr>
  </w:style>
  <w:style w:type="paragraph" w:customStyle="1" w:styleId="Pointabc4">
    <w:name w:val="Point abc (4)"/>
    <w:basedOn w:val="Normal"/>
    <w:rsid w:val="006E33E2"/>
    <w:pPr>
      <w:numPr>
        <w:ilvl w:val="8"/>
        <w:numId w:val="19"/>
      </w:numPr>
      <w:outlineLvl w:val="3"/>
    </w:pPr>
  </w:style>
  <w:style w:type="paragraph" w:customStyle="1" w:styleId="Point123">
    <w:name w:val="Point 123"/>
    <w:basedOn w:val="Normal"/>
    <w:rsid w:val="006E33E2"/>
    <w:pPr>
      <w:numPr>
        <w:numId w:val="19"/>
      </w:numPr>
      <w:spacing w:before="200"/>
    </w:pPr>
  </w:style>
  <w:style w:type="paragraph" w:customStyle="1" w:styleId="Point1231">
    <w:name w:val="Point 123 (1)"/>
    <w:basedOn w:val="Normal"/>
    <w:rsid w:val="006E33E2"/>
    <w:pPr>
      <w:numPr>
        <w:ilvl w:val="2"/>
        <w:numId w:val="19"/>
      </w:numPr>
      <w:outlineLvl w:val="0"/>
    </w:pPr>
  </w:style>
  <w:style w:type="paragraph" w:customStyle="1" w:styleId="Point1232">
    <w:name w:val="Point 123 (2)"/>
    <w:basedOn w:val="Normal"/>
    <w:rsid w:val="006E33E2"/>
    <w:pPr>
      <w:numPr>
        <w:ilvl w:val="4"/>
        <w:numId w:val="19"/>
      </w:numPr>
      <w:outlineLvl w:val="1"/>
    </w:pPr>
  </w:style>
  <w:style w:type="paragraph" w:customStyle="1" w:styleId="Point1233">
    <w:name w:val="Point 123 (3)"/>
    <w:basedOn w:val="Normal"/>
    <w:rsid w:val="006E33E2"/>
    <w:pPr>
      <w:numPr>
        <w:ilvl w:val="6"/>
        <w:numId w:val="19"/>
      </w:numPr>
      <w:outlineLvl w:val="2"/>
    </w:pPr>
  </w:style>
  <w:style w:type="paragraph" w:customStyle="1" w:styleId="Pointivx">
    <w:name w:val="Point ivx"/>
    <w:basedOn w:val="Normal"/>
    <w:rsid w:val="006E33E2"/>
    <w:pPr>
      <w:numPr>
        <w:numId w:val="20"/>
      </w:numPr>
      <w:spacing w:before="200"/>
    </w:pPr>
  </w:style>
  <w:style w:type="paragraph" w:customStyle="1" w:styleId="Pointivx1">
    <w:name w:val="Point ivx (1)"/>
    <w:basedOn w:val="Normal"/>
    <w:rsid w:val="006E33E2"/>
    <w:pPr>
      <w:numPr>
        <w:ilvl w:val="1"/>
        <w:numId w:val="20"/>
      </w:numPr>
      <w:outlineLvl w:val="0"/>
    </w:pPr>
  </w:style>
  <w:style w:type="paragraph" w:customStyle="1" w:styleId="Pointivx2">
    <w:name w:val="Point ivx (2)"/>
    <w:basedOn w:val="Normal"/>
    <w:rsid w:val="006E33E2"/>
    <w:pPr>
      <w:numPr>
        <w:ilvl w:val="2"/>
        <w:numId w:val="20"/>
      </w:numPr>
      <w:outlineLvl w:val="1"/>
    </w:pPr>
  </w:style>
  <w:style w:type="paragraph" w:customStyle="1" w:styleId="Pointivx3">
    <w:name w:val="Point ivx (3)"/>
    <w:basedOn w:val="Normal"/>
    <w:rsid w:val="006E33E2"/>
    <w:pPr>
      <w:numPr>
        <w:ilvl w:val="3"/>
        <w:numId w:val="20"/>
      </w:numPr>
      <w:outlineLvl w:val="2"/>
    </w:pPr>
  </w:style>
  <w:style w:type="paragraph" w:customStyle="1" w:styleId="Pointivx4">
    <w:name w:val="Point ivx (4)"/>
    <w:basedOn w:val="Normal"/>
    <w:rsid w:val="006E33E2"/>
    <w:pPr>
      <w:numPr>
        <w:ilvl w:val="4"/>
        <w:numId w:val="20"/>
      </w:numPr>
      <w:outlineLvl w:val="3"/>
    </w:pPr>
  </w:style>
  <w:style w:type="paragraph" w:customStyle="1" w:styleId="Bullet">
    <w:name w:val="Bullet"/>
    <w:basedOn w:val="Normal"/>
    <w:rsid w:val="006E33E2"/>
    <w:pPr>
      <w:numPr>
        <w:numId w:val="14"/>
      </w:numPr>
      <w:spacing w:before="200"/>
    </w:pPr>
  </w:style>
  <w:style w:type="paragraph" w:customStyle="1" w:styleId="Bullet1">
    <w:name w:val="Bullet 1"/>
    <w:basedOn w:val="Normal"/>
    <w:rsid w:val="006E33E2"/>
    <w:pPr>
      <w:numPr>
        <w:numId w:val="15"/>
      </w:numPr>
      <w:outlineLvl w:val="0"/>
    </w:pPr>
  </w:style>
  <w:style w:type="paragraph" w:customStyle="1" w:styleId="Bullet2">
    <w:name w:val="Bullet 2"/>
    <w:basedOn w:val="Normal"/>
    <w:rsid w:val="006E33E2"/>
    <w:pPr>
      <w:numPr>
        <w:numId w:val="16"/>
      </w:numPr>
      <w:outlineLvl w:val="1"/>
    </w:pPr>
  </w:style>
  <w:style w:type="paragraph" w:customStyle="1" w:styleId="Bullet3">
    <w:name w:val="Bullet 3"/>
    <w:basedOn w:val="Normal"/>
    <w:rsid w:val="006E33E2"/>
    <w:pPr>
      <w:numPr>
        <w:numId w:val="17"/>
      </w:numPr>
      <w:outlineLvl w:val="2"/>
    </w:pPr>
  </w:style>
  <w:style w:type="paragraph" w:customStyle="1" w:styleId="Bullet4">
    <w:name w:val="Bullet 4"/>
    <w:basedOn w:val="Normal"/>
    <w:rsid w:val="006E33E2"/>
    <w:pPr>
      <w:numPr>
        <w:numId w:val="18"/>
      </w:numPr>
      <w:outlineLvl w:val="3"/>
    </w:pPr>
  </w:style>
  <w:style w:type="paragraph" w:customStyle="1" w:styleId="Dash">
    <w:name w:val="Dash"/>
    <w:basedOn w:val="Normal"/>
    <w:rsid w:val="006E33E2"/>
    <w:pPr>
      <w:numPr>
        <w:numId w:val="4"/>
      </w:numPr>
      <w:spacing w:before="200"/>
    </w:pPr>
  </w:style>
  <w:style w:type="paragraph" w:customStyle="1" w:styleId="Dash1">
    <w:name w:val="Dash 1"/>
    <w:basedOn w:val="Normal"/>
    <w:rsid w:val="006E33E2"/>
    <w:pPr>
      <w:numPr>
        <w:numId w:val="5"/>
      </w:numPr>
      <w:outlineLvl w:val="0"/>
    </w:pPr>
  </w:style>
  <w:style w:type="paragraph" w:customStyle="1" w:styleId="Dash2">
    <w:name w:val="Dash 2"/>
    <w:basedOn w:val="Normal"/>
    <w:rsid w:val="006E33E2"/>
    <w:pPr>
      <w:numPr>
        <w:numId w:val="6"/>
      </w:numPr>
      <w:outlineLvl w:val="1"/>
    </w:pPr>
  </w:style>
  <w:style w:type="paragraph" w:customStyle="1" w:styleId="Dash3">
    <w:name w:val="Dash 3"/>
    <w:basedOn w:val="Normal"/>
    <w:rsid w:val="006E33E2"/>
    <w:pPr>
      <w:numPr>
        <w:numId w:val="7"/>
      </w:numPr>
      <w:outlineLvl w:val="2"/>
    </w:pPr>
  </w:style>
  <w:style w:type="paragraph" w:customStyle="1" w:styleId="Dash4">
    <w:name w:val="Dash 4"/>
    <w:basedOn w:val="Normal"/>
    <w:rsid w:val="006E33E2"/>
    <w:pPr>
      <w:numPr>
        <w:numId w:val="8"/>
      </w:numPr>
      <w:outlineLvl w:val="3"/>
    </w:pPr>
  </w:style>
  <w:style w:type="paragraph" w:customStyle="1" w:styleId="DashEqual">
    <w:name w:val="Dash Equal"/>
    <w:basedOn w:val="Dash"/>
    <w:rsid w:val="006E33E2"/>
    <w:pPr>
      <w:numPr>
        <w:numId w:val="9"/>
      </w:numPr>
    </w:pPr>
  </w:style>
  <w:style w:type="paragraph" w:customStyle="1" w:styleId="DashEqual1">
    <w:name w:val="Dash Equal 1"/>
    <w:basedOn w:val="Dash1"/>
    <w:rsid w:val="006E33E2"/>
    <w:pPr>
      <w:numPr>
        <w:numId w:val="10"/>
      </w:numPr>
    </w:pPr>
  </w:style>
  <w:style w:type="paragraph" w:customStyle="1" w:styleId="DashEqual2">
    <w:name w:val="Dash Equal 2"/>
    <w:basedOn w:val="Dash2"/>
    <w:rsid w:val="006E33E2"/>
    <w:pPr>
      <w:numPr>
        <w:numId w:val="11"/>
      </w:numPr>
    </w:pPr>
  </w:style>
  <w:style w:type="paragraph" w:customStyle="1" w:styleId="DashEqual3">
    <w:name w:val="Dash Equal 3"/>
    <w:basedOn w:val="Dash3"/>
    <w:rsid w:val="006E33E2"/>
    <w:pPr>
      <w:numPr>
        <w:numId w:val="12"/>
      </w:numPr>
    </w:pPr>
  </w:style>
  <w:style w:type="paragraph" w:customStyle="1" w:styleId="DashEqual4">
    <w:name w:val="Dash Equal 4"/>
    <w:basedOn w:val="Dash4"/>
    <w:rsid w:val="006E33E2"/>
    <w:pPr>
      <w:numPr>
        <w:numId w:val="13"/>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1"/>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2"/>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table" w:styleId="TableGrid">
    <w:name w:val="Table Grid"/>
    <w:basedOn w:val="TableNormal"/>
    <w:uiPriority w:val="59"/>
    <w:rsid w:val="00C22D61"/>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1</TotalTime>
  <Pages>11</Pages>
  <Words>2535</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PERDIGAO Carmo</dc:creator>
  <cp:lastModifiedBy>SPRANGERS Marie</cp:lastModifiedBy>
  <cp:revision>2</cp:revision>
  <cp:lastPrinted>2015-07-23T14:17:00Z</cp:lastPrinted>
  <dcterms:created xsi:type="dcterms:W3CDTF">2015-07-23T14:57:00Z</dcterms:created>
  <dcterms:modified xsi:type="dcterms:W3CDTF">2015-07-23T14:57:00Z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3.6.3, Build 20150630</vt:lpwstr>
  </property>
  <property fmtid="{D5CDD505-2E9C-101B-9397-08002B2CF9AE}" pid="5" name="SkipControlLengthPage">
    <vt:lpwstr/>
  </property>
</Properties>
</file>