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B6" w:rsidRPr="0065704C" w:rsidRDefault="0065704C" w:rsidP="0065704C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9d88dc1-33ca-45e8-aa84-65b650f93b45_0" style="width:568.55pt;height:285.95pt">
            <v:imagedata r:id="rId8" o:title=""/>
          </v:shape>
        </w:pict>
      </w:r>
      <w:bookmarkEnd w:id="0"/>
    </w:p>
    <w:p w:rsidR="007C7B20" w:rsidRPr="00AF005F" w:rsidRDefault="007C7B20" w:rsidP="007C7B20">
      <w:pPr>
        <w:pStyle w:val="HeadingCentered"/>
        <w:spacing w:before="1080" w:after="1200"/>
      </w:pPr>
      <w:r w:rsidRPr="00AF005F">
        <w:br w:type="page"/>
      </w:r>
      <w:r w:rsidRPr="00AF005F">
        <w:lastRenderedPageBreak/>
        <w:t>POINTS EN DÉLIBÉRATION PUBLIQUE</w:t>
      </w:r>
      <w:r w:rsidRPr="00AF005F">
        <w:rPr>
          <w:rStyle w:val="FootnoteReference"/>
        </w:rPr>
        <w:footnoteReference w:id="1"/>
      </w:r>
    </w:p>
    <w:p w:rsidR="007C7B20" w:rsidRPr="00AF005F" w:rsidRDefault="007C7B20" w:rsidP="007C7B20">
      <w:pPr>
        <w:pStyle w:val="NormalRight"/>
        <w:spacing w:before="0"/>
        <w:rPr>
          <w:b/>
        </w:rPr>
      </w:pPr>
      <w:r w:rsidRPr="00AF005F">
        <w:rPr>
          <w:b/>
        </w:rPr>
        <w:t>Page</w:t>
      </w:r>
    </w:p>
    <w:p w:rsidR="007C7B20" w:rsidRPr="00AF005F" w:rsidRDefault="007C7B20" w:rsidP="007C7B20">
      <w:pPr>
        <w:spacing w:before="360"/>
        <w:rPr>
          <w:bCs/>
        </w:rPr>
      </w:pPr>
      <w:r w:rsidRPr="00AF005F">
        <w:t>POINTS "B" (doc. 9610/15 OJ CONS 34 AGRI 310 PECHE 197)</w:t>
      </w:r>
    </w:p>
    <w:p w:rsidR="007C7B20" w:rsidRPr="00AF005F" w:rsidRDefault="007C7B20" w:rsidP="007C7B20">
      <w:pPr>
        <w:pStyle w:val="PointManual"/>
        <w:tabs>
          <w:tab w:val="right" w:leader="dot" w:pos="9639"/>
        </w:tabs>
        <w:spacing w:before="360"/>
        <w:rPr>
          <w:b/>
          <w:bCs/>
        </w:rPr>
      </w:pPr>
      <w:r w:rsidRPr="00AF005F">
        <w:rPr>
          <w:b/>
        </w:rPr>
        <w:t>DÉLIBÉRATIONS LÉGISLATIVES</w:t>
      </w:r>
    </w:p>
    <w:p w:rsidR="007C7B20" w:rsidRPr="00AF005F" w:rsidRDefault="007C7B20" w:rsidP="007C7B20">
      <w:pPr>
        <w:pStyle w:val="HeadingCentered"/>
        <w:spacing w:before="120"/>
        <w:rPr>
          <w:b w:val="0"/>
          <w:bCs/>
        </w:rPr>
      </w:pPr>
      <w:r w:rsidRPr="00AF005F">
        <w:rPr>
          <w:b w:val="0"/>
        </w:rPr>
        <w:t>AGRICULTURE</w:t>
      </w:r>
    </w:p>
    <w:p w:rsidR="007C7B20" w:rsidRPr="00AF005F" w:rsidRDefault="007C7B20" w:rsidP="007C7B20">
      <w:pPr>
        <w:pStyle w:val="PointManual"/>
        <w:tabs>
          <w:tab w:val="left" w:leader="dot" w:pos="9639"/>
        </w:tabs>
        <w:spacing w:before="120"/>
      </w:pPr>
      <w:r w:rsidRPr="00AF005F">
        <w:t>3.</w:t>
      </w:r>
      <w:r w:rsidRPr="00AF005F">
        <w:tab/>
        <w:t>Proposition de règlement du Parlement européen et du Conseil relatif à la production biologique et à l'étiquetage des produits biologiques, modifiant le règlement (UE) n° XXX/XXX du Parlement européen et du Conseil [règlement sur les contrôles officiels] et abrogeant le règlement (CE) n° 834/2007 du Conseil [première lecture]</w:t>
      </w:r>
      <w:r w:rsidRPr="00AF005F">
        <w:tab/>
      </w:r>
      <w:r w:rsidRPr="00AF005F">
        <w:tab/>
        <w:t>3</w:t>
      </w:r>
    </w:p>
    <w:p w:rsidR="007C7B20" w:rsidRPr="00AF005F" w:rsidRDefault="007C7B20" w:rsidP="007C68E3">
      <w:pPr>
        <w:pStyle w:val="PointManual"/>
        <w:tabs>
          <w:tab w:val="left" w:leader="dot" w:pos="9639"/>
        </w:tabs>
      </w:pPr>
      <w:r w:rsidRPr="00AF005F">
        <w:t>5.</w:t>
      </w:r>
      <w:r w:rsidRPr="00AF005F">
        <w:tab/>
        <w:t>Divers</w:t>
      </w:r>
      <w:r w:rsidRPr="00AF005F">
        <w:tab/>
        <w:t>4</w:t>
      </w:r>
    </w:p>
    <w:p w:rsidR="007C7B20" w:rsidRPr="00AF005F" w:rsidRDefault="007C7B20" w:rsidP="007C7B20">
      <w:pPr>
        <w:pStyle w:val="PointManual1"/>
        <w:spacing w:before="120"/>
        <w:rPr>
          <w:rFonts w:asciiTheme="majorBidi" w:hAnsiTheme="majorBidi" w:cstheme="majorBidi"/>
        </w:rPr>
      </w:pPr>
      <w:r w:rsidRPr="00AF005F">
        <w:t>a)</w:t>
      </w:r>
      <w:r w:rsidRPr="00AF005F">
        <w:tab/>
      </w:r>
      <w:r w:rsidRPr="00AF005F">
        <w:rPr>
          <w:rFonts w:asciiTheme="majorBidi" w:hAnsiTheme="majorBidi" w:cstheme="majorBidi"/>
        </w:rPr>
        <w:t>Propositions législatives en cours d'examen</w:t>
      </w:r>
    </w:p>
    <w:p w:rsidR="007C7B20" w:rsidRPr="00AF005F" w:rsidRDefault="007C7B20" w:rsidP="007C7B20">
      <w:pPr>
        <w:pStyle w:val="NormalCentered"/>
        <w:spacing w:before="480"/>
      </w:pPr>
      <w:r w:rsidRPr="00AF005F">
        <w:t>*</w:t>
      </w:r>
    </w:p>
    <w:p w:rsidR="007C7B20" w:rsidRPr="00AF005F" w:rsidRDefault="007C7B20" w:rsidP="007C7B20">
      <w:pPr>
        <w:pStyle w:val="NormalCentered"/>
        <w:spacing w:before="120"/>
      </w:pPr>
      <w:r w:rsidRPr="00AF005F">
        <w:t>*</w:t>
      </w:r>
      <w:r w:rsidRPr="00AF005F">
        <w:tab/>
        <w:t>*</w:t>
      </w:r>
    </w:p>
    <w:p w:rsidR="007C7B20" w:rsidRPr="00AF005F" w:rsidRDefault="007C7B20" w:rsidP="00DD221F">
      <w:pPr>
        <w:spacing w:before="600"/>
        <w:rPr>
          <w:b/>
          <w:u w:val="single"/>
        </w:rPr>
      </w:pPr>
      <w:r w:rsidRPr="00AF005F">
        <w:br w:type="page"/>
      </w:r>
      <w:r w:rsidRPr="00AF005F">
        <w:rPr>
          <w:b/>
          <w:u w:val="single"/>
        </w:rPr>
        <w:t>DÉLIBÉRATIONS LÉGISLATIVES</w:t>
      </w:r>
    </w:p>
    <w:p w:rsidR="007C7B20" w:rsidRPr="00AF005F" w:rsidRDefault="007C7B20" w:rsidP="007C7B20">
      <w:pPr>
        <w:rPr>
          <w:b/>
          <w:i/>
          <w:iCs/>
        </w:rPr>
      </w:pPr>
      <w:r w:rsidRPr="00AF005F">
        <w:rPr>
          <w:b/>
          <w:i/>
        </w:rPr>
        <w:t>(Délibération publique conformément à l'article </w:t>
      </w:r>
      <w:r w:rsidR="0065704C">
        <w:rPr>
          <w:b/>
          <w:i/>
        </w:rPr>
        <w:t>16, paragraphe 8, du traité sur </w:t>
      </w:r>
      <w:r w:rsidRPr="00AF005F">
        <w:rPr>
          <w:b/>
          <w:i/>
        </w:rPr>
        <w:t>l'Union européenne)</w:t>
      </w:r>
    </w:p>
    <w:p w:rsidR="007C7B20" w:rsidRPr="00AF005F" w:rsidRDefault="007C7B20" w:rsidP="007C7B20">
      <w:pPr>
        <w:spacing w:before="120"/>
        <w:jc w:val="center"/>
        <w:rPr>
          <w:u w:val="single"/>
        </w:rPr>
      </w:pPr>
      <w:r w:rsidRPr="00AF005F">
        <w:rPr>
          <w:u w:val="single"/>
        </w:rPr>
        <w:t>AGRICULTURE</w:t>
      </w:r>
    </w:p>
    <w:p w:rsidR="007C7B20" w:rsidRPr="00AF005F" w:rsidRDefault="007C7B20" w:rsidP="007C7B20">
      <w:pPr>
        <w:pStyle w:val="PointManual"/>
        <w:spacing w:before="120"/>
        <w:rPr>
          <w:b/>
          <w:bCs/>
        </w:rPr>
      </w:pPr>
      <w:r w:rsidRPr="00AF005F">
        <w:rPr>
          <w:b/>
        </w:rPr>
        <w:t>3.</w:t>
      </w:r>
      <w:r w:rsidRPr="00AF005F">
        <w:tab/>
      </w:r>
      <w:r w:rsidRPr="00AF005F">
        <w:rPr>
          <w:b/>
        </w:rPr>
        <w:t>Proposition de règlement du Parlement européen et du Conseil relatif à la production biologique et à l'étiquetage des produits biologiques, modifiant le règlement (UE) n° XXX/XXX du Parlement européen et du Conseil [règlement sur les contrôles officiels] et abrogeant le règlement (CE) n° 834/2007 du Conseil [première lecture]</w:t>
      </w:r>
    </w:p>
    <w:p w:rsidR="007C7B20" w:rsidRPr="00AF005F" w:rsidRDefault="007C7B20" w:rsidP="007C7B20">
      <w:pPr>
        <w:pStyle w:val="PointManual1"/>
        <w:rPr>
          <w:i/>
          <w:iCs/>
        </w:rPr>
      </w:pPr>
      <w:r w:rsidRPr="00AF005F">
        <w:rPr>
          <w:i/>
        </w:rPr>
        <w:t>Dossier interinstitutionnel: 2014/0100 (COD)</w:t>
      </w:r>
    </w:p>
    <w:p w:rsidR="007C7B20" w:rsidRPr="00AF005F" w:rsidRDefault="007C7B20" w:rsidP="00155127">
      <w:pPr>
        <w:pStyle w:val="Dash1"/>
        <w:numPr>
          <w:ilvl w:val="0"/>
          <w:numId w:val="1"/>
        </w:numPr>
        <w:rPr>
          <w:szCs w:val="20"/>
        </w:rPr>
      </w:pPr>
      <w:r w:rsidRPr="00AF005F">
        <w:t>Orientation générale</w:t>
      </w:r>
    </w:p>
    <w:p w:rsidR="007C7B20" w:rsidRPr="00AF005F" w:rsidRDefault="007C7B20" w:rsidP="007C7B20">
      <w:pPr>
        <w:pStyle w:val="Text3"/>
      </w:pPr>
      <w:r w:rsidRPr="00AF005F">
        <w:t>9750/15 AGRILEG 126 CODEC 856</w:t>
      </w:r>
    </w:p>
    <w:p w:rsidR="00CC2C28" w:rsidRPr="00AF005F" w:rsidRDefault="00CC2C28" w:rsidP="00CC2C28">
      <w:pPr>
        <w:pStyle w:val="Text1"/>
        <w:spacing w:before="200" w:line="360" w:lineRule="auto"/>
        <w:rPr>
          <w:rFonts w:eastAsiaTheme="minorHAnsi" w:cstheme="minorBidi"/>
        </w:rPr>
      </w:pPr>
      <w:r w:rsidRPr="00AF005F">
        <w:rPr>
          <w:rFonts w:eastAsiaTheme="minorHAnsi" w:cstheme="minorBidi"/>
          <w:u w:val="single"/>
        </w:rPr>
        <w:t>Plusieurs délégations</w:t>
      </w:r>
      <w:r w:rsidRPr="00AF005F">
        <w:t xml:space="preserve"> étaient d'avis que, même si le text</w:t>
      </w:r>
      <w:r w:rsidR="0065704C">
        <w:t>e ne rencontrait pas tous leurs </w:t>
      </w:r>
      <w:r w:rsidRPr="00AF005F">
        <w:t xml:space="preserve">souhaits, il présentait un équilibre subtil, de sorte qu'elles étaient disposées à lui apporter leur soutien dans un esprit de compromis. </w:t>
      </w:r>
      <w:r w:rsidRPr="00AF005F">
        <w:rPr>
          <w:rFonts w:eastAsiaTheme="minorHAnsi" w:cstheme="minorBidi"/>
          <w:u w:val="single"/>
        </w:rPr>
        <w:t>Quelques délégations</w:t>
      </w:r>
      <w:r w:rsidRPr="00AF005F">
        <w:t xml:space="preserve"> ont fait part de leur déception et regrettaient le manque d'ambition du texte, notamment en </w:t>
      </w:r>
      <w:r w:rsidR="0065704C">
        <w:t>ce qui concerne la procédure de </w:t>
      </w:r>
      <w:r w:rsidRPr="00AF005F">
        <w:t xml:space="preserve">retrait de la certification des produits biologiques contaminés et la fréquence des contrôles. Ces délégations étaient d'avis qu'il y aurait fallu renforcer les </w:t>
      </w:r>
      <w:r w:rsidR="0065704C">
        <w:t>dispositions régissant ces </w:t>
      </w:r>
      <w:r w:rsidRPr="00AF005F">
        <w:t>questions et les harmoniser entièrement afin de gara</w:t>
      </w:r>
      <w:r w:rsidR="0065704C">
        <w:t>ntir parmi les consommateurs un </w:t>
      </w:r>
      <w:r w:rsidRPr="00AF005F">
        <w:t>niveau élevé de confiance à l'égard des produits biologiques.</w:t>
      </w:r>
    </w:p>
    <w:p w:rsidR="00155127" w:rsidRPr="00AF005F" w:rsidRDefault="00CC2C28" w:rsidP="00CC2C28">
      <w:pPr>
        <w:pStyle w:val="Text1"/>
        <w:spacing w:before="200" w:line="360" w:lineRule="auto"/>
        <w:rPr>
          <w:rFonts w:eastAsiaTheme="minorHAnsi" w:cstheme="minorBidi"/>
        </w:rPr>
      </w:pPr>
      <w:r w:rsidRPr="00AF005F">
        <w:t xml:space="preserve">Durant la session, la </w:t>
      </w:r>
      <w:r w:rsidRPr="00AF005F">
        <w:rPr>
          <w:rFonts w:eastAsiaTheme="minorHAnsi" w:cstheme="minorBidi"/>
          <w:u w:val="single"/>
        </w:rPr>
        <w:t>présidence</w:t>
      </w:r>
      <w:r w:rsidRPr="00AF005F">
        <w:t xml:space="preserve"> a proposé dans un document de séance plusieurs ajustements aux articles 26 </w:t>
      </w:r>
      <w:r w:rsidRPr="0065704C">
        <w:rPr>
          <w:i/>
          <w:iCs/>
        </w:rPr>
        <w:t>ter</w:t>
      </w:r>
      <w:r w:rsidRPr="00AF005F">
        <w:t xml:space="preserve">, 26 </w:t>
      </w:r>
      <w:r w:rsidRPr="0065704C">
        <w:rPr>
          <w:i/>
          <w:iCs/>
        </w:rPr>
        <w:t>sexies</w:t>
      </w:r>
      <w:r w:rsidRPr="00AF005F">
        <w:t xml:space="preserve"> et 26 </w:t>
      </w:r>
      <w:r w:rsidRPr="0065704C">
        <w:rPr>
          <w:i/>
          <w:iCs/>
        </w:rPr>
        <w:t>septies</w:t>
      </w:r>
      <w:r w:rsidRPr="00AF005F">
        <w:t xml:space="preserve"> tels qu'ils figuraient dans son texte de compromis (doc. 9750/15).</w:t>
      </w:r>
    </w:p>
    <w:p w:rsidR="0065704C" w:rsidRDefault="00CC2C28" w:rsidP="0065704C">
      <w:pPr>
        <w:pStyle w:val="Text1"/>
        <w:spacing w:before="200" w:line="360" w:lineRule="auto"/>
      </w:pPr>
      <w:r w:rsidRPr="00AF005F">
        <w:t>Afin de parvenir à un accord, la présidence a été d'acc</w:t>
      </w:r>
      <w:r w:rsidR="0065704C">
        <w:t>ord de raccourcir la période de </w:t>
      </w:r>
      <w:r w:rsidRPr="00AF005F">
        <w:t>"non</w:t>
      </w:r>
      <w:r w:rsidR="0065704C">
        <w:noBreakHyphen/>
      </w:r>
      <w:r w:rsidRPr="00AF005F">
        <w:t>participation" (qui expire le 31 décembre 2020) pour</w:t>
      </w:r>
      <w:r w:rsidR="0065704C">
        <w:t xml:space="preserve"> les quelques États membres qui </w:t>
      </w:r>
      <w:r w:rsidRPr="00AF005F">
        <w:t>disposent, au 31 décembre 2015, de règles prévoyant que</w:t>
      </w:r>
      <w:r w:rsidR="0065704C">
        <w:t xml:space="preserve"> les produits dont la teneur en </w:t>
      </w:r>
      <w:r w:rsidRPr="00AF005F">
        <w:t>produits et substances non autorisés dépasse un certain niveau ne peuvent être commercialisés en tant que produits biologiques.</w:t>
      </w:r>
      <w:r w:rsidR="0065704C">
        <w:t xml:space="preserve"> </w:t>
      </w:r>
      <w:r w:rsidRPr="00AF005F">
        <w:t>En outre</w:t>
      </w:r>
      <w:r w:rsidR="0065704C">
        <w:t>, la présidence a introduit les </w:t>
      </w:r>
      <w:r w:rsidRPr="00AF005F">
        <w:t>modifications suivantes: l'intervalle entre deux inspections p</w:t>
      </w:r>
      <w:r w:rsidR="0065704C">
        <w:t>hysiques effectuées sur place a </w:t>
      </w:r>
      <w:r w:rsidRPr="00AF005F">
        <w:t>été réduit à trente mois, et les critères déterminant les nive</w:t>
      </w:r>
      <w:r w:rsidR="0065704C">
        <w:t>aux de risque seront définis au </w:t>
      </w:r>
      <w:r w:rsidRPr="00AF005F">
        <w:t>moyen d'un acte d'exécution.</w:t>
      </w:r>
    </w:p>
    <w:p w:rsidR="00CC2C28" w:rsidRPr="00AF005F" w:rsidRDefault="0065704C" w:rsidP="0065704C">
      <w:pPr>
        <w:spacing w:line="360" w:lineRule="auto"/>
        <w:ind w:left="567"/>
        <w:rPr>
          <w:rFonts w:eastAsiaTheme="minorHAnsi" w:cstheme="minorBidi"/>
        </w:rPr>
      </w:pPr>
      <w:r>
        <w:br w:type="page"/>
      </w:r>
      <w:r w:rsidR="00CC2C28" w:rsidRPr="00AF005F">
        <w:t xml:space="preserve">Le </w:t>
      </w:r>
      <w:r w:rsidR="00CC2C28" w:rsidRPr="00AF005F">
        <w:rPr>
          <w:rFonts w:eastAsiaTheme="minorHAnsi" w:cstheme="minorBidi"/>
          <w:u w:val="single"/>
        </w:rPr>
        <w:t>Conseil</w:t>
      </w:r>
      <w:r w:rsidR="00CC2C28" w:rsidRPr="00AF005F">
        <w:t xml:space="preserve"> a ainsi arrêté une orientation générale sur la b</w:t>
      </w:r>
      <w:r>
        <w:t>ase du document 9750/15 tel que </w:t>
      </w:r>
      <w:r w:rsidR="00CC2C28" w:rsidRPr="00AF005F">
        <w:t>modifié par le document de séance précité (le texte dé</w:t>
      </w:r>
      <w:r>
        <w:t>finitif figure dans le document </w:t>
      </w:r>
      <w:r w:rsidR="00CC2C28" w:rsidRPr="00AF005F">
        <w:t>9750/1/15 REV 1).</w:t>
      </w:r>
    </w:p>
    <w:p w:rsidR="00CC2C28" w:rsidRPr="00AF005F" w:rsidRDefault="00CC2C28" w:rsidP="0065704C">
      <w:pPr>
        <w:pStyle w:val="Text1"/>
        <w:spacing w:line="360" w:lineRule="auto"/>
        <w:rPr>
          <w:rFonts w:eastAsiaTheme="minorHAnsi" w:cstheme="minorBidi"/>
        </w:rPr>
      </w:pPr>
      <w:r w:rsidRPr="00AF005F">
        <w:t>Cinq délégations ont voté contre le texte de compromis de la présidence (</w:t>
      </w:r>
      <w:r w:rsidR="0065704C">
        <w:rPr>
          <w:rFonts w:eastAsiaTheme="minorHAnsi" w:cstheme="minorBidi"/>
          <w:u w:val="single"/>
        </w:rPr>
        <w:t>BG, BE, CZ, SK et </w:t>
      </w:r>
      <w:r w:rsidRPr="00AF005F">
        <w:rPr>
          <w:rFonts w:eastAsiaTheme="minorHAnsi" w:cstheme="minorBidi"/>
          <w:u w:val="single"/>
        </w:rPr>
        <w:t>DK</w:t>
      </w:r>
      <w:r w:rsidRPr="00AF005F">
        <w:t>) et deux délégations se sont abstenues (</w:t>
      </w:r>
      <w:r w:rsidRPr="00AF005F">
        <w:rPr>
          <w:rFonts w:eastAsiaTheme="minorHAnsi" w:cstheme="minorBidi"/>
          <w:u w:val="single"/>
        </w:rPr>
        <w:t>CY et HR</w:t>
      </w:r>
      <w:r w:rsidRPr="00AF005F">
        <w:t>).</w:t>
      </w:r>
    </w:p>
    <w:p w:rsidR="00CC2C28" w:rsidRPr="00AF005F" w:rsidRDefault="00CC2C28" w:rsidP="0065704C">
      <w:pPr>
        <w:pStyle w:val="Text1"/>
        <w:spacing w:before="200" w:line="360" w:lineRule="auto"/>
        <w:rPr>
          <w:rFonts w:eastAsiaTheme="minorHAnsi" w:cstheme="minorBidi"/>
        </w:rPr>
      </w:pPr>
      <w:r w:rsidRPr="00AF005F">
        <w:t xml:space="preserve">La </w:t>
      </w:r>
      <w:r w:rsidRPr="00AF005F">
        <w:rPr>
          <w:rFonts w:eastAsiaTheme="minorHAnsi" w:cstheme="minorBidi"/>
          <w:u w:val="single"/>
        </w:rPr>
        <w:t>délégation italienne</w:t>
      </w:r>
      <w:r w:rsidRPr="00AF005F">
        <w:t xml:space="preserve"> a assorti son soutien au compromis de la présidence d'une déclaration, dont le texte figure en annexe, à laquelle se sont ralliés Chypre, la Grèce</w:t>
      </w:r>
      <w:r w:rsidR="0065704C">
        <w:t>, l'Espagne, la </w:t>
      </w:r>
      <w:r w:rsidRPr="00AF005F">
        <w:t>Croatie, la Roumanie et la Slovénie.</w:t>
      </w:r>
    </w:p>
    <w:p w:rsidR="007C7B20" w:rsidRPr="00AF005F" w:rsidRDefault="007C7B20" w:rsidP="00CC2C28">
      <w:pPr>
        <w:pStyle w:val="PointManual"/>
        <w:tabs>
          <w:tab w:val="right" w:leader="dot" w:pos="9639"/>
        </w:tabs>
        <w:spacing w:before="600"/>
        <w:rPr>
          <w:b/>
        </w:rPr>
      </w:pPr>
      <w:r w:rsidRPr="00AF005F">
        <w:rPr>
          <w:b/>
        </w:rPr>
        <w:t>ACTIVITÉS NON LÉGISLATIVES</w:t>
      </w:r>
    </w:p>
    <w:p w:rsidR="007C7B20" w:rsidRPr="00AF005F" w:rsidRDefault="007C7B20" w:rsidP="007C7B20">
      <w:pPr>
        <w:rPr>
          <w:b/>
          <w:bCs/>
          <w:i/>
          <w:iCs/>
        </w:rPr>
      </w:pPr>
      <w:r w:rsidRPr="00AF005F">
        <w:rPr>
          <w:b/>
          <w:i/>
        </w:rPr>
        <w:t>(Délibération publique conformément à l'article 16, paragraphe 8, du traité sur l'Union européenne)</w:t>
      </w:r>
    </w:p>
    <w:p w:rsidR="007C7B20" w:rsidRPr="00AF005F" w:rsidRDefault="007C7B20" w:rsidP="007C7B20">
      <w:pPr>
        <w:pStyle w:val="PointManual"/>
        <w:spacing w:before="360"/>
        <w:rPr>
          <w:rFonts w:eastAsia="Calibri"/>
          <w:b/>
          <w:bCs/>
        </w:rPr>
      </w:pPr>
      <w:r w:rsidRPr="00AF005F">
        <w:rPr>
          <w:b/>
        </w:rPr>
        <w:t>5.</w:t>
      </w:r>
      <w:r w:rsidRPr="00AF005F">
        <w:tab/>
      </w:r>
      <w:r w:rsidRPr="00AF005F">
        <w:rPr>
          <w:b/>
        </w:rPr>
        <w:t>Divers</w:t>
      </w:r>
    </w:p>
    <w:p w:rsidR="007C7B20" w:rsidRPr="00AF005F" w:rsidRDefault="007C7B20" w:rsidP="007C68E3">
      <w:pPr>
        <w:pStyle w:val="Text1"/>
        <w:spacing w:before="240"/>
        <w:rPr>
          <w:rFonts w:eastAsia="Calibri"/>
          <w:u w:val="single"/>
        </w:rPr>
      </w:pPr>
      <w:r w:rsidRPr="00AF005F">
        <w:rPr>
          <w:u w:val="single"/>
        </w:rPr>
        <w:t>Agriculture</w:t>
      </w:r>
    </w:p>
    <w:p w:rsidR="007C7B20" w:rsidRPr="00AF005F" w:rsidRDefault="007C68E3" w:rsidP="007C68E3">
      <w:pPr>
        <w:pStyle w:val="PointManual1"/>
        <w:spacing w:before="200"/>
        <w:rPr>
          <w:b/>
          <w:bCs/>
        </w:rPr>
      </w:pPr>
      <w:r w:rsidRPr="00AF005F">
        <w:rPr>
          <w:b/>
        </w:rPr>
        <w:t>a)</w:t>
      </w:r>
      <w:r w:rsidRPr="00AF005F">
        <w:tab/>
      </w:r>
      <w:r w:rsidRPr="00AF005F">
        <w:rPr>
          <w:b/>
        </w:rPr>
        <w:t>Proposition législative en cours d'examen</w:t>
      </w:r>
    </w:p>
    <w:p w:rsidR="007C68E3" w:rsidRPr="00AF005F" w:rsidRDefault="007C68E3" w:rsidP="007C68E3">
      <w:pPr>
        <w:pStyle w:val="Text2"/>
        <w:rPr>
          <w:i/>
          <w:iCs/>
        </w:rPr>
      </w:pPr>
      <w:r w:rsidRPr="00AF005F">
        <w:rPr>
          <w:i/>
        </w:rPr>
        <w:t>(Délibération publique conformément à l'article 16, paragraphe 8, du traité sur l'Union européenne)</w:t>
      </w:r>
    </w:p>
    <w:p w:rsidR="007C7B20" w:rsidRPr="00AF005F" w:rsidRDefault="007C7B20" w:rsidP="00155127">
      <w:pPr>
        <w:pStyle w:val="Bullet2"/>
        <w:numPr>
          <w:ilvl w:val="0"/>
          <w:numId w:val="21"/>
        </w:numPr>
        <w:spacing w:before="120"/>
        <w:rPr>
          <w:b/>
          <w:bCs/>
        </w:rPr>
      </w:pPr>
      <w:r w:rsidRPr="00AF005F">
        <w:rPr>
          <w:b/>
        </w:rPr>
        <w:t>Proposition de règlement du Parlement euro</w:t>
      </w:r>
      <w:r w:rsidR="0065704C">
        <w:rPr>
          <w:b/>
        </w:rPr>
        <w:t>péen et du Conseil relatif à la </w:t>
      </w:r>
      <w:r w:rsidRPr="00AF005F">
        <w:rPr>
          <w:b/>
        </w:rPr>
        <w:t>santé animale [première lecture]</w:t>
      </w:r>
    </w:p>
    <w:p w:rsidR="007C7B20" w:rsidRPr="00AF005F" w:rsidRDefault="007C7B20" w:rsidP="00155127">
      <w:pPr>
        <w:pStyle w:val="Dash3"/>
        <w:numPr>
          <w:ilvl w:val="0"/>
          <w:numId w:val="22"/>
        </w:numPr>
      </w:pPr>
      <w:r w:rsidRPr="00AF005F">
        <w:t>Informations communiquées par la présidence</w:t>
      </w:r>
    </w:p>
    <w:p w:rsidR="007C7B20" w:rsidRPr="00AF005F" w:rsidRDefault="007C7B20" w:rsidP="007C7B20">
      <w:pPr>
        <w:pStyle w:val="Text2"/>
        <w:spacing w:before="160" w:line="312" w:lineRule="auto"/>
        <w:rPr>
          <w:szCs w:val="20"/>
        </w:rPr>
      </w:pPr>
      <w:r w:rsidRPr="00AF005F">
        <w:rPr>
          <w:u w:val="single"/>
        </w:rPr>
        <w:t>Le Conseil</w:t>
      </w:r>
      <w:r w:rsidRPr="00AF005F">
        <w:t xml:space="preserve"> a pris note des informations communiquées</w:t>
      </w:r>
      <w:r w:rsidR="0065704C">
        <w:t xml:space="preserve"> par la présidence sur l'accord </w:t>
      </w:r>
      <w:bookmarkStart w:id="1" w:name="_GoBack"/>
      <w:bookmarkEnd w:id="1"/>
      <w:r w:rsidRPr="00AF005F">
        <w:t>provisoire conclu entre les trois institutions en ce</w:t>
      </w:r>
      <w:r w:rsidR="0065704C">
        <w:t xml:space="preserve"> qui concerne la proposition de </w:t>
      </w:r>
      <w:r w:rsidRPr="00AF005F">
        <w:t>règlement relatif à la santé animale.</w:t>
      </w:r>
    </w:p>
    <w:p w:rsidR="00FC4670" w:rsidRPr="00F10A07" w:rsidRDefault="00FC4670" w:rsidP="000874B6">
      <w:pPr>
        <w:pStyle w:val="FinalLine"/>
      </w:pPr>
    </w:p>
    <w:sectPr w:rsidR="00FC4670" w:rsidRPr="00F10A07" w:rsidSect="0065704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B6" w:rsidRDefault="000874B6" w:rsidP="000874B6">
      <w:r>
        <w:separator/>
      </w:r>
    </w:p>
  </w:endnote>
  <w:endnote w:type="continuationSeparator" w:id="0">
    <w:p w:rsidR="000874B6" w:rsidRDefault="000874B6" w:rsidP="0008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5704C" w:rsidRPr="00D94637" w:rsidTr="006570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5704C" w:rsidRPr="00D94637" w:rsidRDefault="006570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5704C" w:rsidRPr="00B310DC" w:rsidTr="006570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5704C" w:rsidRPr="00AD7BF2" w:rsidRDefault="0065704C" w:rsidP="004F54B2">
          <w:pPr>
            <w:pStyle w:val="FooterText"/>
          </w:pPr>
          <w:r>
            <w:t>10002/15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5704C" w:rsidRPr="00AD7BF2" w:rsidRDefault="006570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5704C" w:rsidRPr="002511D8" w:rsidRDefault="0065704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5704C" w:rsidRPr="00B310DC" w:rsidRDefault="006570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948A9">
            <w:rPr>
              <w:noProof/>
            </w:rPr>
            <w:t>4</w:t>
          </w:r>
          <w:r>
            <w:fldChar w:fldCharType="end"/>
          </w:r>
        </w:p>
      </w:tc>
    </w:tr>
    <w:tr w:rsidR="0065704C" w:rsidRPr="00D94637" w:rsidTr="0065704C">
      <w:trPr>
        <w:jc w:val="center"/>
      </w:trPr>
      <w:tc>
        <w:tcPr>
          <w:tcW w:w="1774" w:type="pct"/>
          <w:shd w:val="clear" w:color="auto" w:fill="auto"/>
        </w:tcPr>
        <w:p w:rsidR="0065704C" w:rsidRPr="00AD7BF2" w:rsidRDefault="006570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5704C" w:rsidRPr="00AD7BF2" w:rsidRDefault="0065704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5704C" w:rsidRPr="00D94637" w:rsidRDefault="006570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5704C" w:rsidRPr="00D94637" w:rsidRDefault="006570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874B6" w:rsidRPr="0065704C" w:rsidRDefault="000874B6" w:rsidP="0065704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5704C" w:rsidRPr="00D94637" w:rsidTr="006570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5704C" w:rsidRPr="00D94637" w:rsidRDefault="006570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5704C" w:rsidRPr="00B310DC" w:rsidTr="006570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5704C" w:rsidRPr="00AD7BF2" w:rsidRDefault="0065704C" w:rsidP="004F54B2">
          <w:pPr>
            <w:pStyle w:val="FooterText"/>
          </w:pPr>
          <w:r>
            <w:t>10002/15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5704C" w:rsidRPr="00AD7BF2" w:rsidRDefault="006570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5704C" w:rsidRPr="002511D8" w:rsidRDefault="0065704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5704C" w:rsidRPr="00B310DC" w:rsidRDefault="006570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948A9">
            <w:rPr>
              <w:noProof/>
            </w:rPr>
            <w:t>1</w:t>
          </w:r>
          <w:r>
            <w:fldChar w:fldCharType="end"/>
          </w:r>
        </w:p>
      </w:tc>
    </w:tr>
    <w:tr w:rsidR="0065704C" w:rsidRPr="00D94637" w:rsidTr="0065704C">
      <w:trPr>
        <w:jc w:val="center"/>
      </w:trPr>
      <w:tc>
        <w:tcPr>
          <w:tcW w:w="1774" w:type="pct"/>
          <w:shd w:val="clear" w:color="auto" w:fill="auto"/>
        </w:tcPr>
        <w:p w:rsidR="0065704C" w:rsidRPr="00AD7BF2" w:rsidRDefault="006570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5704C" w:rsidRPr="00AD7BF2" w:rsidRDefault="0065704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5704C" w:rsidRPr="00D94637" w:rsidRDefault="006570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5704C" w:rsidRPr="00D94637" w:rsidRDefault="006570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874B6" w:rsidRPr="0065704C" w:rsidRDefault="000874B6" w:rsidP="0065704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B6" w:rsidRDefault="000874B6" w:rsidP="000874B6">
      <w:r>
        <w:separator/>
      </w:r>
    </w:p>
  </w:footnote>
  <w:footnote w:type="continuationSeparator" w:id="0">
    <w:p w:rsidR="000874B6" w:rsidRDefault="000874B6" w:rsidP="000874B6">
      <w:r>
        <w:continuationSeparator/>
      </w:r>
    </w:p>
  </w:footnote>
  <w:footnote w:id="1">
    <w:p w:rsidR="007C7B20" w:rsidRPr="00110623" w:rsidRDefault="007C7B20" w:rsidP="007C7B20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</w:t>
      </w:r>
      <w:r w:rsidR="0065704C">
        <w:t>, paragraphe 8, du TUE), autres </w:t>
      </w:r>
      <w:r>
        <w:t>délibérations ouvertes au public et débats publics (arti</w:t>
      </w:r>
      <w:r w:rsidR="0065704C">
        <w:t>cle 8 du règlement intérieur du </w:t>
      </w:r>
      <w:r>
        <w:t>Conseil).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1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 w:numId="21">
    <w:abstractNumId w:val="8"/>
    <w:lvlOverride w:ilvl="0">
      <w:startOverride w:val="1"/>
    </w:lvlOverride>
  </w:num>
  <w:num w:numId="22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3&quot; technicalblockguid=&quot;89d88dc1-33ca-45e8-aa84-65b650f93b45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7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0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4&lt;/text&gt;_x000d__x000a_      &lt;text&gt;AGRI 334&lt;/text&gt;_x000d__x000a_      &lt;text&gt;PECHE 21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7e session du Conseil de l'Union européenne (AGRICULTURE ET PÊCHE), tenue à Luxembourg le16 juin 2015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FontWeight=&quot;Bold&quot;&amp;gt;3397&amp;lt;/Run&amp;gt;&amp;lt;Run BaselineAlignment=&quot;Superscript&quot; FontWeight=&quot;Bold&quot;&amp;gt;e&amp;lt;/Run&amp;gt; session du Conseil de l'Union européenne (&amp;lt;Run FontWeight=&quot;Bold&quot;&amp;gt;AGRICULTURE ET PÊCHE&amp;lt;/Run&amp;gt;), tenue à Luxembourg le16 juin 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0874B6"/>
    <w:rsid w:val="00010C1D"/>
    <w:rsid w:val="000874B6"/>
    <w:rsid w:val="0009656C"/>
    <w:rsid w:val="00110623"/>
    <w:rsid w:val="00155127"/>
    <w:rsid w:val="00165755"/>
    <w:rsid w:val="00182F2F"/>
    <w:rsid w:val="001C1958"/>
    <w:rsid w:val="00213F1F"/>
    <w:rsid w:val="002A2AE8"/>
    <w:rsid w:val="002D204B"/>
    <w:rsid w:val="002E7AF7"/>
    <w:rsid w:val="003C6E8B"/>
    <w:rsid w:val="00463E0E"/>
    <w:rsid w:val="005157F5"/>
    <w:rsid w:val="0063379B"/>
    <w:rsid w:val="0065704C"/>
    <w:rsid w:val="006A38C5"/>
    <w:rsid w:val="006C1AD4"/>
    <w:rsid w:val="006E33E2"/>
    <w:rsid w:val="006F4741"/>
    <w:rsid w:val="00735CAB"/>
    <w:rsid w:val="0075756A"/>
    <w:rsid w:val="007874E8"/>
    <w:rsid w:val="007A2D80"/>
    <w:rsid w:val="007C68E3"/>
    <w:rsid w:val="007C7B20"/>
    <w:rsid w:val="00825503"/>
    <w:rsid w:val="008826F8"/>
    <w:rsid w:val="008F2AAB"/>
    <w:rsid w:val="009948A9"/>
    <w:rsid w:val="00A0697C"/>
    <w:rsid w:val="00A469D7"/>
    <w:rsid w:val="00A547D9"/>
    <w:rsid w:val="00AF005F"/>
    <w:rsid w:val="00BE1373"/>
    <w:rsid w:val="00CC2C28"/>
    <w:rsid w:val="00D44D75"/>
    <w:rsid w:val="00D451E4"/>
    <w:rsid w:val="00DD221F"/>
    <w:rsid w:val="00EE29D4"/>
    <w:rsid w:val="00F10A0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874B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874B6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874B6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874B6"/>
  </w:style>
  <w:style w:type="character" w:customStyle="1" w:styleId="PointManualChar">
    <w:name w:val="Point Manual Char"/>
    <w:locked/>
    <w:rsid w:val="007C7B20"/>
    <w:rPr>
      <w:sz w:val="24"/>
      <w:szCs w:val="24"/>
      <w:lang w:val="fr-FR" w:eastAsia="fr-FR"/>
    </w:rPr>
  </w:style>
  <w:style w:type="character" w:customStyle="1" w:styleId="Text3Char">
    <w:name w:val="Text 3 Char"/>
    <w:locked/>
    <w:rsid w:val="007C7B20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D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D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EE29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2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2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2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5704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874B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874B6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874B6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874B6"/>
  </w:style>
  <w:style w:type="character" w:customStyle="1" w:styleId="PointManualChar">
    <w:name w:val="Point Manual Char"/>
    <w:locked/>
    <w:rsid w:val="007C7B20"/>
    <w:rPr>
      <w:sz w:val="24"/>
      <w:szCs w:val="24"/>
      <w:lang w:val="fr-FR" w:eastAsia="fr-FR"/>
    </w:rPr>
  </w:style>
  <w:style w:type="character" w:customStyle="1" w:styleId="Text3Char">
    <w:name w:val="Text 3 Char"/>
    <w:locked/>
    <w:rsid w:val="007C7B20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D4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D4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EE29D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2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2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2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5704C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7"/>
      </w:numPr>
    </w:pPr>
  </w:style>
  <w:style w:type="paragraph" w:customStyle="1" w:styleId="DashEqual1">
    <w:name w:val="Dash Equal 1"/>
    <w:basedOn w:val="Dash1"/>
    <w:rsid w:val="006E33E2"/>
    <w:pPr>
      <w:numPr>
        <w:numId w:val="8"/>
      </w:numPr>
    </w:pPr>
  </w:style>
  <w:style w:type="paragraph" w:customStyle="1" w:styleId="DashEqual2">
    <w:name w:val="Dash Equal 2"/>
    <w:basedOn w:val="Dash2"/>
    <w:rsid w:val="006E33E2"/>
    <w:pPr>
      <w:numPr>
        <w:numId w:val="9"/>
      </w:numPr>
    </w:pPr>
  </w:style>
  <w:style w:type="paragraph" w:customStyle="1" w:styleId="DashEqual3">
    <w:name w:val="Dash Equal 3"/>
    <w:basedOn w:val="Dash3"/>
    <w:rsid w:val="006E33E2"/>
    <w:pPr>
      <w:numPr>
        <w:numId w:val="10"/>
      </w:numPr>
    </w:pPr>
  </w:style>
  <w:style w:type="paragraph" w:customStyle="1" w:styleId="DashEqual4">
    <w:name w:val="Dash Equal 4"/>
    <w:basedOn w:val="Dash4"/>
    <w:rsid w:val="006E33E2"/>
    <w:pPr>
      <w:numPr>
        <w:numId w:val="1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FORTAN Kelly</cp:lastModifiedBy>
  <cp:revision>2</cp:revision>
  <cp:lastPrinted>2015-07-14T13:30:00Z</cp:lastPrinted>
  <dcterms:created xsi:type="dcterms:W3CDTF">2015-07-14T13:30:00Z</dcterms:created>
  <dcterms:modified xsi:type="dcterms:W3CDTF">2015-07-14T13:30:00Z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  <property fmtid="{D5CDD505-2E9C-101B-9397-08002B2CF9AE}" pid="5" name="SkipControlLengthPage">
    <vt:lpwstr/>
  </property>
</Properties>
</file>