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69" w:rsidRPr="00E209D4" w:rsidRDefault="00A33142" w:rsidP="00E209D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449a41-116c-4738-a75c-a45196ef362b_0" style="width:568.5pt;height:285.65pt">
            <v:imagedata r:id="rId8" o:title=""/>
          </v:shape>
        </w:pict>
      </w:r>
      <w:bookmarkEnd w:id="0"/>
    </w:p>
    <w:p w:rsidR="00D83A35" w:rsidRPr="007A1E26" w:rsidRDefault="00D83A35" w:rsidP="00D83A35">
      <w:pPr>
        <w:pStyle w:val="HeadingCentered"/>
        <w:spacing w:before="1080" w:after="1200"/>
      </w:pPr>
      <w:r w:rsidRPr="007A1E26">
        <w:br w:type="page"/>
      </w:r>
      <w:r w:rsidRPr="007A1E26">
        <w:lastRenderedPageBreak/>
        <w:t>ТОЧКИ ЗА ОТКРИТО ОБСЪЖДАНЕ</w:t>
      </w:r>
      <w:r w:rsidRPr="007A1E26">
        <w:rPr>
          <w:rStyle w:val="FootnoteReference"/>
        </w:rPr>
        <w:footnoteReference w:id="1"/>
      </w:r>
    </w:p>
    <w:p w:rsidR="00D83A35" w:rsidRPr="007A1E26" w:rsidRDefault="00D83A35" w:rsidP="00D83A35">
      <w:pPr>
        <w:pStyle w:val="NormalRight"/>
        <w:spacing w:before="0"/>
        <w:rPr>
          <w:b/>
        </w:rPr>
      </w:pPr>
      <w:r w:rsidRPr="007A1E26">
        <w:rPr>
          <w:b/>
        </w:rPr>
        <w:t>Страница</w:t>
      </w:r>
    </w:p>
    <w:p w:rsidR="00D83A35" w:rsidRPr="007A1E26" w:rsidRDefault="00D83A35" w:rsidP="00D83A35">
      <w:pPr>
        <w:pStyle w:val="HeadingLeft"/>
        <w:spacing w:before="120"/>
        <w:rPr>
          <w:u w:val="none"/>
        </w:rPr>
      </w:pPr>
      <w:r w:rsidRPr="007A1E26">
        <w:rPr>
          <w:u w:val="none"/>
        </w:rPr>
        <w:t>ОБСЪЖДАНИЯ НА ЗАКОНОДАТЕЛНИ АКТОВЕ</w:t>
      </w:r>
    </w:p>
    <w:p w:rsidR="00D83A35" w:rsidRPr="007A1E26" w:rsidRDefault="00D83A35" w:rsidP="00D83A35">
      <w:pPr>
        <w:spacing w:before="360"/>
        <w:rPr>
          <w:bCs/>
        </w:rPr>
      </w:pPr>
      <w:r w:rsidRPr="007A1E26">
        <w:rPr>
          <w:u w:val="single"/>
        </w:rPr>
        <w:t>ТОЧКИ А</w:t>
      </w:r>
      <w:r w:rsidRPr="007A1E26">
        <w:t xml:space="preserve"> (док. 9603/15 PTS A 46)</w:t>
      </w:r>
    </w:p>
    <w:p w:rsidR="00D83A35" w:rsidRPr="007A1E26" w:rsidRDefault="00D83A35" w:rsidP="000C500D">
      <w:pPr>
        <w:pStyle w:val="PointManual"/>
        <w:tabs>
          <w:tab w:val="left" w:leader="dot" w:pos="9639"/>
        </w:tabs>
      </w:pPr>
      <w:r w:rsidRPr="007A1E26">
        <w:t>1.</w:t>
      </w:r>
      <w:r w:rsidRPr="007A1E26">
        <w:tab/>
        <w:t>Проект за позиция на Съвета на първо четене с оглед на приемането на регламент на Европейския парламент и на Съвета за изменение на Регламент (ЕО) № 515/97 на Съвета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[първо четене] (ЗА)</w:t>
      </w:r>
      <w:r w:rsidRPr="007A1E26">
        <w:tab/>
        <w:t>3</w:t>
      </w:r>
    </w:p>
    <w:p w:rsidR="00D83A35" w:rsidRPr="007A1E26" w:rsidRDefault="00D83A35" w:rsidP="000C500D">
      <w:pPr>
        <w:pStyle w:val="PointManual"/>
        <w:tabs>
          <w:tab w:val="left" w:leader="dot" w:pos="9639"/>
        </w:tabs>
      </w:pPr>
      <w:r w:rsidRPr="007A1E26">
        <w:t>2.</w:t>
      </w:r>
      <w:r w:rsidRPr="007A1E26">
        <w:tab/>
        <w:t>Проект за регламент на Европейския парламент и на Съвета относно предпазните мерки, предвидени в Споразумението между Европейската икономическа общност и Конфедерация Швейцария (кодифициран текст) [първо четене] (ЗА)</w:t>
      </w:r>
      <w:r w:rsidRPr="007A1E26">
        <w:tab/>
        <w:t>3</w:t>
      </w:r>
    </w:p>
    <w:p w:rsidR="00D83A35" w:rsidRPr="007A1E26" w:rsidRDefault="00D83A35" w:rsidP="00D83A35">
      <w:pPr>
        <w:spacing w:before="720"/>
        <w:rPr>
          <w:bCs/>
        </w:rPr>
      </w:pPr>
      <w:r w:rsidRPr="007A1E26">
        <w:rPr>
          <w:u w:val="single"/>
        </w:rPr>
        <w:t>ТОЧКИ Б</w:t>
      </w:r>
      <w:r w:rsidRPr="007A1E26">
        <w:t xml:space="preserve"> (док. 9581/15 OJ CONS 32 ENV 386)</w:t>
      </w:r>
    </w:p>
    <w:p w:rsidR="003E60EE" w:rsidRPr="007A1E26" w:rsidRDefault="003E60EE" w:rsidP="003E60EE">
      <w:pPr>
        <w:pStyle w:val="PointManual"/>
        <w:tabs>
          <w:tab w:val="right" w:leader="dot" w:pos="9639"/>
        </w:tabs>
      </w:pPr>
      <w:r w:rsidRPr="007A1E26">
        <w:t>4.</w:t>
      </w:r>
      <w:r w:rsidRPr="007A1E26">
        <w:tab/>
        <w:t>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2003/35/ЕО [първо четене]</w:t>
      </w:r>
      <w:r w:rsidRPr="007A1E26">
        <w:tab/>
      </w:r>
      <w:r w:rsidRPr="007A1E26">
        <w:tab/>
        <w:t>4</w:t>
      </w:r>
    </w:p>
    <w:p w:rsidR="00D83A35" w:rsidRPr="007A1E26" w:rsidRDefault="009A736B" w:rsidP="009A736B">
      <w:pPr>
        <w:pStyle w:val="PointManual"/>
        <w:tabs>
          <w:tab w:val="left" w:leader="dot" w:pos="9639"/>
        </w:tabs>
      </w:pPr>
      <w:r w:rsidRPr="007A1E26">
        <w:t>6.</w:t>
      </w:r>
      <w:r w:rsidRPr="007A1E26">
        <w:tab/>
        <w:t>Други въпроси</w:t>
      </w:r>
      <w:r w:rsidRPr="007A1E26">
        <w:tab/>
        <w:t>5</w:t>
      </w:r>
    </w:p>
    <w:p w:rsidR="00D83A35" w:rsidRPr="007A1E26" w:rsidRDefault="00D83A35" w:rsidP="00D83A35">
      <w:pPr>
        <w:pStyle w:val="PointManual1"/>
        <w:spacing w:before="120"/>
        <w:rPr>
          <w:rFonts w:asciiTheme="majorBidi" w:hAnsiTheme="majorBidi" w:cstheme="majorBidi"/>
        </w:rPr>
      </w:pPr>
      <w:r w:rsidRPr="007A1E26">
        <w:t>а)</w:t>
      </w:r>
      <w:r w:rsidRPr="007A1E26">
        <w:tab/>
      </w:r>
      <w:r w:rsidRPr="007A1E26">
        <w:rPr>
          <w:rFonts w:asciiTheme="majorBidi" w:hAnsiTheme="majorBidi" w:cstheme="majorBidi"/>
        </w:rPr>
        <w:t>Текущо законодателно предложение</w:t>
      </w:r>
    </w:p>
    <w:p w:rsidR="00D83A35" w:rsidRPr="007A1E26" w:rsidRDefault="00D83A35" w:rsidP="0053552E">
      <w:pPr>
        <w:pStyle w:val="Bullet2"/>
        <w:numPr>
          <w:ilvl w:val="0"/>
          <w:numId w:val="1"/>
        </w:numPr>
      </w:pPr>
      <w:r w:rsidRPr="007A1E26">
        <w:t xml:space="preserve">Предложение за решение на Европейския парламент и на Съвета относно създаването и функционирането на резерв за стабилност на пазара към Схемата на ЕС за търговия с емисии на парникови газове и за изменение на Директива 2003/87/ЕО </w:t>
      </w:r>
      <w:r w:rsidRPr="007A1E26">
        <w:rPr>
          <w:rFonts w:asciiTheme="majorBidi" w:hAnsiTheme="majorBidi" w:cstheme="majorBidi"/>
        </w:rPr>
        <w:t>[първо четене]</w:t>
      </w:r>
    </w:p>
    <w:p w:rsidR="00D83A35" w:rsidRPr="007A1E26" w:rsidRDefault="00D83A35" w:rsidP="00D83A35">
      <w:pPr>
        <w:pStyle w:val="NormalCentered"/>
        <w:spacing w:before="480"/>
      </w:pPr>
      <w:r w:rsidRPr="007A1E26">
        <w:t>*</w:t>
      </w:r>
    </w:p>
    <w:p w:rsidR="00D83A35" w:rsidRPr="007A1E26" w:rsidRDefault="00D83A35" w:rsidP="00D83A35">
      <w:pPr>
        <w:pStyle w:val="NormalCentered"/>
        <w:spacing w:before="120"/>
      </w:pPr>
      <w:r w:rsidRPr="007A1E26">
        <w:t>*</w:t>
      </w:r>
      <w:r w:rsidRPr="007A1E26">
        <w:tab/>
        <w:t>*</w:t>
      </w:r>
    </w:p>
    <w:p w:rsidR="00D83A35" w:rsidRPr="007A1E26" w:rsidRDefault="00D83A35" w:rsidP="002D31AE">
      <w:pPr>
        <w:spacing w:before="600"/>
        <w:rPr>
          <w:b/>
          <w:u w:val="single"/>
        </w:rPr>
      </w:pPr>
      <w:r w:rsidRPr="007A1E26">
        <w:br w:type="page"/>
      </w:r>
      <w:r w:rsidRPr="007A1E26">
        <w:rPr>
          <w:b/>
          <w:u w:val="single"/>
        </w:rPr>
        <w:lastRenderedPageBreak/>
        <w:t>ОБСЪЖДАНИЯ НА ЗАКОНОДАТЕЛНИ АКТОВЕ</w:t>
      </w:r>
    </w:p>
    <w:p w:rsidR="00D83A35" w:rsidRPr="007A1E26" w:rsidRDefault="00D83A35" w:rsidP="00D83A35">
      <w:pPr>
        <w:rPr>
          <w:b/>
          <w:i/>
          <w:iCs/>
        </w:rPr>
      </w:pPr>
      <w:r w:rsidRPr="007A1E26">
        <w:rPr>
          <w:b/>
          <w:i/>
        </w:rPr>
        <w:t>(открито обсъждане съгласно член 16, параграф 8 от Договора за Европейския съюз)</w:t>
      </w:r>
    </w:p>
    <w:p w:rsidR="00D83A35" w:rsidRPr="007A1E26" w:rsidRDefault="00D83A35" w:rsidP="00D83A35">
      <w:pPr>
        <w:spacing w:before="160"/>
        <w:rPr>
          <w:bCs/>
        </w:rPr>
      </w:pPr>
      <w:r w:rsidRPr="007A1E26">
        <w:rPr>
          <w:u w:val="single"/>
        </w:rPr>
        <w:t>ТОЧКИ А</w:t>
      </w:r>
    </w:p>
    <w:p w:rsidR="00D83A35" w:rsidRPr="007A1E26" w:rsidRDefault="00D83A35" w:rsidP="00D83A35">
      <w:pPr>
        <w:pStyle w:val="PointManual"/>
        <w:spacing w:before="160"/>
        <w:rPr>
          <w:b/>
          <w:bCs/>
        </w:rPr>
      </w:pPr>
      <w:r w:rsidRPr="007A1E26">
        <w:rPr>
          <w:b/>
        </w:rPr>
        <w:t>1.</w:t>
      </w:r>
      <w:r w:rsidRPr="007A1E26">
        <w:tab/>
      </w:r>
      <w:r w:rsidRPr="007A1E26">
        <w:rPr>
          <w:b/>
        </w:rPr>
        <w:t>Проект за позиция на Съвета на първо четене с оглед на приемането на регламент на Европейския парламент и на Съвета за изменение на Регламент (ЕО) № 515/97 на Съвета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[първо четене] (ЗА)</w:t>
      </w:r>
    </w:p>
    <w:p w:rsidR="00D83A35" w:rsidRPr="007A1E26" w:rsidRDefault="00D83A35" w:rsidP="0053552E">
      <w:pPr>
        <w:pStyle w:val="DashEqual1"/>
        <w:numPr>
          <w:ilvl w:val="0"/>
          <w:numId w:val="22"/>
        </w:numPr>
      </w:pPr>
      <w:r w:rsidRPr="007A1E26">
        <w:t>Приемане</w:t>
      </w:r>
    </w:p>
    <w:p w:rsidR="00D83A35" w:rsidRPr="007A1E26" w:rsidRDefault="00EB0967" w:rsidP="00EB0967">
      <w:pPr>
        <w:ind w:left="1701" w:hanging="567"/>
      </w:pPr>
      <w:r>
        <w:t>а)</w:t>
      </w:r>
      <w:r>
        <w:tab/>
      </w:r>
      <w:r w:rsidR="00D83A35" w:rsidRPr="00EB0967">
        <w:t xml:space="preserve">на </w:t>
      </w:r>
      <w:r w:rsidR="00D83A35" w:rsidRPr="007A1E26">
        <w:t>позицията на Съвета на първо четене</w:t>
      </w:r>
    </w:p>
    <w:p w:rsidR="00D83A35" w:rsidRPr="007A1E26" w:rsidRDefault="00EB0967" w:rsidP="00EB0967">
      <w:pPr>
        <w:ind w:left="1701" w:hanging="567"/>
      </w:pPr>
      <w:r>
        <w:t>б)</w:t>
      </w:r>
      <w:r>
        <w:tab/>
      </w:r>
      <w:r w:rsidR="00D83A35" w:rsidRPr="00EB0967">
        <w:t xml:space="preserve">на </w:t>
      </w:r>
      <w:r w:rsidR="00D83A35" w:rsidRPr="007A1E26">
        <w:t>изложението на мотивите на Съвета</w:t>
      </w:r>
    </w:p>
    <w:p w:rsidR="00D83A35" w:rsidRPr="007A1E26" w:rsidRDefault="00D83A35" w:rsidP="00D83A35">
      <w:pPr>
        <w:pStyle w:val="Text3"/>
      </w:pPr>
      <w:r w:rsidRPr="007A1E26">
        <w:t>9582/1/15 REV 1 CODEC 830 UD 138 AGRI 308 ENFOCUSTOM 50</w:t>
      </w:r>
    </w:p>
    <w:p w:rsidR="00D83A35" w:rsidRPr="007A1E26" w:rsidRDefault="00D83A35" w:rsidP="00D83A35">
      <w:pPr>
        <w:pStyle w:val="Text3"/>
      </w:pPr>
      <w:r w:rsidRPr="007A1E26">
        <w:t>8257/15 UD 93 AGRI 217 ENFOCUSTOM 33 CODEC 585</w:t>
      </w:r>
    </w:p>
    <w:p w:rsidR="00D83A35" w:rsidRPr="007A1E26" w:rsidRDefault="00D83A35" w:rsidP="00D83A35">
      <w:pPr>
        <w:pStyle w:val="Text4"/>
      </w:pPr>
      <w:r w:rsidRPr="007A1E26">
        <w:t>+ COR 1</w:t>
      </w:r>
    </w:p>
    <w:p w:rsidR="00D83A35" w:rsidRPr="007A1E26" w:rsidRDefault="00D83A35" w:rsidP="00D83A35">
      <w:pPr>
        <w:pStyle w:val="Text4"/>
      </w:pPr>
      <w:r w:rsidRPr="007A1E26">
        <w:t>+ ADD 1</w:t>
      </w:r>
    </w:p>
    <w:p w:rsidR="00D83A35" w:rsidRPr="007A1E26" w:rsidRDefault="00D83A35" w:rsidP="00D83A35">
      <w:pPr>
        <w:pStyle w:val="Text4"/>
      </w:pPr>
      <w:r w:rsidRPr="007A1E26">
        <w:t>+ REV 1 (lt)</w:t>
      </w:r>
    </w:p>
    <w:p w:rsidR="00D83A35" w:rsidRPr="007A1E26" w:rsidRDefault="00D83A35" w:rsidP="00D83A35">
      <w:pPr>
        <w:pStyle w:val="Text4"/>
      </w:pPr>
      <w:r w:rsidRPr="007A1E26">
        <w:t>+ REV 2 (el)</w:t>
      </w:r>
    </w:p>
    <w:p w:rsidR="00D83A35" w:rsidRPr="007A1E26" w:rsidRDefault="00D83A35" w:rsidP="00D83A35">
      <w:pPr>
        <w:pStyle w:val="Text3"/>
      </w:pPr>
      <w:r w:rsidRPr="007A1E26">
        <w:t>одобрено от Корепер (І част) на 10.6.2015 г.</w:t>
      </w:r>
    </w:p>
    <w:p w:rsidR="00D83A35" w:rsidRPr="007A1E26" w:rsidRDefault="00D83A35" w:rsidP="00D83A35">
      <w:pPr>
        <w:pStyle w:val="Text1"/>
        <w:spacing w:before="200" w:line="360" w:lineRule="auto"/>
        <w:rPr>
          <w:color w:val="000000"/>
        </w:rPr>
      </w:pPr>
      <w:r w:rsidRPr="007A1E26">
        <w:rPr>
          <w:u w:val="single"/>
        </w:rPr>
        <w:t>Съветът</w:t>
      </w:r>
      <w:r w:rsidRPr="007A1E26">
        <w:t xml:space="preserve"> одобри позицията си на първо четене, като </w:t>
      </w:r>
      <w:r w:rsidRPr="007A1E26">
        <w:rPr>
          <w:u w:val="single"/>
        </w:rPr>
        <w:t>делегацията на Испания</w:t>
      </w:r>
      <w:r w:rsidRPr="007A1E26">
        <w:t xml:space="preserve"> се въздържа, а </w:t>
      </w:r>
      <w:r w:rsidRPr="007A1E26">
        <w:rPr>
          <w:u w:val="single"/>
        </w:rPr>
        <w:t>делегациите на Германия и Австрия</w:t>
      </w:r>
      <w:r w:rsidRPr="007A1E26">
        <w:t xml:space="preserve"> гласуваха против, в съответствие с член 294, параграф 5 от Договора за функционирането на Европейския съюз. (правно основание: член 33 и член 325 от ДФЕС)</w:t>
      </w:r>
    </w:p>
    <w:p w:rsidR="00D83A35" w:rsidRPr="007A1E26" w:rsidRDefault="00D83A35" w:rsidP="00D83A35">
      <w:pPr>
        <w:pStyle w:val="PointManual"/>
        <w:spacing w:before="480"/>
        <w:rPr>
          <w:b/>
          <w:bCs/>
        </w:rPr>
      </w:pPr>
      <w:r w:rsidRPr="007A1E26">
        <w:rPr>
          <w:b/>
        </w:rPr>
        <w:t>2.</w:t>
      </w:r>
      <w:r w:rsidRPr="007A1E26">
        <w:tab/>
      </w:r>
      <w:r w:rsidRPr="007A1E26">
        <w:rPr>
          <w:b/>
        </w:rPr>
        <w:t>Проект за регламент на Европейския парламент и на Съвета относно предпазните мерки, предвидени в Споразумението между Европейската икономическа общност и Конфедерация Швейцария (кодифициран текст) [първо четене] (ЗА)</w:t>
      </w:r>
    </w:p>
    <w:p w:rsidR="00D83A35" w:rsidRPr="007A1E26" w:rsidRDefault="00D83A35" w:rsidP="00D83A35">
      <w:pPr>
        <w:pStyle w:val="DashEqual1"/>
        <w:rPr>
          <w:spacing w:val="-3"/>
        </w:rPr>
      </w:pPr>
      <w:r w:rsidRPr="007A1E26">
        <w:t>Приемане на законодателния акт</w:t>
      </w:r>
    </w:p>
    <w:p w:rsidR="00D83A35" w:rsidRPr="007A1E26" w:rsidRDefault="00D83A35" w:rsidP="00D83A35">
      <w:pPr>
        <w:pStyle w:val="Text3"/>
      </w:pPr>
      <w:r w:rsidRPr="007A1E26">
        <w:t>9577/15</w:t>
      </w:r>
      <w:r w:rsidRPr="007A1E26">
        <w:rPr>
          <w:b/>
        </w:rPr>
        <w:t xml:space="preserve"> </w:t>
      </w:r>
      <w:r w:rsidRPr="007A1E26">
        <w:t>CODEC 827 CODIF 71 ECO 68 INST 189</w:t>
      </w:r>
      <w:r w:rsidRPr="007A1E26">
        <w:rPr>
          <w:b/>
        </w:rPr>
        <w:t xml:space="preserve"> </w:t>
      </w:r>
      <w:r w:rsidRPr="007A1E26">
        <w:t>MI 371</w:t>
      </w:r>
    </w:p>
    <w:p w:rsidR="00D83A35" w:rsidRPr="007A1E26" w:rsidRDefault="00D83A35" w:rsidP="00D83A35">
      <w:pPr>
        <w:pStyle w:val="Text3"/>
      </w:pPr>
      <w:r w:rsidRPr="007A1E26">
        <w:t>PE-CONS 23/15 CODIF 48 ECO 44 INST 112 MI 233 CODEC 521</w:t>
      </w:r>
    </w:p>
    <w:p w:rsidR="00D83A35" w:rsidRPr="007A1E26" w:rsidRDefault="00D83A35" w:rsidP="00D83A35">
      <w:pPr>
        <w:pStyle w:val="Text3"/>
      </w:pPr>
      <w:r w:rsidRPr="007A1E26">
        <w:t>одобрено от Корепер (ІІ част) на 12.6.2015 г.</w:t>
      </w:r>
    </w:p>
    <w:p w:rsidR="00D83A35" w:rsidRPr="007A1E26" w:rsidRDefault="00D83A35" w:rsidP="00D83A35">
      <w:pPr>
        <w:pStyle w:val="Text1"/>
        <w:spacing w:before="200" w:line="360" w:lineRule="auto"/>
      </w:pPr>
      <w:r w:rsidRPr="007A1E26">
        <w:rPr>
          <w:u w:val="single"/>
        </w:rPr>
        <w:t>Съветът</w:t>
      </w:r>
      <w:r w:rsidRPr="007A1E26">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ДФЕС).</w:t>
      </w:r>
    </w:p>
    <w:p w:rsidR="00D83A35" w:rsidRPr="007A1E26" w:rsidRDefault="00D83A35" w:rsidP="00FE725A">
      <w:pPr>
        <w:pageBreakBefore/>
        <w:rPr>
          <w:bCs/>
        </w:rPr>
      </w:pPr>
      <w:r w:rsidRPr="007A1E26">
        <w:rPr>
          <w:u w:val="single"/>
        </w:rPr>
        <w:lastRenderedPageBreak/>
        <w:t>ТОЧКИ Б</w:t>
      </w:r>
    </w:p>
    <w:p w:rsidR="000C500D" w:rsidRPr="007A1E26" w:rsidRDefault="000C500D" w:rsidP="000C500D">
      <w:pPr>
        <w:pStyle w:val="PointManual"/>
        <w:spacing w:before="240"/>
        <w:rPr>
          <w:rFonts w:eastAsia="Arial Unicode MS"/>
          <w:b/>
          <w:bCs/>
        </w:rPr>
      </w:pPr>
      <w:r w:rsidRPr="007A1E26">
        <w:rPr>
          <w:b/>
          <w:color w:val="000000"/>
        </w:rPr>
        <w:t>4.</w:t>
      </w:r>
      <w:r w:rsidRPr="007A1E26">
        <w:tab/>
      </w:r>
      <w:r w:rsidRPr="007A1E26">
        <w:rPr>
          <w:b/>
        </w:rPr>
        <w:t>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2003/35/ЕО [първо четене]</w:t>
      </w:r>
    </w:p>
    <w:p w:rsidR="000C500D" w:rsidRPr="007A1E26" w:rsidRDefault="000C500D" w:rsidP="000C500D">
      <w:pPr>
        <w:pStyle w:val="Text1"/>
        <w:rPr>
          <w:i/>
          <w:iCs/>
          <w:color w:val="000000"/>
        </w:rPr>
      </w:pPr>
      <w:r w:rsidRPr="007A1E26">
        <w:rPr>
          <w:i/>
        </w:rPr>
        <w:t>Междуинституционално досие: 2013/0443 (COD)</w:t>
      </w:r>
    </w:p>
    <w:p w:rsidR="000C500D" w:rsidRPr="007A1E26" w:rsidRDefault="000C500D" w:rsidP="0053552E">
      <w:pPr>
        <w:pStyle w:val="Dash1"/>
        <w:numPr>
          <w:ilvl w:val="0"/>
          <w:numId w:val="23"/>
        </w:numPr>
      </w:pPr>
      <w:r w:rsidRPr="007A1E26">
        <w:t>Ориентационен дебат</w:t>
      </w:r>
    </w:p>
    <w:p w:rsidR="000C500D" w:rsidRPr="007A1E26" w:rsidRDefault="000C500D" w:rsidP="000C500D">
      <w:pPr>
        <w:pStyle w:val="Text3"/>
        <w:tabs>
          <w:tab w:val="right" w:pos="9498"/>
        </w:tabs>
      </w:pPr>
      <w:r w:rsidRPr="007A1E26">
        <w:t>18167/13 ENV 1235 ENER 600 IND 388 TRANS 693 ENT 356 SAN 555</w:t>
      </w:r>
    </w:p>
    <w:p w:rsidR="000C500D" w:rsidRPr="007A1E26" w:rsidRDefault="000C500D" w:rsidP="000C500D">
      <w:pPr>
        <w:pStyle w:val="Text5"/>
      </w:pPr>
      <w:r w:rsidRPr="007A1E26">
        <w:t>PARLNAT 325 CODEC 3086</w:t>
      </w:r>
    </w:p>
    <w:p w:rsidR="000C500D" w:rsidRPr="007A1E26" w:rsidRDefault="000C500D" w:rsidP="000C500D">
      <w:pPr>
        <w:pStyle w:val="Text4"/>
        <w:tabs>
          <w:tab w:val="right" w:pos="9498"/>
        </w:tabs>
      </w:pPr>
      <w:r w:rsidRPr="007A1E26">
        <w:t>+ ADD 1</w:t>
      </w:r>
    </w:p>
    <w:p w:rsidR="000C500D" w:rsidRPr="007A1E26" w:rsidRDefault="000C500D" w:rsidP="000C500D">
      <w:pPr>
        <w:pStyle w:val="Text4"/>
        <w:tabs>
          <w:tab w:val="right" w:pos="9498"/>
        </w:tabs>
      </w:pPr>
      <w:r w:rsidRPr="007A1E26">
        <w:t>+ ADD 6</w:t>
      </w:r>
    </w:p>
    <w:p w:rsidR="000C500D" w:rsidRPr="007A1E26" w:rsidRDefault="000C500D" w:rsidP="000C500D">
      <w:pPr>
        <w:pStyle w:val="Text3"/>
        <w:tabs>
          <w:tab w:val="right" w:pos="9498"/>
        </w:tabs>
      </w:pPr>
      <w:r w:rsidRPr="007A1E26">
        <w:rPr>
          <w:color w:val="000000"/>
        </w:rPr>
        <w:t xml:space="preserve">9247/15 </w:t>
      </w:r>
      <w:r w:rsidRPr="007A1E26">
        <w:t>ENV 346 ENER 203 IND 87 TRANS 177 ENT 96 SAN 157</w:t>
      </w:r>
    </w:p>
    <w:p w:rsidR="000C500D" w:rsidRPr="007A1E26" w:rsidRDefault="000C500D" w:rsidP="000C500D">
      <w:pPr>
        <w:pStyle w:val="Text5"/>
      </w:pPr>
      <w:r w:rsidRPr="007A1E26">
        <w:t>PARLNAT 55 CODEC 777</w:t>
      </w:r>
    </w:p>
    <w:p w:rsidR="009A736B" w:rsidRPr="007A1E26" w:rsidRDefault="009A736B" w:rsidP="00FE725A">
      <w:pPr>
        <w:pStyle w:val="Text1"/>
        <w:spacing w:before="120" w:line="360" w:lineRule="auto"/>
      </w:pPr>
      <w:r w:rsidRPr="007A1E26">
        <w:rPr>
          <w:u w:val="single"/>
        </w:rPr>
        <w:t>Съветът</w:t>
      </w:r>
      <w:r w:rsidRPr="007A1E26">
        <w:t xml:space="preserve"> проведе ориентационен дебат относно предложението за директива за намаляване на националните емисии на някои атмосферни замърсители, която е част от Програмата за чист въздух за Европа. В предложението на Комисията се установяват цели за намаляване на емисиите с оглед намаляване на случаите на преждевременна смърт през 2030 г. с поне 50 %. Министрите принципно подкрепиха тази цел, но същевременно мнозинството от тях призова за по-реалистични и постижими ангажименти.</w:t>
      </w:r>
    </w:p>
    <w:p w:rsidR="009A736B" w:rsidRPr="007A1E26" w:rsidRDefault="009A736B" w:rsidP="00FE725A">
      <w:pPr>
        <w:pStyle w:val="Text1"/>
        <w:spacing w:before="120" w:line="360" w:lineRule="auto"/>
      </w:pPr>
      <w:r w:rsidRPr="007A1E26">
        <w:t xml:space="preserve">По-конкретно, докато </w:t>
      </w:r>
      <w:r w:rsidRPr="007A1E26">
        <w:rPr>
          <w:u w:val="single"/>
        </w:rPr>
        <w:t>няколко държави членки</w:t>
      </w:r>
      <w:r w:rsidRPr="007A1E26">
        <w:t xml:space="preserve"> изтъкнаха някои технически аспекти и необходимостта от продължаване на оценяването на последиците от предложението и на разликите в данните по отношение на специфични сектори в анализа на Комисията, други държави членки ясно посочиха трудностите за постигане на намаление на емисиите от специфични замърсители и/или в специфични сектори. За много държави членки целите за намаляване на емисиите не са достатъчно реалистични, особено по отношение на праха и амоняка, и/или стойностите им са твърде близо до „максималните технически постижими намаления“ съгласно анализа на разходите и ползите.</w:t>
      </w:r>
    </w:p>
    <w:p w:rsidR="009A736B" w:rsidRPr="007A1E26" w:rsidRDefault="009A736B" w:rsidP="00FE725A">
      <w:pPr>
        <w:pStyle w:val="Text1"/>
        <w:spacing w:before="120" w:line="360" w:lineRule="auto"/>
      </w:pPr>
      <w:r w:rsidRPr="007A1E26">
        <w:t xml:space="preserve">Сред възможните решения </w:t>
      </w:r>
      <w:r w:rsidRPr="007A1E26">
        <w:rPr>
          <w:u w:val="single"/>
        </w:rPr>
        <w:t>министрите</w:t>
      </w:r>
      <w:r w:rsidRPr="007A1E26">
        <w:t xml:space="preserve"> посочиха въвеждането на механизъм за гъвкавост за изменяне на целите при възникването на непредвидени тенденции в дългосрочен план, свързани с икономическото положение (включително селскостопанския сектор) или с развитието в областта на енергийния микс (жилищно отопление/градски зони). Някои министри смятат, че за момента целите за 2030 г. следва да имат само показателна стойност, като през 2020 г. следва евентуално да бъдат преразгледани. Други министри обаче подчертаха необходимостта обвързващите цели да бъдат запазени и предупредиха, че твърде много гъвкавост би могла да представлява риск за постигането на целите на директивата.</w:t>
      </w:r>
    </w:p>
    <w:p w:rsidR="009A736B" w:rsidRPr="007A1E26" w:rsidRDefault="009A736B" w:rsidP="0053552E">
      <w:pPr>
        <w:pStyle w:val="Text1"/>
        <w:pageBreakBefore/>
        <w:spacing w:before="600" w:line="360" w:lineRule="auto"/>
      </w:pPr>
      <w:r w:rsidRPr="007A1E26">
        <w:rPr>
          <w:u w:val="single"/>
        </w:rPr>
        <w:t>Мнозинството държави членки</w:t>
      </w:r>
      <w:r w:rsidRPr="007A1E26">
        <w:t xml:space="preserve"> приветства предложението метанът да отпадне от обхвата на директивата, както е посочено в настоящия компромисен текст на председателството. Това е в отговор на опасенията за възможно припокриване с ангажиментите, свързани с целите за намаляване на емисиите на парникови газове.</w:t>
      </w:r>
    </w:p>
    <w:p w:rsidR="009A736B" w:rsidRPr="007A1E26" w:rsidRDefault="009A736B" w:rsidP="0053552E">
      <w:pPr>
        <w:pStyle w:val="Text1"/>
        <w:spacing w:before="240" w:line="360" w:lineRule="auto"/>
      </w:pPr>
      <w:r w:rsidRPr="007A1E26">
        <w:rPr>
          <w:u w:val="single"/>
        </w:rPr>
        <w:t>Комисията</w:t>
      </w:r>
      <w:r w:rsidRPr="007A1E26">
        <w:t xml:space="preserve"> заяви, че метанът следва да бъде запазен в обхвата на предложението. Тя потвърди също така, че ще помогне за намирането на някои решения на посочените по време на дебата проблеми, доколкото измененията биха се прилагали хоризонтално и без да се намалява нивото на амбиция на предложението. Председателството подкрепи Комисията по тази последна точка, като същевременно припомни, че целите следва също да бъдат реалистични и постижими. Писмените коментари по този дебат могат да се проследят в док. 9930/15.</w:t>
      </w:r>
    </w:p>
    <w:p w:rsidR="000C500D" w:rsidRPr="007A1E26" w:rsidRDefault="000C500D" w:rsidP="009A736B">
      <w:pPr>
        <w:pStyle w:val="PointManual"/>
        <w:spacing w:before="720"/>
        <w:rPr>
          <w:b/>
          <w:bCs/>
        </w:rPr>
      </w:pPr>
      <w:r w:rsidRPr="007A1E26">
        <w:rPr>
          <w:b/>
        </w:rPr>
        <w:t>6.</w:t>
      </w:r>
      <w:r w:rsidRPr="007A1E26">
        <w:tab/>
      </w:r>
      <w:r w:rsidRPr="007A1E26">
        <w:rPr>
          <w:b/>
        </w:rPr>
        <w:t>Други въпроси</w:t>
      </w:r>
    </w:p>
    <w:p w:rsidR="000C500D" w:rsidRPr="007A1E26" w:rsidRDefault="000C500D" w:rsidP="000C500D">
      <w:pPr>
        <w:pStyle w:val="PointManual1"/>
        <w:spacing w:before="360"/>
        <w:rPr>
          <w:b/>
          <w:bCs/>
        </w:rPr>
      </w:pPr>
      <w:r w:rsidRPr="007A1E26">
        <w:rPr>
          <w:b/>
        </w:rPr>
        <w:t>г)</w:t>
      </w:r>
      <w:r w:rsidRPr="007A1E26">
        <w:tab/>
      </w:r>
      <w:r w:rsidRPr="007A1E26">
        <w:rPr>
          <w:b/>
        </w:rPr>
        <w:t>Текущо законодателно предложение:</w:t>
      </w:r>
    </w:p>
    <w:p w:rsidR="000C500D" w:rsidRPr="007A1E26" w:rsidRDefault="000C500D" w:rsidP="000C500D">
      <w:pPr>
        <w:pStyle w:val="PointManual2"/>
        <w:rPr>
          <w:bCs/>
          <w:i/>
          <w:iCs/>
        </w:rPr>
      </w:pPr>
      <w:r w:rsidRPr="007A1E26">
        <w:rPr>
          <w:i/>
        </w:rPr>
        <w:t>(открито обсъждане съгласно член 16, параграф 8 от Договора за Европейския съюз)</w:t>
      </w:r>
    </w:p>
    <w:p w:rsidR="000C500D" w:rsidRPr="007A1E26" w:rsidRDefault="000C500D" w:rsidP="000C500D">
      <w:pPr>
        <w:pStyle w:val="Bullet2"/>
        <w:rPr>
          <w:b/>
          <w:bCs/>
        </w:rPr>
      </w:pPr>
      <w:r w:rsidRPr="007A1E26">
        <w:rPr>
          <w:b/>
        </w:rPr>
        <w:t>Предложение за решение на Европейския парламент и на Съвета относно създаването и функционирането на резерв за стабилност на пазара към Схемата на ЕС за търговия с емисии на парникови газове и за изменение на Директива 2003/87/ЕО</w:t>
      </w:r>
    </w:p>
    <w:p w:rsidR="000C500D" w:rsidRPr="007A1E26" w:rsidRDefault="000C500D" w:rsidP="000C500D">
      <w:pPr>
        <w:pStyle w:val="PointManual3"/>
        <w:rPr>
          <w:b/>
          <w:bCs/>
        </w:rPr>
      </w:pPr>
      <w:r w:rsidRPr="007A1E26">
        <w:rPr>
          <w:b/>
        </w:rPr>
        <w:t>[първо четене]</w:t>
      </w:r>
    </w:p>
    <w:p w:rsidR="000C500D" w:rsidRPr="007A1E26" w:rsidRDefault="000C500D" w:rsidP="000C500D">
      <w:pPr>
        <w:pStyle w:val="PointManual3"/>
        <w:rPr>
          <w:i/>
          <w:iCs/>
        </w:rPr>
      </w:pPr>
      <w:r w:rsidRPr="007A1E26">
        <w:rPr>
          <w:i/>
        </w:rPr>
        <w:t>Междуинституционално досие: 2014/0011 (COD)</w:t>
      </w:r>
    </w:p>
    <w:p w:rsidR="000C500D" w:rsidRPr="007A1E26" w:rsidRDefault="000C500D" w:rsidP="0053552E">
      <w:pPr>
        <w:pStyle w:val="Dash3"/>
        <w:numPr>
          <w:ilvl w:val="0"/>
          <w:numId w:val="24"/>
        </w:numPr>
      </w:pPr>
      <w:r w:rsidRPr="007A1E26">
        <w:t>Информация от председателството</w:t>
      </w:r>
    </w:p>
    <w:p w:rsidR="0053552E" w:rsidRPr="007A1E26" w:rsidRDefault="000C500D" w:rsidP="00E50B76">
      <w:pPr>
        <w:pStyle w:val="Text3"/>
        <w:spacing w:before="200" w:line="312" w:lineRule="auto"/>
      </w:pPr>
      <w:r w:rsidRPr="007A1E26">
        <w:rPr>
          <w:u w:val="single"/>
        </w:rPr>
        <w:t>Съветът</w:t>
      </w:r>
      <w:r w:rsidRPr="007A1E26">
        <w:t xml:space="preserve"> взе под внимание предоставената от председателството информация относно временното споразумение, постигнато с Европейския парламент.</w:t>
      </w:r>
    </w:p>
    <w:p w:rsidR="0053552E" w:rsidRPr="007A1E26" w:rsidRDefault="000C500D" w:rsidP="00E50B76">
      <w:pPr>
        <w:pStyle w:val="Text3"/>
        <w:spacing w:before="200" w:line="312" w:lineRule="auto"/>
        <w:rPr>
          <w:color w:val="000000"/>
          <w:szCs w:val="20"/>
        </w:rPr>
      </w:pPr>
      <w:r w:rsidRPr="007A1E26">
        <w:rPr>
          <w:color w:val="000000"/>
          <w:u w:val="single"/>
        </w:rPr>
        <w:t>Делегацията на Полша</w:t>
      </w:r>
      <w:r w:rsidRPr="007A1E26">
        <w:t>, разочарована от постигнатото споразумение, обяви, че ще направи изявление по време на официалното приемане.</w:t>
      </w:r>
    </w:p>
    <w:p w:rsidR="00FC4670" w:rsidRPr="009B5E40" w:rsidRDefault="00FC4670" w:rsidP="000C500D">
      <w:pPr>
        <w:pStyle w:val="FinalLine"/>
        <w:spacing w:before="120" w:after="0"/>
        <w:ind w:left="3402" w:right="3402"/>
      </w:pPr>
    </w:p>
    <w:sectPr w:rsidR="00FC4670" w:rsidRPr="009B5E40" w:rsidSect="00A33142">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969" w:rsidRDefault="00546969" w:rsidP="00546969">
      <w:r>
        <w:separator/>
      </w:r>
    </w:p>
  </w:endnote>
  <w:endnote w:type="continuationSeparator" w:id="0">
    <w:p w:rsidR="00546969" w:rsidRDefault="00546969" w:rsidP="0054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DB" w:rsidRPr="00A33142" w:rsidRDefault="008A35DB" w:rsidP="00A33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33142" w:rsidRPr="00D94637" w:rsidTr="00A33142">
      <w:trPr>
        <w:jc w:val="center"/>
      </w:trPr>
      <w:tc>
        <w:tcPr>
          <w:tcW w:w="5000" w:type="pct"/>
          <w:gridSpan w:val="7"/>
          <w:shd w:val="clear" w:color="auto" w:fill="auto"/>
          <w:tcMar>
            <w:top w:w="57" w:type="dxa"/>
          </w:tcMar>
        </w:tcPr>
        <w:p w:rsidR="00A33142" w:rsidRPr="00D94637" w:rsidRDefault="00A33142" w:rsidP="00D94637">
          <w:pPr>
            <w:pStyle w:val="FooterText"/>
            <w:pBdr>
              <w:top w:val="single" w:sz="4" w:space="1" w:color="auto"/>
            </w:pBdr>
            <w:spacing w:before="200"/>
            <w:rPr>
              <w:sz w:val="2"/>
              <w:szCs w:val="2"/>
            </w:rPr>
          </w:pPr>
          <w:bookmarkStart w:id="2" w:name="FOOTER_STANDARD"/>
        </w:p>
      </w:tc>
    </w:tr>
    <w:tr w:rsidR="00A33142" w:rsidRPr="00B310DC" w:rsidTr="00A33142">
      <w:trPr>
        <w:jc w:val="center"/>
      </w:trPr>
      <w:tc>
        <w:tcPr>
          <w:tcW w:w="2500" w:type="pct"/>
          <w:gridSpan w:val="2"/>
          <w:shd w:val="clear" w:color="auto" w:fill="auto"/>
          <w:tcMar>
            <w:top w:w="0" w:type="dxa"/>
          </w:tcMar>
        </w:tcPr>
        <w:p w:rsidR="00A33142" w:rsidRPr="00AD7BF2" w:rsidRDefault="00A33142" w:rsidP="004F54B2">
          <w:pPr>
            <w:pStyle w:val="FooterText"/>
          </w:pPr>
          <w:r>
            <w:t>9933/15</w:t>
          </w:r>
          <w:r w:rsidRPr="002511D8">
            <w:t xml:space="preserve"> </w:t>
          </w:r>
          <w:r>
            <w:t>ADD 1</w:t>
          </w:r>
        </w:p>
      </w:tc>
      <w:tc>
        <w:tcPr>
          <w:tcW w:w="625" w:type="pct"/>
          <w:shd w:val="clear" w:color="auto" w:fill="auto"/>
          <w:tcMar>
            <w:top w:w="0" w:type="dxa"/>
          </w:tcMar>
        </w:tcPr>
        <w:p w:rsidR="00A33142" w:rsidRPr="00AD7BF2" w:rsidRDefault="00A33142" w:rsidP="00D94637">
          <w:pPr>
            <w:pStyle w:val="FooterText"/>
            <w:jc w:val="center"/>
          </w:pPr>
        </w:p>
      </w:tc>
      <w:tc>
        <w:tcPr>
          <w:tcW w:w="1287" w:type="pct"/>
          <w:gridSpan w:val="3"/>
          <w:shd w:val="clear" w:color="auto" w:fill="auto"/>
          <w:tcMar>
            <w:top w:w="0" w:type="dxa"/>
          </w:tcMar>
        </w:tcPr>
        <w:p w:rsidR="00A33142" w:rsidRPr="002511D8" w:rsidRDefault="00A33142" w:rsidP="00D94637">
          <w:pPr>
            <w:pStyle w:val="FooterText"/>
            <w:jc w:val="center"/>
          </w:pPr>
          <w:r>
            <w:t>vat/SN/nb</w:t>
          </w:r>
        </w:p>
      </w:tc>
      <w:tc>
        <w:tcPr>
          <w:tcW w:w="588" w:type="pct"/>
          <w:shd w:val="clear" w:color="auto" w:fill="auto"/>
          <w:tcMar>
            <w:top w:w="0" w:type="dxa"/>
          </w:tcMar>
        </w:tcPr>
        <w:p w:rsidR="00A33142" w:rsidRPr="00B310DC" w:rsidRDefault="00A33142"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A33142" w:rsidRPr="00D94637" w:rsidTr="00A33142">
      <w:trPr>
        <w:jc w:val="center"/>
      </w:trPr>
      <w:tc>
        <w:tcPr>
          <w:tcW w:w="1774" w:type="pct"/>
          <w:shd w:val="clear" w:color="auto" w:fill="auto"/>
        </w:tcPr>
        <w:p w:rsidR="00A33142" w:rsidRPr="00AD7BF2" w:rsidRDefault="00A33142" w:rsidP="00D94637">
          <w:pPr>
            <w:pStyle w:val="FooterText"/>
            <w:spacing w:before="40"/>
          </w:pPr>
        </w:p>
      </w:tc>
      <w:tc>
        <w:tcPr>
          <w:tcW w:w="1455" w:type="pct"/>
          <w:gridSpan w:val="3"/>
          <w:shd w:val="clear" w:color="auto" w:fill="auto"/>
        </w:tcPr>
        <w:p w:rsidR="00A33142" w:rsidRPr="00AD7BF2" w:rsidRDefault="00A33142" w:rsidP="00D204D6">
          <w:pPr>
            <w:pStyle w:val="FooterText"/>
            <w:spacing w:before="40"/>
            <w:jc w:val="center"/>
          </w:pPr>
          <w:r>
            <w:t>DPG</w:t>
          </w:r>
        </w:p>
      </w:tc>
      <w:tc>
        <w:tcPr>
          <w:tcW w:w="1147" w:type="pct"/>
          <w:shd w:val="clear" w:color="auto" w:fill="auto"/>
        </w:tcPr>
        <w:p w:rsidR="00A33142" w:rsidRPr="00D94637" w:rsidRDefault="00A33142" w:rsidP="00D94637">
          <w:pPr>
            <w:pStyle w:val="FooterText"/>
            <w:jc w:val="right"/>
            <w:rPr>
              <w:b/>
              <w:position w:val="-4"/>
              <w:sz w:val="36"/>
            </w:rPr>
          </w:pPr>
        </w:p>
      </w:tc>
      <w:tc>
        <w:tcPr>
          <w:tcW w:w="625" w:type="pct"/>
          <w:gridSpan w:val="2"/>
          <w:shd w:val="clear" w:color="auto" w:fill="auto"/>
        </w:tcPr>
        <w:p w:rsidR="00A33142" w:rsidRPr="00D94637" w:rsidRDefault="00A33142" w:rsidP="00D94637">
          <w:pPr>
            <w:pStyle w:val="FooterText"/>
            <w:jc w:val="right"/>
            <w:rPr>
              <w:sz w:val="16"/>
            </w:rPr>
          </w:pPr>
          <w:r>
            <w:rPr>
              <w:b/>
              <w:position w:val="-4"/>
              <w:sz w:val="36"/>
            </w:rPr>
            <w:t>BG</w:t>
          </w:r>
        </w:p>
      </w:tc>
    </w:tr>
    <w:bookmarkEnd w:id="2"/>
  </w:tbl>
  <w:p w:rsidR="00546969" w:rsidRPr="00A33142" w:rsidRDefault="00546969" w:rsidP="00A3314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33142" w:rsidRPr="00D94637" w:rsidTr="00A33142">
      <w:trPr>
        <w:jc w:val="center"/>
      </w:trPr>
      <w:tc>
        <w:tcPr>
          <w:tcW w:w="5000" w:type="pct"/>
          <w:gridSpan w:val="7"/>
          <w:shd w:val="clear" w:color="auto" w:fill="auto"/>
          <w:tcMar>
            <w:top w:w="57" w:type="dxa"/>
          </w:tcMar>
        </w:tcPr>
        <w:p w:rsidR="00A33142" w:rsidRPr="00D94637" w:rsidRDefault="00A33142" w:rsidP="00D94637">
          <w:pPr>
            <w:pStyle w:val="FooterText"/>
            <w:pBdr>
              <w:top w:val="single" w:sz="4" w:space="1" w:color="auto"/>
            </w:pBdr>
            <w:spacing w:before="200"/>
            <w:rPr>
              <w:sz w:val="2"/>
              <w:szCs w:val="2"/>
            </w:rPr>
          </w:pPr>
        </w:p>
      </w:tc>
    </w:tr>
    <w:tr w:rsidR="00A33142" w:rsidRPr="00B310DC" w:rsidTr="00A33142">
      <w:trPr>
        <w:jc w:val="center"/>
      </w:trPr>
      <w:tc>
        <w:tcPr>
          <w:tcW w:w="2500" w:type="pct"/>
          <w:gridSpan w:val="2"/>
          <w:shd w:val="clear" w:color="auto" w:fill="auto"/>
          <w:tcMar>
            <w:top w:w="0" w:type="dxa"/>
          </w:tcMar>
        </w:tcPr>
        <w:p w:rsidR="00A33142" w:rsidRPr="00AD7BF2" w:rsidRDefault="00A33142" w:rsidP="004F54B2">
          <w:pPr>
            <w:pStyle w:val="FooterText"/>
          </w:pPr>
          <w:r>
            <w:t>9933/15</w:t>
          </w:r>
          <w:r w:rsidRPr="002511D8">
            <w:t xml:space="preserve"> </w:t>
          </w:r>
          <w:r>
            <w:t>ADD 1</w:t>
          </w:r>
        </w:p>
      </w:tc>
      <w:tc>
        <w:tcPr>
          <w:tcW w:w="625" w:type="pct"/>
          <w:shd w:val="clear" w:color="auto" w:fill="auto"/>
          <w:tcMar>
            <w:top w:w="0" w:type="dxa"/>
          </w:tcMar>
        </w:tcPr>
        <w:p w:rsidR="00A33142" w:rsidRPr="00AD7BF2" w:rsidRDefault="00A33142" w:rsidP="00D94637">
          <w:pPr>
            <w:pStyle w:val="FooterText"/>
            <w:jc w:val="center"/>
          </w:pPr>
        </w:p>
      </w:tc>
      <w:tc>
        <w:tcPr>
          <w:tcW w:w="1287" w:type="pct"/>
          <w:gridSpan w:val="3"/>
          <w:shd w:val="clear" w:color="auto" w:fill="auto"/>
          <w:tcMar>
            <w:top w:w="0" w:type="dxa"/>
          </w:tcMar>
        </w:tcPr>
        <w:p w:rsidR="00A33142" w:rsidRPr="002511D8" w:rsidRDefault="00A33142" w:rsidP="00D94637">
          <w:pPr>
            <w:pStyle w:val="FooterText"/>
            <w:jc w:val="center"/>
          </w:pPr>
          <w:r>
            <w:t>vat/SN/nb</w:t>
          </w:r>
        </w:p>
      </w:tc>
      <w:tc>
        <w:tcPr>
          <w:tcW w:w="588" w:type="pct"/>
          <w:shd w:val="clear" w:color="auto" w:fill="auto"/>
          <w:tcMar>
            <w:top w:w="0" w:type="dxa"/>
          </w:tcMar>
        </w:tcPr>
        <w:p w:rsidR="00A33142" w:rsidRPr="00B310DC" w:rsidRDefault="00A3314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A33142" w:rsidRPr="00D94637" w:rsidTr="00A33142">
      <w:trPr>
        <w:jc w:val="center"/>
      </w:trPr>
      <w:tc>
        <w:tcPr>
          <w:tcW w:w="1774" w:type="pct"/>
          <w:shd w:val="clear" w:color="auto" w:fill="auto"/>
        </w:tcPr>
        <w:p w:rsidR="00A33142" w:rsidRPr="00AD7BF2" w:rsidRDefault="00A33142" w:rsidP="00D94637">
          <w:pPr>
            <w:pStyle w:val="FooterText"/>
            <w:spacing w:before="40"/>
          </w:pPr>
        </w:p>
      </w:tc>
      <w:tc>
        <w:tcPr>
          <w:tcW w:w="1455" w:type="pct"/>
          <w:gridSpan w:val="3"/>
          <w:shd w:val="clear" w:color="auto" w:fill="auto"/>
        </w:tcPr>
        <w:p w:rsidR="00A33142" w:rsidRPr="00AD7BF2" w:rsidRDefault="00A33142" w:rsidP="00D204D6">
          <w:pPr>
            <w:pStyle w:val="FooterText"/>
            <w:spacing w:before="40"/>
            <w:jc w:val="center"/>
          </w:pPr>
          <w:r>
            <w:t>DPG</w:t>
          </w:r>
        </w:p>
      </w:tc>
      <w:tc>
        <w:tcPr>
          <w:tcW w:w="1147" w:type="pct"/>
          <w:shd w:val="clear" w:color="auto" w:fill="auto"/>
        </w:tcPr>
        <w:p w:rsidR="00A33142" w:rsidRPr="00D94637" w:rsidRDefault="00A33142" w:rsidP="00D94637">
          <w:pPr>
            <w:pStyle w:val="FooterText"/>
            <w:jc w:val="right"/>
            <w:rPr>
              <w:b/>
              <w:position w:val="-4"/>
              <w:sz w:val="36"/>
            </w:rPr>
          </w:pPr>
        </w:p>
      </w:tc>
      <w:tc>
        <w:tcPr>
          <w:tcW w:w="625" w:type="pct"/>
          <w:gridSpan w:val="2"/>
          <w:shd w:val="clear" w:color="auto" w:fill="auto"/>
        </w:tcPr>
        <w:p w:rsidR="00A33142" w:rsidRPr="00D94637" w:rsidRDefault="00A33142" w:rsidP="00D94637">
          <w:pPr>
            <w:pStyle w:val="FooterText"/>
            <w:jc w:val="right"/>
            <w:rPr>
              <w:sz w:val="16"/>
            </w:rPr>
          </w:pPr>
          <w:r>
            <w:rPr>
              <w:b/>
              <w:position w:val="-4"/>
              <w:sz w:val="36"/>
            </w:rPr>
            <w:t>BG</w:t>
          </w:r>
        </w:p>
      </w:tc>
    </w:tr>
  </w:tbl>
  <w:p w:rsidR="00546969" w:rsidRPr="00A33142" w:rsidRDefault="00546969" w:rsidP="00A3314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969" w:rsidRDefault="00546969" w:rsidP="00546969">
      <w:r>
        <w:separator/>
      </w:r>
    </w:p>
  </w:footnote>
  <w:footnote w:type="continuationSeparator" w:id="0">
    <w:p w:rsidR="00546969" w:rsidRDefault="00546969" w:rsidP="00546969">
      <w:r>
        <w:continuationSeparator/>
      </w:r>
    </w:p>
  </w:footnote>
  <w:footnote w:id="1">
    <w:p w:rsidR="00D83A35" w:rsidRPr="00555D80" w:rsidRDefault="00D83A35" w:rsidP="00D83A35">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DB" w:rsidRPr="00A33142" w:rsidRDefault="008A35DB" w:rsidP="00A33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DB" w:rsidRPr="00A33142" w:rsidRDefault="008A35DB" w:rsidP="00A3314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DB" w:rsidRPr="00A33142" w:rsidRDefault="008A35DB" w:rsidP="00A3314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8"/>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5"/>
  </w:num>
  <w:num w:numId="6">
    <w:abstractNumId w:val="13"/>
  </w:num>
  <w:num w:numId="7">
    <w:abstractNumId w:val="3"/>
  </w:num>
  <w:num w:numId="8">
    <w:abstractNumId w:val="18"/>
  </w:num>
  <w:num w:numId="9">
    <w:abstractNumId w:val="10"/>
  </w:num>
  <w:num w:numId="10">
    <w:abstractNumId w:val="12"/>
  </w:num>
  <w:num w:numId="11">
    <w:abstractNumId w:val="14"/>
  </w:num>
  <w:num w:numId="12">
    <w:abstractNumId w:val="9"/>
  </w:num>
  <w:num w:numId="13">
    <w:abstractNumId w:val="1"/>
  </w:num>
  <w:num w:numId="14">
    <w:abstractNumId w:val="15"/>
  </w:num>
  <w:num w:numId="15">
    <w:abstractNumId w:val="8"/>
  </w:num>
  <w:num w:numId="16">
    <w:abstractNumId w:val="4"/>
  </w:num>
  <w:num w:numId="17">
    <w:abstractNumId w:val="16"/>
  </w:num>
  <w:num w:numId="18">
    <w:abstractNumId w:val="6"/>
  </w:num>
  <w:num w:numId="19">
    <w:abstractNumId w:val="0"/>
  </w:num>
  <w:num w:numId="20">
    <w:abstractNumId w:val="2"/>
  </w:num>
  <w:num w:numId="21">
    <w:abstractNumId w:val="7"/>
  </w:num>
  <w:num w:numId="22">
    <w:abstractNumId w:val="10"/>
    <w:lvlOverride w:ilvl="0">
      <w:startOverride w:val="1"/>
    </w:lvlOverride>
  </w:num>
  <w:num w:numId="23">
    <w:abstractNumId w:val="17"/>
    <w:lvlOverride w:ilvl="0">
      <w:startOverride w:val="1"/>
    </w:lvlOverride>
  </w:num>
  <w:num w:numId="24">
    <w:abstractNumId w:val="1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05449a41-116c-4738-a75c-a45196ef362b&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7-02&lt;/text&gt;_x000d__x000a_  &lt;/metadata&gt;_x000d__x000a_  &lt;metadata key=&quot;md_Prefix&quot; translate=&quot;false&quot;&gt;_x000d__x000a_    &lt;text&gt;&lt;/text&gt;_x000d__x000a_  &lt;/metadata&gt;_x000d__x000a_  &lt;metadata key=&quot;md_DocumentNumber&quot; translate=&quot;false&quot;&gt;_x000d__x000a_    &lt;text&gt;9933&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32&lt;/text&gt;_x000d__x000a_      &lt;text&gt;ENV 41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5-&amp;#1086; &amp;#1079;&amp;#1072;&amp;#1089;&amp;#1077;&amp;#1076;&amp;#1072;&amp;#1085;&amp;#1080;&amp;#1077; &amp;#1085;&amp;#1072; &amp;#1057;&amp;#1098;&amp;#1074;&amp;#1077;&amp;#1090;&amp;#1072; &amp;#1085;&amp;#1072; &amp;#1045;&amp;#1074;&amp;#1088;&amp;#1086;&amp;#1087;&amp;#1077;&amp;#1081;&amp;#1089;&amp;#1082;&amp;#1080;&amp;#1103; &amp;#1089;&amp;#1098;&amp;#1102;&amp;#1079; (&amp;#1054;&amp;#1050;&amp;#1054;&amp;#1051;&amp;#1053;&amp;#1040; &amp;#1057;&amp;#1056;&amp;#1045;&amp;#1044;&amp;#1040;), &amp;#1087;&amp;#1088;&amp;#1086;&amp;#1074;&amp;#1077;&amp;#1076;&amp;#1077;&amp;#1085;&amp;#1086; &amp;#1074; &amp;#1051;&amp;#1102;&amp;#1082;&amp;#1089;&amp;#1077;&amp;#1084;&amp;#1073;&amp;#1091;&amp;#1088;&amp;#1075; &amp;#1085;&amp;#1072; 15 &amp;#1102;&amp;#1085;&amp;#1080; 2015 &amp;#107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Weight=&quot;Bold&quot; xml:lang=&quot;en-gb&quot; NumberSubstitution.CultureSource=&quot;User&quot;&amp;gt;3395-&amp;#1086;&amp;lt;/Run&amp;gt;&amp;lt;Run xml:lang=&quot;en-gb&quot; NumberSubstitution.CultureSource=&quot;User&quot; xml:space=&quot;preserve&quot;&amp;gt; &amp;#1079;&amp;#1072;&amp;#1089;&amp;#1077;&amp;#1076;&amp;#1072;&amp;#1085;&amp;#1080;&amp;#1077; &amp;#1085;&amp;#1072; &amp;#1057;&amp;#1098;&amp;#1074;&amp;#1077;&amp;#1090;&amp;#1072; &amp;#1085;&amp;#1072; &amp;#1045;&amp;#1074;&amp;#1088;&amp;#1086;&amp;#1087;&amp;#1077;&amp;#1081;&amp;#1089;&amp;#1082;&amp;#1080;&amp;#1103; &amp;#1089;&amp;#1098;&amp;#1102;&amp;#1079; &amp;lt;/Run&amp;gt;&amp;lt;Run FontWeight=&quot;Bold&quot; xml:lang=&quot;en-gb&quot; NumberSubstitution.CultureSource=&quot;User&quot;&amp;gt;(&amp;#1054;&amp;#1050;&amp;#1054;&amp;#1051;&amp;#1053;&amp;#1040; &amp;#1057;&amp;#1056;&amp;#1045;&amp;#1044;&amp;#1040;)&amp;lt;/Run&amp;gt;&amp;lt;Run xml:lang=&quot;en-gb&quot; NumberSubstitution.CultureSource=&quot;User&quot;&amp;gt;, &amp;#1087;&amp;#1088;&amp;#1086;&amp;#1074;&amp;#1077;&amp;#1076;&amp;#1077;&amp;#1085;&amp;#1086; &amp;#1074; &amp;#1051;&amp;#1102;&amp;#1082;&amp;#1089;&amp;#1077;&amp;#1084;&amp;#1073;&amp;#1091;&amp;#1088;&amp;#1075; &amp;#1085;&amp;#1072; 15 &amp;#1102;&amp;#1085;&amp;#1080;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at/SN/n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546969"/>
    <w:rsid w:val="00010C1D"/>
    <w:rsid w:val="00056BB7"/>
    <w:rsid w:val="0009656C"/>
    <w:rsid w:val="000C500D"/>
    <w:rsid w:val="000D62A7"/>
    <w:rsid w:val="00165755"/>
    <w:rsid w:val="00182F2F"/>
    <w:rsid w:val="001C1958"/>
    <w:rsid w:val="00213F1F"/>
    <w:rsid w:val="002A2AE8"/>
    <w:rsid w:val="002B2262"/>
    <w:rsid w:val="002D31AE"/>
    <w:rsid w:val="00390F3B"/>
    <w:rsid w:val="003C6E8B"/>
    <w:rsid w:val="003E60EE"/>
    <w:rsid w:val="00433241"/>
    <w:rsid w:val="005157F5"/>
    <w:rsid w:val="0053552E"/>
    <w:rsid w:val="00546969"/>
    <w:rsid w:val="006009C2"/>
    <w:rsid w:val="0063379B"/>
    <w:rsid w:val="00661847"/>
    <w:rsid w:val="006A38C5"/>
    <w:rsid w:val="006C1AD4"/>
    <w:rsid w:val="006C6CB6"/>
    <w:rsid w:val="006E33E2"/>
    <w:rsid w:val="006F4741"/>
    <w:rsid w:val="0075756A"/>
    <w:rsid w:val="007A1E26"/>
    <w:rsid w:val="007D6CDA"/>
    <w:rsid w:val="00825503"/>
    <w:rsid w:val="00860000"/>
    <w:rsid w:val="008623A3"/>
    <w:rsid w:val="008826F8"/>
    <w:rsid w:val="008A35DB"/>
    <w:rsid w:val="00926EFD"/>
    <w:rsid w:val="009A736B"/>
    <w:rsid w:val="009B5E40"/>
    <w:rsid w:val="00A33142"/>
    <w:rsid w:val="00A469D7"/>
    <w:rsid w:val="00BE1373"/>
    <w:rsid w:val="00D451E4"/>
    <w:rsid w:val="00D83A35"/>
    <w:rsid w:val="00E209D4"/>
    <w:rsid w:val="00E50B76"/>
    <w:rsid w:val="00EB0967"/>
    <w:rsid w:val="00EE4A67"/>
    <w:rsid w:val="00FC4670"/>
    <w:rsid w:val="00FE725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D6C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6C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6C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6C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46969"/>
    <w:pPr>
      <w:spacing w:after="440"/>
      <w:ind w:left="-1134" w:right="-1134"/>
    </w:pPr>
    <w:rPr>
      <w:sz w:val="2"/>
    </w:rPr>
  </w:style>
  <w:style w:type="character" w:customStyle="1" w:styleId="TechnicalBlockChar">
    <w:name w:val="Technical Block Char"/>
    <w:basedOn w:val="DefaultParagraphFont"/>
    <w:rsid w:val="00546969"/>
    <w:rPr>
      <w:sz w:val="24"/>
      <w:szCs w:val="24"/>
      <w:lang w:val="bg-BG" w:eastAsia="bg-BG"/>
    </w:rPr>
  </w:style>
  <w:style w:type="character" w:customStyle="1" w:styleId="HeaderCouncilLargeChar">
    <w:name w:val="Header Council Large Char"/>
    <w:basedOn w:val="TechnicalBlockChar"/>
    <w:link w:val="HeaderCouncilLarge"/>
    <w:rsid w:val="00546969"/>
    <w:rPr>
      <w:sz w:val="2"/>
      <w:szCs w:val="24"/>
      <w:lang w:val="bg-BG" w:eastAsia="bg-BG"/>
    </w:rPr>
  </w:style>
  <w:style w:type="paragraph" w:customStyle="1" w:styleId="FooterText">
    <w:name w:val="Footer Text"/>
    <w:basedOn w:val="Normal"/>
    <w:rsid w:val="00546969"/>
  </w:style>
  <w:style w:type="character" w:customStyle="1" w:styleId="Text3Char">
    <w:name w:val="Text 3 Char"/>
    <w:basedOn w:val="DefaultParagraphFont"/>
    <w:locked/>
    <w:rsid w:val="00D83A35"/>
    <w:rPr>
      <w:sz w:val="24"/>
      <w:szCs w:val="24"/>
      <w:lang w:val="bg-BG" w:eastAsia="bg-BG"/>
    </w:rPr>
  </w:style>
  <w:style w:type="character" w:customStyle="1" w:styleId="PointManualChar">
    <w:name w:val="Point Manual Char"/>
    <w:locked/>
    <w:rsid w:val="00D83A35"/>
    <w:rPr>
      <w:sz w:val="24"/>
      <w:szCs w:val="24"/>
      <w:lang w:val="bg-BG" w:eastAsia="bg-BG"/>
    </w:rPr>
  </w:style>
  <w:style w:type="character" w:customStyle="1" w:styleId="Text1Char">
    <w:name w:val="Text 1 Char"/>
    <w:rsid w:val="00D83A35"/>
    <w:rPr>
      <w:sz w:val="24"/>
      <w:szCs w:val="24"/>
      <w:lang w:val="bg-BG" w:eastAsia="bg-BG"/>
    </w:rPr>
  </w:style>
  <w:style w:type="paragraph" w:customStyle="1" w:styleId="s29">
    <w:name w:val="s29"/>
    <w:basedOn w:val="Normal"/>
    <w:uiPriority w:val="99"/>
    <w:semiHidden/>
    <w:rsid w:val="000C500D"/>
    <w:pPr>
      <w:spacing w:before="100" w:beforeAutospacing="1" w:after="100" w:afterAutospacing="1"/>
    </w:pPr>
    <w:rPr>
      <w:rFonts w:eastAsia="Calibri"/>
    </w:rPr>
  </w:style>
  <w:style w:type="character" w:customStyle="1" w:styleId="bumpedfont15">
    <w:name w:val="bumpedfont15"/>
    <w:rsid w:val="000C500D"/>
  </w:style>
  <w:style w:type="character" w:customStyle="1" w:styleId="PointManual1Char">
    <w:name w:val="Point Manual (1) Char"/>
    <w:locked/>
    <w:rsid w:val="000C500D"/>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50B76"/>
    <w:rPr>
      <w:lang w:val="bg-BG" w:eastAsia="bg-BG"/>
    </w:rPr>
  </w:style>
  <w:style w:type="paragraph" w:styleId="CommentSubject">
    <w:name w:val="annotation subject"/>
    <w:basedOn w:val="CommentText"/>
    <w:next w:val="CommentText"/>
    <w:link w:val="CommentSubjectChar"/>
    <w:uiPriority w:val="99"/>
    <w:semiHidden/>
    <w:unhideWhenUsed/>
    <w:rsid w:val="00E50B76"/>
    <w:rPr>
      <w:b/>
      <w:bCs/>
    </w:rPr>
  </w:style>
  <w:style w:type="character" w:customStyle="1" w:styleId="CommentSubjectChar">
    <w:name w:val="Comment Subject Char"/>
    <w:basedOn w:val="CommentTextChar"/>
    <w:link w:val="CommentSubject"/>
    <w:uiPriority w:val="99"/>
    <w:semiHidden/>
    <w:rsid w:val="00E50B76"/>
    <w:rPr>
      <w:b/>
      <w:bCs/>
      <w:lang w:val="bg-BG" w:eastAsia="bg-BG"/>
    </w:rPr>
  </w:style>
  <w:style w:type="character" w:styleId="Hyperlink">
    <w:name w:val="Hyperlink"/>
    <w:basedOn w:val="DefaultParagraphFont"/>
    <w:uiPriority w:val="99"/>
    <w:unhideWhenUsed/>
    <w:rsid w:val="00E50B76"/>
    <w:rPr>
      <w:color w:val="0000FF" w:themeColor="hyperlink"/>
      <w:u w:val="single"/>
    </w:rPr>
  </w:style>
  <w:style w:type="character" w:customStyle="1" w:styleId="Heading1Char">
    <w:name w:val="Heading 1 Char"/>
    <w:basedOn w:val="DefaultParagraphFont"/>
    <w:link w:val="Heading1"/>
    <w:uiPriority w:val="9"/>
    <w:rsid w:val="007D6CDA"/>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7D6CDA"/>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7D6CDA"/>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7D6CDA"/>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209D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8"/>
      </w:numPr>
      <w:spacing w:before="200"/>
    </w:pPr>
  </w:style>
  <w:style w:type="paragraph" w:customStyle="1" w:styleId="Pointabc1">
    <w:name w:val="Point abc (1)"/>
    <w:basedOn w:val="Normal"/>
    <w:rsid w:val="006E33E2"/>
    <w:pPr>
      <w:numPr>
        <w:ilvl w:val="3"/>
        <w:numId w:val="18"/>
      </w:numPr>
      <w:outlineLvl w:val="0"/>
    </w:pPr>
  </w:style>
  <w:style w:type="paragraph" w:customStyle="1" w:styleId="Pointabc2">
    <w:name w:val="Point abc (2)"/>
    <w:basedOn w:val="Normal"/>
    <w:rsid w:val="006E33E2"/>
    <w:pPr>
      <w:numPr>
        <w:ilvl w:val="5"/>
        <w:numId w:val="18"/>
      </w:numPr>
      <w:outlineLvl w:val="1"/>
    </w:pPr>
  </w:style>
  <w:style w:type="paragraph" w:customStyle="1" w:styleId="Pointabc3">
    <w:name w:val="Point abc (3)"/>
    <w:basedOn w:val="Normal"/>
    <w:rsid w:val="006E33E2"/>
    <w:pPr>
      <w:numPr>
        <w:ilvl w:val="7"/>
        <w:numId w:val="18"/>
      </w:numPr>
      <w:outlineLvl w:val="2"/>
    </w:pPr>
  </w:style>
  <w:style w:type="paragraph" w:customStyle="1" w:styleId="Pointabc4">
    <w:name w:val="Point abc (4)"/>
    <w:basedOn w:val="Normal"/>
    <w:rsid w:val="006E33E2"/>
    <w:pPr>
      <w:numPr>
        <w:ilvl w:val="8"/>
        <w:numId w:val="18"/>
      </w:numPr>
      <w:outlineLvl w:val="3"/>
    </w:pPr>
  </w:style>
  <w:style w:type="paragraph" w:customStyle="1" w:styleId="Point123">
    <w:name w:val="Point 123"/>
    <w:basedOn w:val="Normal"/>
    <w:rsid w:val="006E33E2"/>
    <w:pPr>
      <w:numPr>
        <w:numId w:val="18"/>
      </w:numPr>
      <w:spacing w:before="200"/>
    </w:pPr>
  </w:style>
  <w:style w:type="paragraph" w:customStyle="1" w:styleId="Point1231">
    <w:name w:val="Point 123 (1)"/>
    <w:basedOn w:val="Normal"/>
    <w:rsid w:val="006E33E2"/>
    <w:pPr>
      <w:numPr>
        <w:ilvl w:val="2"/>
        <w:numId w:val="18"/>
      </w:numPr>
      <w:outlineLvl w:val="0"/>
    </w:pPr>
  </w:style>
  <w:style w:type="paragraph" w:customStyle="1" w:styleId="Point1232">
    <w:name w:val="Point 123 (2)"/>
    <w:basedOn w:val="Normal"/>
    <w:rsid w:val="006E33E2"/>
    <w:pPr>
      <w:numPr>
        <w:ilvl w:val="4"/>
        <w:numId w:val="18"/>
      </w:numPr>
      <w:outlineLvl w:val="1"/>
    </w:pPr>
  </w:style>
  <w:style w:type="paragraph" w:customStyle="1" w:styleId="Point1233">
    <w:name w:val="Point 123 (3)"/>
    <w:basedOn w:val="Normal"/>
    <w:rsid w:val="006E33E2"/>
    <w:pPr>
      <w:numPr>
        <w:ilvl w:val="6"/>
        <w:numId w:val="18"/>
      </w:numPr>
      <w:outlineLvl w:val="2"/>
    </w:pPr>
  </w:style>
  <w:style w:type="paragraph" w:customStyle="1" w:styleId="Pointivx">
    <w:name w:val="Point ivx"/>
    <w:basedOn w:val="Normal"/>
    <w:rsid w:val="006E33E2"/>
    <w:pPr>
      <w:numPr>
        <w:numId w:val="19"/>
      </w:numPr>
      <w:spacing w:before="200"/>
    </w:pPr>
  </w:style>
  <w:style w:type="paragraph" w:customStyle="1" w:styleId="Pointivx1">
    <w:name w:val="Point ivx (1)"/>
    <w:basedOn w:val="Normal"/>
    <w:rsid w:val="006E33E2"/>
    <w:pPr>
      <w:numPr>
        <w:ilvl w:val="1"/>
        <w:numId w:val="19"/>
      </w:numPr>
      <w:outlineLvl w:val="0"/>
    </w:pPr>
  </w:style>
  <w:style w:type="paragraph" w:customStyle="1" w:styleId="Pointivx2">
    <w:name w:val="Point ivx (2)"/>
    <w:basedOn w:val="Normal"/>
    <w:rsid w:val="006E33E2"/>
    <w:pPr>
      <w:numPr>
        <w:ilvl w:val="2"/>
        <w:numId w:val="19"/>
      </w:numPr>
      <w:outlineLvl w:val="1"/>
    </w:pPr>
  </w:style>
  <w:style w:type="paragraph" w:customStyle="1" w:styleId="Pointivx3">
    <w:name w:val="Point ivx (3)"/>
    <w:basedOn w:val="Normal"/>
    <w:rsid w:val="006E33E2"/>
    <w:pPr>
      <w:numPr>
        <w:ilvl w:val="3"/>
        <w:numId w:val="19"/>
      </w:numPr>
      <w:outlineLvl w:val="2"/>
    </w:pPr>
  </w:style>
  <w:style w:type="paragraph" w:customStyle="1" w:styleId="Pointivx4">
    <w:name w:val="Point ivx (4)"/>
    <w:basedOn w:val="Normal"/>
    <w:rsid w:val="006E33E2"/>
    <w:pPr>
      <w:numPr>
        <w:ilvl w:val="4"/>
        <w:numId w:val="19"/>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0"/>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1"/>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D6C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6C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6C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6C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46969"/>
    <w:pPr>
      <w:spacing w:after="440"/>
      <w:ind w:left="-1134" w:right="-1134"/>
    </w:pPr>
    <w:rPr>
      <w:sz w:val="2"/>
    </w:rPr>
  </w:style>
  <w:style w:type="character" w:customStyle="1" w:styleId="TechnicalBlockChar">
    <w:name w:val="Technical Block Char"/>
    <w:basedOn w:val="DefaultParagraphFont"/>
    <w:rsid w:val="00546969"/>
    <w:rPr>
      <w:sz w:val="24"/>
      <w:szCs w:val="24"/>
      <w:lang w:val="bg-BG" w:eastAsia="bg-BG"/>
    </w:rPr>
  </w:style>
  <w:style w:type="character" w:customStyle="1" w:styleId="HeaderCouncilLargeChar">
    <w:name w:val="Header Council Large Char"/>
    <w:basedOn w:val="TechnicalBlockChar"/>
    <w:link w:val="HeaderCouncilLarge"/>
    <w:rsid w:val="00546969"/>
    <w:rPr>
      <w:sz w:val="2"/>
      <w:szCs w:val="24"/>
      <w:lang w:val="bg-BG" w:eastAsia="bg-BG"/>
    </w:rPr>
  </w:style>
  <w:style w:type="paragraph" w:customStyle="1" w:styleId="FooterText">
    <w:name w:val="Footer Text"/>
    <w:basedOn w:val="Normal"/>
    <w:rsid w:val="00546969"/>
  </w:style>
  <w:style w:type="character" w:customStyle="1" w:styleId="Text3Char">
    <w:name w:val="Text 3 Char"/>
    <w:basedOn w:val="DefaultParagraphFont"/>
    <w:locked/>
    <w:rsid w:val="00D83A35"/>
    <w:rPr>
      <w:sz w:val="24"/>
      <w:szCs w:val="24"/>
      <w:lang w:val="bg-BG" w:eastAsia="bg-BG"/>
    </w:rPr>
  </w:style>
  <w:style w:type="character" w:customStyle="1" w:styleId="PointManualChar">
    <w:name w:val="Point Manual Char"/>
    <w:locked/>
    <w:rsid w:val="00D83A35"/>
    <w:rPr>
      <w:sz w:val="24"/>
      <w:szCs w:val="24"/>
      <w:lang w:val="bg-BG" w:eastAsia="bg-BG"/>
    </w:rPr>
  </w:style>
  <w:style w:type="character" w:customStyle="1" w:styleId="Text1Char">
    <w:name w:val="Text 1 Char"/>
    <w:rsid w:val="00D83A35"/>
    <w:rPr>
      <w:sz w:val="24"/>
      <w:szCs w:val="24"/>
      <w:lang w:val="bg-BG" w:eastAsia="bg-BG"/>
    </w:rPr>
  </w:style>
  <w:style w:type="paragraph" w:customStyle="1" w:styleId="s29">
    <w:name w:val="s29"/>
    <w:basedOn w:val="Normal"/>
    <w:uiPriority w:val="99"/>
    <w:semiHidden/>
    <w:rsid w:val="000C500D"/>
    <w:pPr>
      <w:spacing w:before="100" w:beforeAutospacing="1" w:after="100" w:afterAutospacing="1"/>
    </w:pPr>
    <w:rPr>
      <w:rFonts w:eastAsia="Calibri"/>
    </w:rPr>
  </w:style>
  <w:style w:type="character" w:customStyle="1" w:styleId="bumpedfont15">
    <w:name w:val="bumpedfont15"/>
    <w:rsid w:val="000C500D"/>
  </w:style>
  <w:style w:type="character" w:customStyle="1" w:styleId="PointManual1Char">
    <w:name w:val="Point Manual (1) Char"/>
    <w:locked/>
    <w:rsid w:val="000C500D"/>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50B76"/>
    <w:rPr>
      <w:lang w:val="bg-BG" w:eastAsia="bg-BG"/>
    </w:rPr>
  </w:style>
  <w:style w:type="paragraph" w:styleId="CommentSubject">
    <w:name w:val="annotation subject"/>
    <w:basedOn w:val="CommentText"/>
    <w:next w:val="CommentText"/>
    <w:link w:val="CommentSubjectChar"/>
    <w:uiPriority w:val="99"/>
    <w:semiHidden/>
    <w:unhideWhenUsed/>
    <w:rsid w:val="00E50B76"/>
    <w:rPr>
      <w:b/>
      <w:bCs/>
    </w:rPr>
  </w:style>
  <w:style w:type="character" w:customStyle="1" w:styleId="CommentSubjectChar">
    <w:name w:val="Comment Subject Char"/>
    <w:basedOn w:val="CommentTextChar"/>
    <w:link w:val="CommentSubject"/>
    <w:uiPriority w:val="99"/>
    <w:semiHidden/>
    <w:rsid w:val="00E50B76"/>
    <w:rPr>
      <w:b/>
      <w:bCs/>
      <w:lang w:val="bg-BG" w:eastAsia="bg-BG"/>
    </w:rPr>
  </w:style>
  <w:style w:type="character" w:styleId="Hyperlink">
    <w:name w:val="Hyperlink"/>
    <w:basedOn w:val="DefaultParagraphFont"/>
    <w:uiPriority w:val="99"/>
    <w:unhideWhenUsed/>
    <w:rsid w:val="00E50B76"/>
    <w:rPr>
      <w:color w:val="0000FF" w:themeColor="hyperlink"/>
      <w:u w:val="single"/>
    </w:rPr>
  </w:style>
  <w:style w:type="character" w:customStyle="1" w:styleId="Heading1Char">
    <w:name w:val="Heading 1 Char"/>
    <w:basedOn w:val="DefaultParagraphFont"/>
    <w:link w:val="Heading1"/>
    <w:uiPriority w:val="9"/>
    <w:rsid w:val="007D6CDA"/>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7D6CDA"/>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7D6CDA"/>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7D6CDA"/>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209D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8"/>
      </w:numPr>
      <w:spacing w:before="200"/>
    </w:pPr>
  </w:style>
  <w:style w:type="paragraph" w:customStyle="1" w:styleId="Pointabc1">
    <w:name w:val="Point abc (1)"/>
    <w:basedOn w:val="Normal"/>
    <w:rsid w:val="006E33E2"/>
    <w:pPr>
      <w:numPr>
        <w:ilvl w:val="3"/>
        <w:numId w:val="18"/>
      </w:numPr>
      <w:outlineLvl w:val="0"/>
    </w:pPr>
  </w:style>
  <w:style w:type="paragraph" w:customStyle="1" w:styleId="Pointabc2">
    <w:name w:val="Point abc (2)"/>
    <w:basedOn w:val="Normal"/>
    <w:rsid w:val="006E33E2"/>
    <w:pPr>
      <w:numPr>
        <w:ilvl w:val="5"/>
        <w:numId w:val="18"/>
      </w:numPr>
      <w:outlineLvl w:val="1"/>
    </w:pPr>
  </w:style>
  <w:style w:type="paragraph" w:customStyle="1" w:styleId="Pointabc3">
    <w:name w:val="Point abc (3)"/>
    <w:basedOn w:val="Normal"/>
    <w:rsid w:val="006E33E2"/>
    <w:pPr>
      <w:numPr>
        <w:ilvl w:val="7"/>
        <w:numId w:val="18"/>
      </w:numPr>
      <w:outlineLvl w:val="2"/>
    </w:pPr>
  </w:style>
  <w:style w:type="paragraph" w:customStyle="1" w:styleId="Pointabc4">
    <w:name w:val="Point abc (4)"/>
    <w:basedOn w:val="Normal"/>
    <w:rsid w:val="006E33E2"/>
    <w:pPr>
      <w:numPr>
        <w:ilvl w:val="8"/>
        <w:numId w:val="18"/>
      </w:numPr>
      <w:outlineLvl w:val="3"/>
    </w:pPr>
  </w:style>
  <w:style w:type="paragraph" w:customStyle="1" w:styleId="Point123">
    <w:name w:val="Point 123"/>
    <w:basedOn w:val="Normal"/>
    <w:rsid w:val="006E33E2"/>
    <w:pPr>
      <w:numPr>
        <w:numId w:val="18"/>
      </w:numPr>
      <w:spacing w:before="200"/>
    </w:pPr>
  </w:style>
  <w:style w:type="paragraph" w:customStyle="1" w:styleId="Point1231">
    <w:name w:val="Point 123 (1)"/>
    <w:basedOn w:val="Normal"/>
    <w:rsid w:val="006E33E2"/>
    <w:pPr>
      <w:numPr>
        <w:ilvl w:val="2"/>
        <w:numId w:val="18"/>
      </w:numPr>
      <w:outlineLvl w:val="0"/>
    </w:pPr>
  </w:style>
  <w:style w:type="paragraph" w:customStyle="1" w:styleId="Point1232">
    <w:name w:val="Point 123 (2)"/>
    <w:basedOn w:val="Normal"/>
    <w:rsid w:val="006E33E2"/>
    <w:pPr>
      <w:numPr>
        <w:ilvl w:val="4"/>
        <w:numId w:val="18"/>
      </w:numPr>
      <w:outlineLvl w:val="1"/>
    </w:pPr>
  </w:style>
  <w:style w:type="paragraph" w:customStyle="1" w:styleId="Point1233">
    <w:name w:val="Point 123 (3)"/>
    <w:basedOn w:val="Normal"/>
    <w:rsid w:val="006E33E2"/>
    <w:pPr>
      <w:numPr>
        <w:ilvl w:val="6"/>
        <w:numId w:val="18"/>
      </w:numPr>
      <w:outlineLvl w:val="2"/>
    </w:pPr>
  </w:style>
  <w:style w:type="paragraph" w:customStyle="1" w:styleId="Pointivx">
    <w:name w:val="Point ivx"/>
    <w:basedOn w:val="Normal"/>
    <w:rsid w:val="006E33E2"/>
    <w:pPr>
      <w:numPr>
        <w:numId w:val="19"/>
      </w:numPr>
      <w:spacing w:before="200"/>
    </w:pPr>
  </w:style>
  <w:style w:type="paragraph" w:customStyle="1" w:styleId="Pointivx1">
    <w:name w:val="Point ivx (1)"/>
    <w:basedOn w:val="Normal"/>
    <w:rsid w:val="006E33E2"/>
    <w:pPr>
      <w:numPr>
        <w:ilvl w:val="1"/>
        <w:numId w:val="19"/>
      </w:numPr>
      <w:outlineLvl w:val="0"/>
    </w:pPr>
  </w:style>
  <w:style w:type="paragraph" w:customStyle="1" w:styleId="Pointivx2">
    <w:name w:val="Point ivx (2)"/>
    <w:basedOn w:val="Normal"/>
    <w:rsid w:val="006E33E2"/>
    <w:pPr>
      <w:numPr>
        <w:ilvl w:val="2"/>
        <w:numId w:val="19"/>
      </w:numPr>
      <w:outlineLvl w:val="1"/>
    </w:pPr>
  </w:style>
  <w:style w:type="paragraph" w:customStyle="1" w:styleId="Pointivx3">
    <w:name w:val="Point ivx (3)"/>
    <w:basedOn w:val="Normal"/>
    <w:rsid w:val="006E33E2"/>
    <w:pPr>
      <w:numPr>
        <w:ilvl w:val="3"/>
        <w:numId w:val="19"/>
      </w:numPr>
      <w:outlineLvl w:val="2"/>
    </w:pPr>
  </w:style>
  <w:style w:type="paragraph" w:customStyle="1" w:styleId="Pointivx4">
    <w:name w:val="Point ivx (4)"/>
    <w:basedOn w:val="Normal"/>
    <w:rsid w:val="006E33E2"/>
    <w:pPr>
      <w:numPr>
        <w:ilvl w:val="4"/>
        <w:numId w:val="19"/>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0"/>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1"/>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BORANOVA Nevina</cp:lastModifiedBy>
  <cp:revision>5</cp:revision>
  <cp:lastPrinted>2015-07-02T16:00:00Z</cp:lastPrinted>
  <dcterms:created xsi:type="dcterms:W3CDTF">2015-07-13T12:51:00Z</dcterms:created>
  <dcterms:modified xsi:type="dcterms:W3CDTF">2015-07-13T12:55:00Z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