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53" w:rsidRPr="00F654E6" w:rsidRDefault="00F654E6" w:rsidP="00F654E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564bac7-df7c-4632-86b8-884e1e2c6210_0" style="width:568.55pt;height:400.2pt">
            <v:imagedata r:id="rId8" o:title=""/>
          </v:shape>
        </w:pict>
      </w:r>
      <w:bookmarkEnd w:id="0"/>
    </w:p>
    <w:p w:rsidR="00200453" w:rsidRPr="004B37AE" w:rsidRDefault="00200453" w:rsidP="00200453">
      <w:pPr>
        <w:sectPr w:rsidR="00200453" w:rsidRPr="004B37AE" w:rsidSect="00F654E6">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1C5E5F" w:rsidRPr="004B37AE" w:rsidRDefault="007328D4" w:rsidP="007328D4">
      <w:pPr>
        <w:pStyle w:val="HeadingIVX"/>
        <w:numPr>
          <w:ilvl w:val="0"/>
          <w:numId w:val="21"/>
        </w:numPr>
      </w:pPr>
      <w:r w:rsidRPr="004B37AE">
        <w:lastRenderedPageBreak/>
        <w:t>ВЪВЕДЕНИЕ</w:t>
      </w:r>
    </w:p>
    <w:p w:rsidR="005A42B3" w:rsidRPr="004B37AE" w:rsidRDefault="001C5E5F" w:rsidP="00271167">
      <w:pPr>
        <w:numPr>
          <w:ilvl w:val="0"/>
          <w:numId w:val="22"/>
        </w:numPr>
        <w:spacing w:line="324" w:lineRule="auto"/>
        <w:ind w:left="924" w:hanging="357"/>
        <w:rPr>
          <w:rFonts w:eastAsia="Calibri" w:cs="Arial"/>
          <w:szCs w:val="22"/>
        </w:rPr>
      </w:pPr>
      <w:r w:rsidRPr="004B37AE">
        <w:t xml:space="preserve">На 11 септември 2013 г. </w:t>
      </w:r>
      <w:r w:rsidRPr="004B37AE">
        <w:rPr>
          <w:u w:val="single"/>
        </w:rPr>
        <w:t>Комисията</w:t>
      </w:r>
      <w:r w:rsidRPr="004B37AE">
        <w:t xml:space="preserve"> прие своето предложение за </w:t>
      </w:r>
      <w:r w:rsidRPr="004B37AE">
        <w:rPr>
          <w:i/>
        </w:rPr>
        <w:t xml:space="preserve">регламент на Европейския парламент и на Съвета за определяне на мерки относно единния европейски пазар на електронни съобщителни услуги и за изграждане на континентална мрежа </w:t>
      </w:r>
      <w:r w:rsidRPr="004B37AE">
        <w:t>(предложение за единен пазар в областта на далекосъобщенията), с правно основание член 114 от ДФЕС. Сред основните елементи на предложението за единен пазар в областта на далекосъобщенията са разпоредбите относно единното европейско разрешение за доставчиците на електронни съобщителни услуги, европейските основни ресурси (в т.ч. координацията на използването на радиочестотния спектър и европейските продукти за виртуален достъп), хармонизиране на правата на крайните потребители, неутралност на мрежата, правомощията на националните регулаторни органи, роуминга и ОЕРЕС.</w:t>
      </w:r>
    </w:p>
    <w:p w:rsidR="001C5E5F" w:rsidRPr="004B37AE" w:rsidRDefault="001C5E5F" w:rsidP="00271167">
      <w:pPr>
        <w:numPr>
          <w:ilvl w:val="0"/>
          <w:numId w:val="22"/>
        </w:numPr>
        <w:spacing w:line="324" w:lineRule="auto"/>
        <w:ind w:left="924" w:hanging="357"/>
        <w:rPr>
          <w:rFonts w:eastAsia="Calibri" w:cs="Arial"/>
          <w:szCs w:val="22"/>
        </w:rPr>
      </w:pPr>
      <w:r w:rsidRPr="004B37AE">
        <w:rPr>
          <w:color w:val="000000"/>
          <w:u w:val="single"/>
        </w:rPr>
        <w:t>Европейският икономически и социален комитет</w:t>
      </w:r>
      <w:r w:rsidRPr="004B37AE">
        <w:t xml:space="preserve"> гласува становището си на 21 януари 2014 г., а </w:t>
      </w:r>
      <w:r w:rsidRPr="004B37AE">
        <w:rPr>
          <w:u w:val="single"/>
        </w:rPr>
        <w:t>Комитетът на регионите</w:t>
      </w:r>
      <w:r w:rsidRPr="004B37AE">
        <w:t xml:space="preserve"> — на 30—31 януари 2014 г.</w:t>
      </w:r>
    </w:p>
    <w:p w:rsidR="005A42B3" w:rsidRPr="004B37AE" w:rsidRDefault="001C5E5F" w:rsidP="00271167">
      <w:pPr>
        <w:numPr>
          <w:ilvl w:val="0"/>
          <w:numId w:val="22"/>
        </w:numPr>
        <w:spacing w:line="324" w:lineRule="auto"/>
        <w:ind w:left="924" w:hanging="357"/>
        <w:rPr>
          <w:rFonts w:eastAsia="Calibri" w:cs="Arial"/>
          <w:b/>
          <w:color w:val="000000"/>
          <w:szCs w:val="22"/>
        </w:rPr>
      </w:pPr>
      <w:r w:rsidRPr="004B37AE">
        <w:rPr>
          <w:u w:val="single"/>
        </w:rPr>
        <w:t>Европейският парламент</w:t>
      </w:r>
      <w:r w:rsidRPr="004B37AE">
        <w:t xml:space="preserve"> гласува законодателната си резолюция на първо четене на 3 април 2014 г.</w:t>
      </w:r>
      <w:r w:rsidRPr="004B37AE">
        <w:rPr>
          <w:b/>
          <w:vertAlign w:val="superscript"/>
        </w:rPr>
        <w:footnoteReference w:id="1"/>
      </w:r>
      <w:r w:rsidRPr="004B37AE">
        <w:t>, като прие 233 изменения. Повечето елементи на предложението за единен пазар в областта на далекосъобщенията бяха запазени. Европейският парламент измени разпоредбите, свързани с роуминга, с цел до декември 2015 г. да се премахнат допълнителните такси за роуминг, при условията на клаузата за разумно ползване. Разпоредбите за неутралност на мрежата бяха изменени, по-специално за да се включи определение за неутралност на мрежата и да се ограничи възможността операторите да предоставят специализирани услуги, като се постави изискване мрежовият капацитет да бъде достатъчен за предоставянето на такива услуги в допълнение към услугите за достъп до интернет. Хармонизираните европейски продукти за широколентов достъп на едро не бяха запазени, а формата на елементите, свързани със защитата на потребителите, беше изменена.</w:t>
      </w:r>
    </w:p>
    <w:p w:rsidR="005A42B3" w:rsidRPr="004B37AE" w:rsidRDefault="001C5E5F" w:rsidP="00271167">
      <w:pPr>
        <w:spacing w:line="324" w:lineRule="auto"/>
        <w:ind w:left="993"/>
      </w:pPr>
      <w:r w:rsidRPr="004B37AE">
        <w:br w:type="page"/>
      </w:r>
      <w:r w:rsidRPr="004B37AE">
        <w:rPr>
          <w:color w:val="000000"/>
          <w:u w:val="single"/>
        </w:rPr>
        <w:lastRenderedPageBreak/>
        <w:t>Съветът</w:t>
      </w:r>
      <w:r w:rsidRPr="004B37AE">
        <w:rPr>
          <w:color w:val="000000"/>
        </w:rPr>
        <w:t xml:space="preserve"> и </w:t>
      </w:r>
      <w:r w:rsidRPr="004B37AE">
        <w:rPr>
          <w:color w:val="000000"/>
          <w:u w:val="single"/>
        </w:rPr>
        <w:t>Европейският парламент</w:t>
      </w:r>
      <w:r w:rsidRPr="004B37AE">
        <w:rPr>
          <w:color w:val="000000"/>
        </w:rPr>
        <w:t xml:space="preserve"> започнаха преговори с оглед на бързото постигане на споразумение на второ четене. </w:t>
      </w:r>
      <w:r w:rsidRPr="004B37AE">
        <w:t>В резултат на активното обсъждане на предложението за единен пазар в областта на далекосъобщенията беше постигнато съгласие дискусиите да бъдат съсредоточени само върху два основни въпроса: роуминг и неутралност на мрежата, включително правата на потребителите, свързани с тези въпроси. Разпоредбите относно единното европейско разрешение, европейските основни ресурси (в т.ч. координацията на използването на радиочестотния спектър и европейските продукти за виртуален достъп), както и ОЕРЕС не бяха запазени.</w:t>
      </w:r>
    </w:p>
    <w:p w:rsidR="001C5E5F" w:rsidRPr="004B37AE" w:rsidRDefault="001C5E5F" w:rsidP="00271167">
      <w:pPr>
        <w:numPr>
          <w:ilvl w:val="0"/>
          <w:numId w:val="22"/>
        </w:numPr>
        <w:spacing w:line="324" w:lineRule="auto"/>
        <w:rPr>
          <w:rFonts w:eastAsia="Calibri" w:cs="Arial"/>
          <w:b/>
          <w:color w:val="000000"/>
          <w:szCs w:val="22"/>
        </w:rPr>
      </w:pPr>
      <w:r w:rsidRPr="004B37AE">
        <w:rPr>
          <w:color w:val="000000"/>
        </w:rPr>
        <w:t>Преговорите приключиха успешно на 30 юни 2015 г. с постигнатото между Европейския парламент и Съвета предварително споразумение по компромисен текст.</w:t>
      </w:r>
    </w:p>
    <w:p w:rsidR="001C5E5F" w:rsidRPr="004B37AE" w:rsidRDefault="001C5E5F" w:rsidP="00271167">
      <w:pPr>
        <w:numPr>
          <w:ilvl w:val="0"/>
          <w:numId w:val="22"/>
        </w:numPr>
        <w:spacing w:line="324" w:lineRule="auto"/>
        <w:rPr>
          <w:rFonts w:eastAsia="Calibri" w:cs="Arial"/>
          <w:b/>
          <w:color w:val="000000"/>
          <w:szCs w:val="22"/>
        </w:rPr>
      </w:pPr>
      <w:r w:rsidRPr="004B37AE">
        <w:t xml:space="preserve">На 8 юли 2015 г. </w:t>
      </w:r>
      <w:r w:rsidRPr="004B37AE">
        <w:rPr>
          <w:color w:val="000000"/>
          <w:u w:val="single"/>
        </w:rPr>
        <w:t>Комитетът на постоянните представители</w:t>
      </w:r>
      <w:r w:rsidRPr="004B37AE">
        <w:t xml:space="preserve"> потвърди компромисния текст на предложението за единен пазар в областта на далекосъобщенията във вида, договорен от двете институции.</w:t>
      </w:r>
    </w:p>
    <w:p w:rsidR="001C5E5F" w:rsidRPr="004B37AE" w:rsidRDefault="001C5E5F" w:rsidP="00271167">
      <w:pPr>
        <w:numPr>
          <w:ilvl w:val="0"/>
          <w:numId w:val="22"/>
        </w:numPr>
        <w:spacing w:line="324" w:lineRule="auto"/>
        <w:ind w:left="993" w:hanging="426"/>
        <w:rPr>
          <w:rFonts w:eastAsia="Calibri" w:cs="Arial"/>
          <w:b/>
          <w:color w:val="000000"/>
          <w:szCs w:val="22"/>
        </w:rPr>
      </w:pPr>
      <w:r w:rsidRPr="004B37AE">
        <w:rPr>
          <w:color w:val="000000"/>
        </w:rPr>
        <w:t xml:space="preserve">На 16 юли 2015 г. </w:t>
      </w:r>
      <w:r w:rsidRPr="004B37AE">
        <w:rPr>
          <w:color w:val="000000"/>
          <w:u w:val="single"/>
        </w:rPr>
        <w:t>председателят на Комисията на Европейския парламент по промишленост, изследвания и енергетика</w:t>
      </w:r>
      <w:r w:rsidRPr="004B37AE">
        <w:rPr>
          <w:color w:val="000000"/>
        </w:rPr>
        <w:t xml:space="preserve"> изпрати писмо до председателството, в което се посочва, че ако Съветът изпрати официално на Европейския парламент своята одобрена позиция, след проверка от юрист-лингвистите, той, заедно с докладчика, ще препоръча на пленарното заседание позицията на Съвета да бъде приета без изменения на второто четене в Парламента.</w:t>
      </w:r>
    </w:p>
    <w:p w:rsidR="001C5E5F" w:rsidRPr="004B37AE" w:rsidRDefault="007328D4" w:rsidP="00271167">
      <w:pPr>
        <w:pStyle w:val="HeadingIVX"/>
        <w:numPr>
          <w:ilvl w:val="0"/>
          <w:numId w:val="21"/>
        </w:numPr>
        <w:spacing w:line="324" w:lineRule="auto"/>
      </w:pPr>
      <w:r w:rsidRPr="004B37AE">
        <w:t>ЦЕЛ</w:t>
      </w:r>
    </w:p>
    <w:p w:rsidR="005A42B3" w:rsidRPr="004B37AE" w:rsidRDefault="001C5E5F" w:rsidP="00271167">
      <w:pPr>
        <w:numPr>
          <w:ilvl w:val="0"/>
          <w:numId w:val="22"/>
        </w:numPr>
        <w:spacing w:line="324" w:lineRule="auto"/>
        <w:ind w:left="993" w:hanging="426"/>
        <w:rPr>
          <w:rFonts w:eastAsia="Calibri" w:cs="Arial"/>
          <w:bCs/>
          <w:color w:val="000000"/>
          <w:szCs w:val="22"/>
        </w:rPr>
      </w:pPr>
      <w:r w:rsidRPr="004B37AE">
        <w:rPr>
          <w:color w:val="000000"/>
        </w:rPr>
        <w:t>От резултата от преговорите става ясно, че регламентът има за цел да установи общи правила за гарантиране на еднаквото и недискриминационно третиране на трафика при предоставянето на услуги за достъп до интернет и за защита на правата на крайните потребители.</w:t>
      </w:r>
    </w:p>
    <w:p w:rsidR="001C5E5F" w:rsidRPr="004B37AE" w:rsidRDefault="001C5E5F" w:rsidP="00271167">
      <w:pPr>
        <w:numPr>
          <w:ilvl w:val="0"/>
          <w:numId w:val="22"/>
        </w:numPr>
        <w:spacing w:line="324" w:lineRule="auto"/>
        <w:ind w:left="993" w:hanging="426"/>
        <w:rPr>
          <w:rFonts w:eastAsia="Calibri" w:cs="Arial"/>
          <w:bCs/>
          <w:color w:val="000000"/>
          <w:szCs w:val="22"/>
        </w:rPr>
      </w:pPr>
      <w:r w:rsidRPr="004B37AE">
        <w:rPr>
          <w:color w:val="000000"/>
        </w:rPr>
        <w:t>В областта на роуминга регламентът установява нов механизъм за определяне на цените на дребно за регулирани роуминг услуги в целия Съюз с цел премахване на допълнителните такси за роуминг на дребно, без да се нарушават условията на националните и посетените пазари.</w:t>
      </w:r>
    </w:p>
    <w:p w:rsidR="001C5E5F" w:rsidRPr="004B37AE" w:rsidRDefault="001C5E5F" w:rsidP="001C5E5F">
      <w:pPr>
        <w:ind w:left="993"/>
        <w:rPr>
          <w:rFonts w:eastAsia="Calibri" w:cs="Arial"/>
          <w:bCs/>
          <w:color w:val="000000"/>
          <w:szCs w:val="22"/>
        </w:rPr>
      </w:pPr>
      <w:r w:rsidRPr="004B37AE">
        <w:br w:type="page"/>
      </w:r>
    </w:p>
    <w:p w:rsidR="001C5E5F" w:rsidRPr="004B37AE" w:rsidRDefault="007328D4" w:rsidP="007328D4">
      <w:pPr>
        <w:pStyle w:val="HeadingIVX"/>
        <w:numPr>
          <w:ilvl w:val="0"/>
          <w:numId w:val="21"/>
        </w:numPr>
        <w:tabs>
          <w:tab w:val="clear" w:pos="567"/>
        </w:tabs>
        <w:ind w:left="0" w:firstLine="0"/>
      </w:pPr>
      <w:r w:rsidRPr="004B37AE">
        <w:t>АНАЛИЗ НА ПОЗИЦИЯТА НА СЪВЕТА НА ПЪРВО ЧЕТЕНЕ</w:t>
      </w:r>
    </w:p>
    <w:p w:rsidR="001C5E5F" w:rsidRPr="004B37AE" w:rsidRDefault="001C5E5F" w:rsidP="001C5E5F">
      <w:pPr>
        <w:autoSpaceDE w:val="0"/>
        <w:autoSpaceDN w:val="0"/>
        <w:adjustRightInd w:val="0"/>
        <w:ind w:left="567"/>
        <w:outlineLvl w:val="0"/>
        <w:rPr>
          <w:rFonts w:eastAsia="Calibri" w:cs="Arial"/>
          <w:b/>
          <w:color w:val="000000"/>
        </w:rPr>
      </w:pPr>
      <w:r w:rsidRPr="004B37AE">
        <w:rPr>
          <w:b/>
          <w:color w:val="000000"/>
        </w:rPr>
        <w:t>А.</w:t>
      </w:r>
      <w:r w:rsidRPr="004B37AE">
        <w:tab/>
      </w:r>
      <w:r w:rsidRPr="004B37AE">
        <w:rPr>
          <w:b/>
          <w:color w:val="000000"/>
        </w:rPr>
        <w:t>Общо положение</w:t>
      </w:r>
    </w:p>
    <w:p w:rsidR="001C5E5F" w:rsidRPr="004B37AE" w:rsidRDefault="001C5E5F" w:rsidP="001C5E5F">
      <w:pPr>
        <w:numPr>
          <w:ilvl w:val="0"/>
          <w:numId w:val="24"/>
        </w:numPr>
        <w:ind w:left="1134" w:hanging="567"/>
      </w:pPr>
      <w:r w:rsidRPr="004B37AE">
        <w:t>След гласуването на пленарното заседание Европейският парламент и Съветът проведоха преговори с цел да сключат споразумение на второ четене въз основа на позицията на Съвета на първо четене, която Парламентът беше в състояние да одобри. Текстът на позицията на Съвета на първо четене отразява напълно компромиса, постигнат между двата законодателни органа.</w:t>
      </w:r>
    </w:p>
    <w:p w:rsidR="001C5E5F" w:rsidRPr="004B37AE" w:rsidRDefault="001C5E5F" w:rsidP="001C5E5F">
      <w:pPr>
        <w:autoSpaceDE w:val="0"/>
        <w:autoSpaceDN w:val="0"/>
        <w:adjustRightInd w:val="0"/>
        <w:ind w:left="567"/>
        <w:outlineLvl w:val="0"/>
        <w:rPr>
          <w:rFonts w:eastAsia="Calibri" w:cs="Arial"/>
          <w:b/>
          <w:color w:val="000000"/>
        </w:rPr>
      </w:pPr>
      <w:r w:rsidRPr="004B37AE">
        <w:rPr>
          <w:b/>
          <w:color w:val="000000"/>
        </w:rPr>
        <w:t>Б.</w:t>
      </w:r>
      <w:r w:rsidR="00271167">
        <w:rPr>
          <w:b/>
          <w:color w:val="000000"/>
        </w:rPr>
        <w:tab/>
      </w:r>
      <w:r w:rsidRPr="004B37AE">
        <w:rPr>
          <w:b/>
          <w:color w:val="000000"/>
        </w:rPr>
        <w:t>Основни въпроси</w:t>
      </w:r>
    </w:p>
    <w:p w:rsidR="001C5E5F" w:rsidRPr="004B37AE" w:rsidRDefault="001C5E5F" w:rsidP="001C5E5F">
      <w:pPr>
        <w:numPr>
          <w:ilvl w:val="0"/>
          <w:numId w:val="24"/>
        </w:numPr>
        <w:ind w:left="1134" w:hanging="567"/>
      </w:pPr>
      <w:r w:rsidRPr="004B37AE">
        <w:t>Основните елементи на компромиса, постигнат с Европейския парламент, са изложени по-долу:</w:t>
      </w:r>
    </w:p>
    <w:p w:rsidR="005A42B3" w:rsidRPr="004B37AE" w:rsidRDefault="001C5E5F" w:rsidP="001C5E5F">
      <w:pPr>
        <w:numPr>
          <w:ilvl w:val="1"/>
          <w:numId w:val="23"/>
        </w:numPr>
        <w:rPr>
          <w:i/>
          <w:iCs/>
        </w:rPr>
      </w:pPr>
      <w:r w:rsidRPr="004B37AE">
        <w:rPr>
          <w:i/>
        </w:rPr>
        <w:t>Роуминг</w:t>
      </w:r>
    </w:p>
    <w:p w:rsidR="005A42B3" w:rsidRPr="004B37AE" w:rsidRDefault="001C5E5F" w:rsidP="005A42B3">
      <w:pPr>
        <w:numPr>
          <w:ilvl w:val="0"/>
          <w:numId w:val="24"/>
        </w:numPr>
        <w:ind w:left="1134" w:hanging="567"/>
      </w:pPr>
      <w:r w:rsidRPr="004B37AE">
        <w:t>Съгласно компромиса допълнителните такси на дребно за роуминг в Европейския съюз ще бъдат премахнати, считано от 15 юни 2017 г. Компромисът обаче предвижда две ситуации, в които прилагането на допълнителни такси продължава да бъде разрешено, при условие че са изпълнени определени критерии.</w:t>
      </w:r>
    </w:p>
    <w:p w:rsidR="005A42B3" w:rsidRPr="004B37AE" w:rsidRDefault="001C5E5F" w:rsidP="001C5E5F">
      <w:pPr>
        <w:numPr>
          <w:ilvl w:val="0"/>
          <w:numId w:val="24"/>
        </w:numPr>
        <w:ind w:left="1134" w:hanging="567"/>
      </w:pPr>
      <w:r w:rsidRPr="004B37AE">
        <w:t>На първо място, доставчиците на роуминг ще могат да прилагат „политика за разумно ползване“ с цел да се избегне злоупотребата или неправилното използване на регулирани роуминг услуги на дребно. При надхвърляне на установеното в тази политика могат да се прилагат допълнителни такси. Допълнителните такси не може да надвишават максималните такси на едро. Подробните правила за прилагането на политиката за разумно ползване ще бъдат определени от Комисията в акт за изпълнение до 15 декември 2016 г.</w:t>
      </w:r>
    </w:p>
    <w:p w:rsidR="001C5E5F" w:rsidRPr="004B37AE" w:rsidRDefault="001C5E5F" w:rsidP="001C5E5F">
      <w:r w:rsidRPr="004B37AE">
        <w:br w:type="page"/>
      </w:r>
    </w:p>
    <w:p w:rsidR="005A42B3" w:rsidRPr="004B37AE" w:rsidRDefault="001C5E5F" w:rsidP="001C5E5F">
      <w:pPr>
        <w:numPr>
          <w:ilvl w:val="0"/>
          <w:numId w:val="24"/>
        </w:numPr>
        <w:ind w:left="1134" w:hanging="567"/>
      </w:pPr>
      <w:r w:rsidRPr="004B37AE">
        <w:t>На второ място, с оглед да се осигури устойчивостта на вътрешния модел на таксуване, при определени и извънредни обстоятелства, когато роуминг доставчиците не могат да възстановят своите общи разходи за предоставяне на регулирани роуминг услуги от своите общи приходи от предоставянето на такива услуги, те могат да приложат допълнителна такса, при условие че получат разрешение за това от националния регулаторен орган, но само доколкото е необходимо за възстановяването на тези разходи.</w:t>
      </w:r>
    </w:p>
    <w:p w:rsidR="005A42B3" w:rsidRPr="004B37AE" w:rsidRDefault="001C5E5F" w:rsidP="001C5E5F">
      <w:pPr>
        <w:numPr>
          <w:ilvl w:val="0"/>
          <w:numId w:val="24"/>
        </w:numPr>
        <w:ind w:left="1134" w:hanging="567"/>
      </w:pPr>
      <w:r w:rsidRPr="004B37AE">
        <w:t>Премахването на допълнителните такси за роуминг от 15 юни 2017 г. е обусловено от приемането до тази дата на законодателно предложение за изменение на максималните такси на едро, уредени понастоящем в Регламент (ЕС) № 531/2012, или предвиждащо друго решение за преодоляване на установените проблеми на равнище такси на едро. Преди да представи такова законодателно предложение, Комисията трябва да извърши преглед на пазара на роуминг на едро, за да прецени кои са необходимите мерки, които ще направят възможно премахването на допълнителните такси за роуминг на дребно.</w:t>
      </w:r>
    </w:p>
    <w:p w:rsidR="005A42B3" w:rsidRPr="004B37AE" w:rsidRDefault="001C5E5F" w:rsidP="001C5E5F">
      <w:pPr>
        <w:numPr>
          <w:ilvl w:val="0"/>
          <w:numId w:val="24"/>
        </w:numPr>
        <w:ind w:left="1134" w:hanging="567"/>
      </w:pPr>
      <w:r w:rsidRPr="004B37AE">
        <w:t>С оглед да се гарантира плавен преход към премахването на допълнителните такси за роуминг компромисът предвижда преходен период, който започва от 30 април 2016 г. От тази дата допълнителните такси за роуминг ще бъдат значително намалени. Максималната допълнителна такса ще бъде сведена до настоящите максимални цени на едро, предвидени в Регламент (ЕС) № 531/2012. В случай на приети повиквания максималната допълнителна такса ще бъде среднопретеглената стойност на максималните цени за терминиране в мобилна мрежа в целия ЕС, която Комисията ще определи посредством акт за изпълнение до края на 2015 г.</w:t>
      </w:r>
    </w:p>
    <w:p w:rsidR="001C5E5F" w:rsidRPr="004B37AE" w:rsidRDefault="007E4648" w:rsidP="007E4648">
      <w:r w:rsidRPr="004B37AE">
        <w:br w:type="page"/>
      </w:r>
    </w:p>
    <w:p w:rsidR="001C5E5F" w:rsidRPr="004B37AE" w:rsidRDefault="001C5E5F" w:rsidP="001C5E5F">
      <w:pPr>
        <w:ind w:left="1701" w:hanging="567"/>
        <w:rPr>
          <w:i/>
          <w:iCs/>
        </w:rPr>
      </w:pPr>
      <w:r w:rsidRPr="004B37AE">
        <w:tab/>
      </w:r>
      <w:r w:rsidRPr="004B37AE">
        <w:tab/>
      </w:r>
      <w:r w:rsidRPr="004B37AE">
        <w:rPr>
          <w:i/>
        </w:rPr>
        <w:t>б.</w:t>
      </w:r>
      <w:r w:rsidRPr="004B37AE">
        <w:tab/>
      </w:r>
      <w:r w:rsidRPr="004B37AE">
        <w:rPr>
          <w:i/>
        </w:rPr>
        <w:t>Неутралност на мрежата</w:t>
      </w:r>
    </w:p>
    <w:p w:rsidR="005A42B3" w:rsidRPr="004B37AE" w:rsidRDefault="001C5E5F" w:rsidP="005A42B3">
      <w:pPr>
        <w:numPr>
          <w:ilvl w:val="0"/>
          <w:numId w:val="24"/>
        </w:numPr>
        <w:ind w:left="1134" w:hanging="567"/>
      </w:pPr>
      <w:r w:rsidRPr="004B37AE">
        <w:t>Съгласно новите правила в ЕС за гарантиране на равното и недискриминационно третиране на трафика при предоставянето на услуги за достъп до интернет, доставчиците ще бъдат задължени при предоставянето на услуги за достъп до интернет да третират еднакво целия трафик, без дискриминация, ограничение или намеса, независимо от подателя и получателя, съдържанието, до което е получен достъп или което е разпространено, или използваните приложения или услуги. Те могат да прилагат разумни мерки за управление на трафика, но тези мерки трябва да бъдат прозрачни, недискриминационни, пропорционални и да не се основават на търговски съображения. С мерките за управление на трафика не трябва да се наблюдава конкретното съдържание и те не трябва да се прилагат за период, по-дълъг от необходимото. Мерки, които надхвърлят разумното управление на трафика (например блокиране или ограничаване на скоростта), ще бъдат забранени, с изключение на ограничен брой случаи, определени в регламента.</w:t>
      </w:r>
    </w:p>
    <w:p w:rsidR="005A42B3" w:rsidRPr="004B37AE" w:rsidRDefault="001C5E5F" w:rsidP="005A42B3">
      <w:pPr>
        <w:numPr>
          <w:ilvl w:val="0"/>
          <w:numId w:val="24"/>
        </w:numPr>
        <w:ind w:left="1134" w:hanging="567"/>
      </w:pPr>
      <w:r w:rsidRPr="004B37AE">
        <w:t>Споразуменията за услуги, изискващи определено ниво на качество, ще бъдат разрешени, при условие че тези услуги не могат да се използват или предлагат като заместител на услугата за достъп до интернет и че не са в ущърб на наличието или общото качество на услугите за достъп до интернет за крайните потребители.</w:t>
      </w:r>
    </w:p>
    <w:p w:rsidR="001C5E5F" w:rsidRPr="004B37AE" w:rsidRDefault="007E4648" w:rsidP="00271167">
      <w:pPr>
        <w:spacing w:before="0" w:after="0"/>
        <w:ind w:left="1701" w:hanging="567"/>
        <w:rPr>
          <w:i/>
          <w:iCs/>
        </w:rPr>
      </w:pPr>
      <w:r w:rsidRPr="004B37AE">
        <w:tab/>
      </w:r>
      <w:r w:rsidRPr="004B37AE">
        <w:tab/>
      </w:r>
      <w:r w:rsidRPr="004B37AE">
        <w:rPr>
          <w:i/>
        </w:rPr>
        <w:t>в.</w:t>
      </w:r>
      <w:r w:rsidRPr="004B37AE">
        <w:tab/>
      </w:r>
      <w:r w:rsidRPr="004B37AE">
        <w:rPr>
          <w:i/>
        </w:rPr>
        <w:t>Права на крайните потребители</w:t>
      </w:r>
    </w:p>
    <w:p w:rsidR="001C5E5F" w:rsidRPr="004B37AE" w:rsidRDefault="001C5E5F" w:rsidP="005A42B3">
      <w:pPr>
        <w:numPr>
          <w:ilvl w:val="0"/>
          <w:numId w:val="24"/>
        </w:numPr>
        <w:ind w:hanging="720"/>
      </w:pPr>
      <w:r w:rsidRPr="004B37AE">
        <w:t>Разпоредбите относно гарантирането на достъп до отворен интернет и относно роуминга се допълват от разпоредбите относно крайните потребители, които по-специално дават възможност на крайните потребители да правят информиран избор. Например, по отношение на неутралността на мрежата доставчиците на услуги за достъп до интернет следва да информират крайните потребители по ясен начин за това как практиките за управление на трафика и всички услуги, различни от услугите за достъп до интернет, могат да окажат въздействие върху качеството на услугите за достъп до интернет. Доставчиците следва също така да информират крайните потребители за обичайно наличната скорост и за средствата за правна защита в случай на несъответствие.</w:t>
      </w:r>
    </w:p>
    <w:p w:rsidR="001C5E5F" w:rsidRPr="004B37AE" w:rsidRDefault="001C5E5F" w:rsidP="001C5E5F">
      <w:r w:rsidRPr="004B37AE">
        <w:br w:type="page"/>
      </w:r>
    </w:p>
    <w:p w:rsidR="001C5E5F" w:rsidRPr="004B37AE" w:rsidRDefault="001C5E5F" w:rsidP="001C5E5F">
      <w:pPr>
        <w:numPr>
          <w:ilvl w:val="0"/>
          <w:numId w:val="24"/>
        </w:numPr>
        <w:ind w:hanging="720"/>
      </w:pPr>
      <w:r w:rsidRPr="004B37AE">
        <w:tab/>
        <w:t>Що се отнася до роуминга, с цел укрепване на правата на клиентите, използващи услугата роуминг, в регламента се определят изисквания за прозрачност по отношение на специфичните тарифи и условия за обем, които ще се прилагат след премахването на допълнителните такси за роуминг. По-специално, потребителите ще трябва да бъдат уведомявани за приложимата политика за разумно ползване или за случаите, при които са достигнати обемите на потребление.</w:t>
      </w:r>
    </w:p>
    <w:p w:rsidR="001C5E5F" w:rsidRPr="004B37AE" w:rsidRDefault="007328D4" w:rsidP="007328D4">
      <w:pPr>
        <w:pStyle w:val="HeadingIVX"/>
        <w:numPr>
          <w:ilvl w:val="0"/>
          <w:numId w:val="21"/>
        </w:numPr>
      </w:pPr>
      <w:r w:rsidRPr="004B37AE">
        <w:t>ЗАКЛЮЧЕНИЕ</w:t>
      </w:r>
    </w:p>
    <w:p w:rsidR="00200453" w:rsidRPr="004B37AE" w:rsidRDefault="001C5E5F" w:rsidP="001C5E5F">
      <w:pPr>
        <w:pStyle w:val="Text1"/>
      </w:pPr>
      <w:r w:rsidRPr="004B37AE">
        <w:t>Позицията на Съвета отразява напълно компромиса, който беше постигнат в преговорите между Европейския парламент и Съвета със съгласието на Комисията. Компромисът се потвърждава от писмото на председателя на Комисията по промишленост, изследвания и енергетика от 16 юли 2015 г. до председателя на Комитета на постоянните представители.</w:t>
      </w:r>
    </w:p>
    <w:p w:rsidR="00FC4670" w:rsidRPr="007328D4" w:rsidRDefault="00FC4670" w:rsidP="00200453">
      <w:pPr>
        <w:pStyle w:val="FinalLine"/>
      </w:pPr>
    </w:p>
    <w:sectPr w:rsidR="00FC4670" w:rsidRPr="007328D4" w:rsidSect="00F654E6">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53" w:rsidRDefault="00200453" w:rsidP="00200453">
      <w:pPr>
        <w:spacing w:before="0" w:after="0" w:line="240" w:lineRule="auto"/>
      </w:pPr>
      <w:r>
        <w:separator/>
      </w:r>
    </w:p>
  </w:endnote>
  <w:endnote w:type="continuationSeparator" w:id="0">
    <w:p w:rsidR="00200453" w:rsidRDefault="00200453" w:rsidP="00200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61" w:rsidRPr="00F654E6" w:rsidRDefault="007D0661" w:rsidP="00F65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654E6" w:rsidRPr="00D94637" w:rsidTr="00F654E6">
      <w:trPr>
        <w:jc w:val="center"/>
      </w:trPr>
      <w:tc>
        <w:tcPr>
          <w:tcW w:w="5000" w:type="pct"/>
          <w:gridSpan w:val="7"/>
          <w:shd w:val="clear" w:color="auto" w:fill="auto"/>
          <w:tcMar>
            <w:top w:w="57" w:type="dxa"/>
          </w:tcMar>
        </w:tcPr>
        <w:p w:rsidR="00F654E6" w:rsidRPr="00D94637" w:rsidRDefault="00F654E6" w:rsidP="00D94637">
          <w:pPr>
            <w:pStyle w:val="FooterText"/>
            <w:pBdr>
              <w:top w:val="single" w:sz="4" w:space="1" w:color="auto"/>
            </w:pBdr>
            <w:spacing w:before="200"/>
            <w:rPr>
              <w:sz w:val="2"/>
              <w:szCs w:val="2"/>
            </w:rPr>
          </w:pPr>
          <w:bookmarkStart w:id="2" w:name="FOOTER_STANDARD"/>
        </w:p>
      </w:tc>
    </w:tr>
    <w:tr w:rsidR="00F654E6" w:rsidRPr="00B310DC" w:rsidTr="00F654E6">
      <w:trPr>
        <w:jc w:val="center"/>
      </w:trPr>
      <w:tc>
        <w:tcPr>
          <w:tcW w:w="2500" w:type="pct"/>
          <w:gridSpan w:val="2"/>
          <w:shd w:val="clear" w:color="auto" w:fill="auto"/>
          <w:tcMar>
            <w:top w:w="0" w:type="dxa"/>
          </w:tcMar>
        </w:tcPr>
        <w:p w:rsidR="00F654E6" w:rsidRPr="00AD7BF2" w:rsidRDefault="00F654E6" w:rsidP="004F54B2">
          <w:pPr>
            <w:pStyle w:val="FooterText"/>
          </w:pPr>
          <w:r>
            <w:t>10788/2/15</w:t>
          </w:r>
          <w:r w:rsidRPr="002511D8">
            <w:t xml:space="preserve"> </w:t>
          </w:r>
          <w:r>
            <w:t>REV 2 ADD 1</w:t>
          </w:r>
        </w:p>
      </w:tc>
      <w:tc>
        <w:tcPr>
          <w:tcW w:w="625" w:type="pct"/>
          <w:shd w:val="clear" w:color="auto" w:fill="auto"/>
          <w:tcMar>
            <w:top w:w="0" w:type="dxa"/>
          </w:tcMar>
        </w:tcPr>
        <w:p w:rsidR="00F654E6" w:rsidRPr="00AD7BF2" w:rsidRDefault="00F654E6" w:rsidP="00D94637">
          <w:pPr>
            <w:pStyle w:val="FooterText"/>
            <w:jc w:val="center"/>
          </w:pPr>
        </w:p>
      </w:tc>
      <w:tc>
        <w:tcPr>
          <w:tcW w:w="1287" w:type="pct"/>
          <w:gridSpan w:val="3"/>
          <w:shd w:val="clear" w:color="auto" w:fill="auto"/>
          <w:tcMar>
            <w:top w:w="0" w:type="dxa"/>
          </w:tcMar>
        </w:tcPr>
        <w:p w:rsidR="00F654E6" w:rsidRPr="002511D8" w:rsidRDefault="00F654E6" w:rsidP="00D94637">
          <w:pPr>
            <w:pStyle w:val="FooterText"/>
            <w:jc w:val="center"/>
          </w:pPr>
          <w:r>
            <w:t>hv/yp</w:t>
          </w:r>
        </w:p>
      </w:tc>
      <w:tc>
        <w:tcPr>
          <w:tcW w:w="588" w:type="pct"/>
          <w:shd w:val="clear" w:color="auto" w:fill="auto"/>
          <w:tcMar>
            <w:top w:w="0" w:type="dxa"/>
          </w:tcMar>
        </w:tcPr>
        <w:p w:rsidR="00F654E6" w:rsidRPr="00B310DC" w:rsidRDefault="00F654E6"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F654E6" w:rsidRPr="00D94637" w:rsidTr="00F654E6">
      <w:trPr>
        <w:jc w:val="center"/>
      </w:trPr>
      <w:tc>
        <w:tcPr>
          <w:tcW w:w="1774" w:type="pct"/>
          <w:shd w:val="clear" w:color="auto" w:fill="auto"/>
        </w:tcPr>
        <w:p w:rsidR="00F654E6" w:rsidRPr="00AD7BF2" w:rsidRDefault="00F654E6" w:rsidP="00D94637">
          <w:pPr>
            <w:pStyle w:val="FooterText"/>
            <w:spacing w:before="40"/>
          </w:pPr>
        </w:p>
      </w:tc>
      <w:tc>
        <w:tcPr>
          <w:tcW w:w="1455" w:type="pct"/>
          <w:gridSpan w:val="3"/>
          <w:shd w:val="clear" w:color="auto" w:fill="auto"/>
        </w:tcPr>
        <w:p w:rsidR="00F654E6" w:rsidRPr="00AD7BF2" w:rsidRDefault="00F654E6" w:rsidP="00D204D6">
          <w:pPr>
            <w:pStyle w:val="FooterText"/>
            <w:spacing w:before="40"/>
            <w:jc w:val="center"/>
          </w:pPr>
          <w:r>
            <w:t>DPG</w:t>
          </w:r>
        </w:p>
      </w:tc>
      <w:tc>
        <w:tcPr>
          <w:tcW w:w="1147" w:type="pct"/>
          <w:shd w:val="clear" w:color="auto" w:fill="auto"/>
        </w:tcPr>
        <w:p w:rsidR="00F654E6" w:rsidRPr="00D94637" w:rsidRDefault="00F654E6" w:rsidP="00D94637">
          <w:pPr>
            <w:pStyle w:val="FooterText"/>
            <w:jc w:val="right"/>
            <w:rPr>
              <w:b/>
              <w:position w:val="-4"/>
              <w:sz w:val="36"/>
            </w:rPr>
          </w:pPr>
        </w:p>
      </w:tc>
      <w:tc>
        <w:tcPr>
          <w:tcW w:w="625" w:type="pct"/>
          <w:gridSpan w:val="2"/>
          <w:shd w:val="clear" w:color="auto" w:fill="auto"/>
        </w:tcPr>
        <w:p w:rsidR="00F654E6" w:rsidRPr="00D94637" w:rsidRDefault="00F654E6" w:rsidP="00D94637">
          <w:pPr>
            <w:pStyle w:val="FooterText"/>
            <w:jc w:val="right"/>
            <w:rPr>
              <w:sz w:val="16"/>
            </w:rPr>
          </w:pPr>
          <w:r>
            <w:rPr>
              <w:b/>
              <w:position w:val="-4"/>
              <w:sz w:val="36"/>
            </w:rPr>
            <w:t>BG</w:t>
          </w:r>
        </w:p>
      </w:tc>
    </w:tr>
    <w:bookmarkEnd w:id="2"/>
  </w:tbl>
  <w:p w:rsidR="00200453" w:rsidRPr="00F654E6" w:rsidRDefault="00200453" w:rsidP="00F654E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654E6" w:rsidRPr="00D94637" w:rsidTr="00F654E6">
      <w:trPr>
        <w:jc w:val="center"/>
      </w:trPr>
      <w:tc>
        <w:tcPr>
          <w:tcW w:w="5000" w:type="pct"/>
          <w:gridSpan w:val="7"/>
          <w:shd w:val="clear" w:color="auto" w:fill="auto"/>
          <w:tcMar>
            <w:top w:w="57" w:type="dxa"/>
          </w:tcMar>
        </w:tcPr>
        <w:p w:rsidR="00F654E6" w:rsidRPr="00D94637" w:rsidRDefault="00F654E6" w:rsidP="00D94637">
          <w:pPr>
            <w:pStyle w:val="FooterText"/>
            <w:pBdr>
              <w:top w:val="single" w:sz="4" w:space="1" w:color="auto"/>
            </w:pBdr>
            <w:spacing w:before="200"/>
            <w:rPr>
              <w:sz w:val="2"/>
              <w:szCs w:val="2"/>
            </w:rPr>
          </w:pPr>
        </w:p>
      </w:tc>
    </w:tr>
    <w:tr w:rsidR="00F654E6" w:rsidRPr="00B310DC" w:rsidTr="00F654E6">
      <w:trPr>
        <w:jc w:val="center"/>
      </w:trPr>
      <w:tc>
        <w:tcPr>
          <w:tcW w:w="2500" w:type="pct"/>
          <w:gridSpan w:val="2"/>
          <w:shd w:val="clear" w:color="auto" w:fill="auto"/>
          <w:tcMar>
            <w:top w:w="0" w:type="dxa"/>
          </w:tcMar>
        </w:tcPr>
        <w:p w:rsidR="00F654E6" w:rsidRPr="00AD7BF2" w:rsidRDefault="00F654E6" w:rsidP="004F54B2">
          <w:pPr>
            <w:pStyle w:val="FooterText"/>
          </w:pPr>
          <w:r>
            <w:t>10788/2/15</w:t>
          </w:r>
          <w:r w:rsidRPr="002511D8">
            <w:t xml:space="preserve"> </w:t>
          </w:r>
          <w:r>
            <w:t>REV 2 ADD 1</w:t>
          </w:r>
        </w:p>
      </w:tc>
      <w:tc>
        <w:tcPr>
          <w:tcW w:w="625" w:type="pct"/>
          <w:shd w:val="clear" w:color="auto" w:fill="auto"/>
          <w:tcMar>
            <w:top w:w="0" w:type="dxa"/>
          </w:tcMar>
        </w:tcPr>
        <w:p w:rsidR="00F654E6" w:rsidRPr="00AD7BF2" w:rsidRDefault="00F654E6" w:rsidP="00D94637">
          <w:pPr>
            <w:pStyle w:val="FooterText"/>
            <w:jc w:val="center"/>
          </w:pPr>
        </w:p>
      </w:tc>
      <w:tc>
        <w:tcPr>
          <w:tcW w:w="1287" w:type="pct"/>
          <w:gridSpan w:val="3"/>
          <w:shd w:val="clear" w:color="auto" w:fill="auto"/>
          <w:tcMar>
            <w:top w:w="0" w:type="dxa"/>
          </w:tcMar>
        </w:tcPr>
        <w:p w:rsidR="00F654E6" w:rsidRPr="002511D8" w:rsidRDefault="00F654E6" w:rsidP="00D94637">
          <w:pPr>
            <w:pStyle w:val="FooterText"/>
            <w:jc w:val="center"/>
          </w:pPr>
          <w:r>
            <w:t>hv/yp</w:t>
          </w:r>
        </w:p>
      </w:tc>
      <w:tc>
        <w:tcPr>
          <w:tcW w:w="588" w:type="pct"/>
          <w:shd w:val="clear" w:color="auto" w:fill="auto"/>
          <w:tcMar>
            <w:top w:w="0" w:type="dxa"/>
          </w:tcMar>
        </w:tcPr>
        <w:p w:rsidR="00F654E6" w:rsidRPr="00B310DC" w:rsidRDefault="00F654E6"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654E6" w:rsidRPr="00D94637" w:rsidTr="00F654E6">
      <w:trPr>
        <w:jc w:val="center"/>
      </w:trPr>
      <w:tc>
        <w:tcPr>
          <w:tcW w:w="1774" w:type="pct"/>
          <w:shd w:val="clear" w:color="auto" w:fill="auto"/>
        </w:tcPr>
        <w:p w:rsidR="00F654E6" w:rsidRPr="00AD7BF2" w:rsidRDefault="00F654E6" w:rsidP="00D94637">
          <w:pPr>
            <w:pStyle w:val="FooterText"/>
            <w:spacing w:before="40"/>
          </w:pPr>
        </w:p>
      </w:tc>
      <w:tc>
        <w:tcPr>
          <w:tcW w:w="1455" w:type="pct"/>
          <w:gridSpan w:val="3"/>
          <w:shd w:val="clear" w:color="auto" w:fill="auto"/>
        </w:tcPr>
        <w:p w:rsidR="00F654E6" w:rsidRPr="00AD7BF2" w:rsidRDefault="00F654E6" w:rsidP="00D204D6">
          <w:pPr>
            <w:pStyle w:val="FooterText"/>
            <w:spacing w:before="40"/>
            <w:jc w:val="center"/>
          </w:pPr>
          <w:r>
            <w:t>DPG</w:t>
          </w:r>
        </w:p>
      </w:tc>
      <w:tc>
        <w:tcPr>
          <w:tcW w:w="1147" w:type="pct"/>
          <w:shd w:val="clear" w:color="auto" w:fill="auto"/>
        </w:tcPr>
        <w:p w:rsidR="00F654E6" w:rsidRPr="00D94637" w:rsidRDefault="00F654E6" w:rsidP="00D94637">
          <w:pPr>
            <w:pStyle w:val="FooterText"/>
            <w:jc w:val="right"/>
            <w:rPr>
              <w:b/>
              <w:position w:val="-4"/>
              <w:sz w:val="36"/>
            </w:rPr>
          </w:pPr>
        </w:p>
      </w:tc>
      <w:tc>
        <w:tcPr>
          <w:tcW w:w="625" w:type="pct"/>
          <w:gridSpan w:val="2"/>
          <w:shd w:val="clear" w:color="auto" w:fill="auto"/>
        </w:tcPr>
        <w:p w:rsidR="00F654E6" w:rsidRPr="00D94637" w:rsidRDefault="00F654E6" w:rsidP="00D94637">
          <w:pPr>
            <w:pStyle w:val="FooterText"/>
            <w:jc w:val="right"/>
            <w:rPr>
              <w:sz w:val="16"/>
            </w:rPr>
          </w:pPr>
          <w:r>
            <w:rPr>
              <w:b/>
              <w:position w:val="-4"/>
              <w:sz w:val="36"/>
            </w:rPr>
            <w:t>BG</w:t>
          </w:r>
        </w:p>
      </w:tc>
    </w:tr>
  </w:tbl>
  <w:p w:rsidR="00200453" w:rsidRPr="00F654E6" w:rsidRDefault="00200453" w:rsidP="00F654E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53" w:rsidRDefault="00200453" w:rsidP="00200453">
      <w:pPr>
        <w:spacing w:before="0" w:after="0" w:line="240" w:lineRule="auto"/>
      </w:pPr>
      <w:r>
        <w:separator/>
      </w:r>
    </w:p>
  </w:footnote>
  <w:footnote w:type="continuationSeparator" w:id="0">
    <w:p w:rsidR="00200453" w:rsidRDefault="00200453" w:rsidP="00200453">
      <w:pPr>
        <w:spacing w:before="0" w:after="0" w:line="240" w:lineRule="auto"/>
      </w:pPr>
      <w:r>
        <w:continuationSeparator/>
      </w:r>
    </w:p>
  </w:footnote>
  <w:footnote w:id="1">
    <w:p w:rsidR="001C5E5F" w:rsidRPr="00F048B5" w:rsidRDefault="001C5E5F" w:rsidP="005E1BAD">
      <w:pPr>
        <w:pStyle w:val="FootnoteText"/>
        <w:ind w:left="567" w:hanging="567"/>
      </w:pPr>
      <w:r>
        <w:rPr>
          <w:rStyle w:val="FootnoteReference"/>
        </w:rPr>
        <w:footnoteRef/>
      </w:r>
      <w:r>
        <w:tab/>
        <w:t xml:space="preserve">Законодателна резолюция на Европейския парламент от 3 април 2014 г. относно предложението за регламент на Европейския парламент и на Съвета за определяне на мерки относно единния европейски пазар на електронни съобщителни услуги, за изграждане на континентална мрежа и за изменение на директиви 2002/20/ЕО, </w:t>
      </w:r>
      <w:r w:rsidRPr="00A2514E">
        <w:t>2</w:t>
      </w:r>
      <w:r w:rsidR="005E1BAD" w:rsidRPr="00A2514E">
        <w:t>0</w:t>
      </w:r>
      <w:r w:rsidRPr="00A2514E">
        <w:t>02/21/ЕО, 2</w:t>
      </w:r>
      <w:r w:rsidR="005E1BAD" w:rsidRPr="00A2514E">
        <w:t>0</w:t>
      </w:r>
      <w:r w:rsidRPr="00A2514E">
        <w:t>02/22/ЕО</w:t>
      </w:r>
      <w:r>
        <w:t xml:space="preserve"> и Регламент (ЕО) № 1211/2009 и Регламент (ЕС) № 531/2012 (COM(2013)0627 - C7-0267/2013 - 2013/0309(COD).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61" w:rsidRPr="00F654E6" w:rsidRDefault="007D0661" w:rsidP="00F6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61" w:rsidRPr="00F654E6" w:rsidRDefault="007D0661" w:rsidP="00F654E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61" w:rsidRPr="00F654E6" w:rsidRDefault="007D0661" w:rsidP="00F654E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53" w:rsidRPr="00F654E6" w:rsidRDefault="00200453" w:rsidP="00F65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7C0103"/>
    <w:multiLevelType w:val="hybridMultilevel"/>
    <w:tmpl w:val="F10849CA"/>
    <w:name w:val="Heading IVX3"/>
    <w:lvl w:ilvl="0" w:tplc="125000C8">
      <w:start w:val="9"/>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3CDD1796"/>
    <w:multiLevelType w:val="hybridMultilevel"/>
    <w:tmpl w:val="614885D4"/>
    <w:name w:val="Heading IVX222"/>
    <w:lvl w:ilvl="0" w:tplc="88B4001A">
      <w:start w:val="1"/>
      <w:numFmt w:val="lowerLetter"/>
      <w:lvlText w:val="(%1)"/>
      <w:lvlJc w:val="left"/>
      <w:pPr>
        <w:ind w:left="1854" w:hanging="360"/>
      </w:pPr>
    </w:lvl>
    <w:lvl w:ilvl="1" w:tplc="B90E06EE">
      <w:start w:val="1"/>
      <w:numFmt w:val="lowerLetter"/>
      <w:lvlText w:val="%2."/>
      <w:lvlJc w:val="left"/>
      <w:pPr>
        <w:ind w:left="2574" w:hanging="360"/>
      </w:pPr>
      <w:rPr>
        <w:i/>
        <w:iCs/>
      </w:r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6CB703EF"/>
    <w:multiLevelType w:val="hybridMultilevel"/>
    <w:tmpl w:val="26B2BD5C"/>
    <w:lvl w:ilvl="0" w:tplc="E8CEC572">
      <w:start w:val="1"/>
      <w:numFmt w:val="decimal"/>
      <w:lvlText w:val="%1."/>
      <w:lvlJc w:val="left"/>
      <w:pPr>
        <w:ind w:left="927"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2"/>
  </w:num>
  <w:num w:numId="3">
    <w:abstractNumId w:val="11"/>
  </w:num>
  <w:num w:numId="4">
    <w:abstractNumId w:val="13"/>
  </w:num>
  <w:num w:numId="5">
    <w:abstractNumId w:val="8"/>
  </w:num>
  <w:num w:numId="6">
    <w:abstractNumId w:val="1"/>
  </w:num>
  <w:num w:numId="7">
    <w:abstractNumId w:val="7"/>
  </w:num>
  <w:num w:numId="8">
    <w:abstractNumId w:val="6"/>
  </w:num>
  <w:num w:numId="9">
    <w:abstractNumId w:val="3"/>
  </w:num>
  <w:num w:numId="10">
    <w:abstractNumId w:val="19"/>
  </w:num>
  <w:num w:numId="11">
    <w:abstractNumId w:val="20"/>
  </w:num>
  <w:num w:numId="12">
    <w:abstractNumId w:val="0"/>
  </w:num>
  <w:num w:numId="13">
    <w:abstractNumId w:val="22"/>
  </w:num>
  <w:num w:numId="14">
    <w:abstractNumId w:val="17"/>
  </w:num>
  <w:num w:numId="15">
    <w:abstractNumId w:val="14"/>
  </w:num>
  <w:num w:numId="16">
    <w:abstractNumId w:val="9"/>
  </w:num>
  <w:num w:numId="17">
    <w:abstractNumId w:val="15"/>
  </w:num>
  <w:num w:numId="18">
    <w:abstractNumId w:val="2"/>
  </w:num>
  <w:num w:numId="19">
    <w:abstractNumId w:val="21"/>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12"/>
  </w:num>
  <w:num w:numId="27">
    <w:abstractNumId w:val="11"/>
  </w:num>
  <w:num w:numId="28">
    <w:abstractNumId w:val="13"/>
  </w:num>
  <w:num w:numId="29">
    <w:abstractNumId w:val="8"/>
  </w:num>
  <w:num w:numId="30">
    <w:abstractNumId w:val="1"/>
  </w:num>
  <w:num w:numId="31">
    <w:abstractNumId w:val="7"/>
  </w:num>
  <w:num w:numId="32">
    <w:abstractNumId w:val="6"/>
  </w:num>
  <w:num w:numId="33">
    <w:abstractNumId w:val="3"/>
  </w:num>
  <w:num w:numId="34">
    <w:abstractNumId w:val="19"/>
  </w:num>
  <w:num w:numId="35">
    <w:abstractNumId w:val="20"/>
  </w:num>
  <w:num w:numId="36">
    <w:abstractNumId w:val="0"/>
  </w:num>
  <w:num w:numId="37">
    <w:abstractNumId w:val="22"/>
  </w:num>
  <w:num w:numId="38">
    <w:abstractNumId w:val="17"/>
  </w:num>
  <w:num w:numId="39">
    <w:abstractNumId w:val="14"/>
  </w:num>
  <w:num w:numId="40">
    <w:abstractNumId w:val="9"/>
  </w:num>
  <w:num w:numId="41">
    <w:abstractNumId w:val="15"/>
  </w:num>
  <w:num w:numId="42">
    <w:abstractNumId w:val="2"/>
  </w:num>
  <w:num w:numId="43">
    <w:abstractNumId w:val="2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8564bac7-df7c-4632-86b8-884e1e2c6210&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 translate=&quot;false&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10-01&lt;/text&gt;_x000d__x000a_  &lt;/metadata&gt;_x000d__x000a_  &lt;metadata key=&quot;md_Prefix&quot; translate=&quot;false&quot;&gt;_x000d__x000a_    &lt;text&gt;&lt;/text&gt;_x000d__x000a_  &lt;/metadata&gt;_x000d__x000a_  &lt;metadata key=&quot;md_DocumentNumber&quot; translate=&quot;false&quot;&gt;_x000d__x000a_    &lt;text&gt;10788&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2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2&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TELECOM 161&lt;/text&gt;_x000d__x000a_      &lt;text&gt;COMPET 361&lt;/text&gt;_x000d__x000a_      &lt;text&gt;MI 481&lt;/text&gt;_x000d__x000a_      &lt;text&gt;CONSOM 126&lt;/text&gt;_x000d__x000a_      &lt;text&gt;CODEC 1038&lt;/text&gt;_x000d__x000a_      &lt;text&gt;PARLNAT 100&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 translate=&quot;false&quot;&gt;_x000d__x000a_    &lt;textlist&gt;_x000d__x000a_      &lt;text&gt;2013/0309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88;&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79;&amp;#1072; &amp;#1086;&amp;#1087;&amp;#1088;&amp;#1077;&amp;#1076;&amp;#1077;&amp;#1083;&amp;#1103;&amp;#1085;&amp;#1077; &amp;#1085;&amp;#1072; &amp;#1084;&amp;#1077;&amp;#1088;&amp;#1082;&amp;#1080; &amp;#1086;&amp;#1090;&amp;#1085;&amp;#1086;&amp;#1089;&amp;#1085;&amp;#1086; &amp;#1077;&amp;#1076;&amp;#1080;&amp;#1085;&amp;#1085;&amp;#1080;&amp;#1103; &amp;#1077;&amp;#1074;&amp;#1088;&amp;#1086;&amp;#1087;&amp;#1077;&amp;#1081;&amp;#1089;&amp;#1082;&amp;#1080; &amp;#1087;&amp;#1072;&amp;#1079;&amp;#1072;&amp;#1088; &amp;#1085;&amp;#1072; &amp;#1077;&amp;#1083;&amp;#1077;&amp;#1082;&amp;#1090;&amp;#1088;&amp;#1086;&amp;#1085;&amp;#1085;&amp;#1080; &amp;#1089;&amp;#1098;&amp;#1086;&amp;#1073;&amp;#1097;&amp;#1080;&amp;#1090;&amp;#1077;&amp;#1083;&amp;#1085;&amp;#1080; &amp;#1091;&amp;#1089;&amp;#1083;&amp;#1091;&amp;#1075;&amp;#1080;, &amp;#1079;&amp;#1072; &amp;#1080;&amp;#1079;&amp;#1075;&amp;#1088;&amp;#1072;&amp;#1078;&amp;#1076;&amp;#1072;&amp;#1085;&amp;#1077; &amp;#1085;&amp;#1072; &amp;#1082;&amp;#1086;&amp;#1085;&amp;#1090;&amp;#1080;&amp;#1085;&amp;#1077;&amp;#1085;&amp;#1090;&amp;#1072;&amp;#1083;&amp;#1085;&amp;#1072; &amp;#1084;&amp;#1088;&amp;#1077;&amp;#1078;&amp;#1072; &amp;#1080; &amp;#1079;&amp;#1072; &amp;#1080;&amp;#1079;&amp;#1084;&amp;#1077;&amp;#1085;&amp;#1077;&amp;#1085;&amp;#1080;&amp;#1077; &amp;#1085;&amp;#1072; &amp;#1076;&amp;#1080;&amp;#1088;&amp;#1077;&amp;#1082;&amp;#1090;&amp;#1080;&amp;#1074;&amp;#1080; 2002/20/&amp;#1045;&amp;#1054;, 2002/21/&amp;#1045;&amp;#1054; &amp;#1080; 2002/22/&amp;#1045;&amp;#1054; &amp;#1080; &amp;#1085;&amp;#1072; &amp;#1056;&amp;#1077;&amp;#1075;&amp;#1083;&amp;#1072;&amp;#1084;&amp;#1077;&amp;#1085;&amp;#1090; (&amp;#1045;&amp;#1054;) &amp;#8470; 1211/2009 &amp;#1080; &amp;#1056;&amp;#1077;&amp;#1075;&amp;#1083;&amp;#1072;&amp;#1084;&amp;#1077;&amp;#1085;&amp;#1090; (&amp;#1045;&amp;#1057;) &amp;#8470; 531/2012  &amp;#8212; &amp;#1048;&amp;#1079;&amp;#1083;&amp;#1086;&amp;#1078;&amp;#1077;&amp;#1085;&amp;#1080;&amp;#1077; &amp;#1085;&amp;#1072; &amp;#1084;&amp;#1086;&amp;#1090;&amp;#1080;&amp;#1074;&amp;#1080;&amp;#1090;&amp;#1077; &amp;#1085;&amp;#1072; &amp;#1057;&amp;#1098;&amp;#1074;&amp;#1077;&amp;#1090;&amp;#1072; &amp;#8212; &amp;#1055;&amp;#1088;&amp;#1080;&amp;#1077;&amp;#1090;&amp;#1086; &amp;#1086;&amp;#1090; &amp;#1057;&amp;#1098;&amp;#1074;&amp;#1077;&amp;#1090;&amp;#1072; &amp;#1085;&amp;#1072; 1 &amp;#1086;&amp;#1082;&amp;#1090;&amp;#1086;&amp;#1084;&amp;#1074;&amp;#1088;&amp;#1080; 2015 &amp;#1075;.&quot;&gt;&amp;lt;FlowDocument FontFamily=&quot;Arial Unicode MS&quot; FontSize=&quot;12&quot; PageWidth=&quot;329&quot; PagePadding=&quot;5,0,5,0&quot; AllowDrop=&quot;False&quot; xmlns=&quot;http://schemas.microsoft.com/winfx/2006/xaml/presentation&quot; xmlns:x=&quot;http://schemas.microsoft.com/winfx/2006/xaml&quot;&amp;gt;&amp;lt;Paragraph xml:space=&quot;preserve&quot;&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88;&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79;&amp;#1072; &amp;#1086;&amp;#1087;&amp;#1088;&amp;#1077;&amp;#1076;&amp;#1077;&amp;#1083;&amp;#1103;&amp;#1085;&amp;#1077; &amp;#1085;&amp;#1072; &amp;#1084;&amp;#1077;&amp;#1088;&amp;#1082;&amp;#1080; &amp;#1086;&amp;#1090;&amp;#1085;&amp;#1086;&amp;#1089;&amp;#1085;&amp;#1086; &amp;#1077;&amp;#1076;&amp;#1080;&amp;#1085;&amp;#1085;&amp;#1080;&amp;#1103; &amp;#1077;&amp;#1074;&amp;#1088;&amp;#1086;&amp;#1087;&amp;#1077;&amp;#1081;&amp;#1089;&amp;#1082;&amp;#1080; &amp;#1087;&amp;#1072;&amp;#1079;&amp;#1072;&amp;#1088; &amp;#1085;&amp;#1072; &amp;#1077;&amp;#1083;&amp;#1077;&amp;#1082;&amp;#1090;&amp;#1088;&amp;#1086;&amp;#1085;&amp;#1085;&amp;#1080; &amp;#1089;&amp;#1098;&amp;#1086;&amp;#1073;&amp;#1097;&amp;#1080;&amp;#1090;&amp;#1077;&amp;#1083;&amp;#1085;&amp;#1080; &amp;#1091;&amp;#1089;&amp;#1083;&amp;#1091;&amp;#1075;&amp;#1080;, &amp;#1079;&amp;#1072; &amp;#1080;&amp;#1079;&amp;#1075;&amp;#1088;&amp;#1072;&amp;#1078;&amp;#1076;&amp;#1072;&amp;#1085;&amp;#1077; &amp;#1085;&amp;#1072; &amp;#1082;&amp;#1086;&amp;#1085;&amp;#1090;&amp;#1080;&amp;#1085;&amp;#1077;&amp;#1085;&amp;#1090;&amp;#1072;&amp;#1083;&amp;#1085;&amp;#1072; &amp;#1084;&amp;#1088;&amp;#1077;&amp;#1078;&amp;#1072; &amp;#1080; &amp;#1079;&amp;#1072; &amp;#1080;&amp;#1079;&amp;#1084;&amp;#1077;&amp;#1085;&amp;#1077;&amp;#1085;&amp;#1080;&amp;#1077; &amp;#1085;&amp;#1072; &amp;#1076;&amp;#1080;&amp;#1088;&amp;#1077;&amp;#1082;&amp;#1090;&amp;#1080;&amp;#1074;&amp;#1080; 2002/20/&amp;#1045;&amp;#1054;, 2002/21/&amp;#1045;&amp;#1054; &amp;#1080; 2002/22/&amp;#1045;&amp;#1054; &amp;#1080; &amp;#1085;&amp;#1072; &amp;#1056;&amp;#1077;&amp;#1075;&amp;#1083;&amp;#1072;&amp;#1084;&amp;#1077;&amp;#1085;&amp;#1090; (&amp;#1045;&amp;#1054;) &amp;#8470; 1211/2009 &amp;#1080; &amp;#1056;&amp;#1077;&amp;#1075;&amp;#1083;&amp;#1072;&amp;#1084;&amp;#1077;&amp;#1085;&amp;#1090; (&amp;#1045;&amp;#1057;) &amp;#8470; 531/2012 &amp;lt;/Paragraph&amp;gt;&amp;lt;Paragraph&amp;gt;&amp;#8212; &amp;lt;Run xml:lang=&quot;bg-bg&quot;&amp;gt;&amp;#1048;&amp;lt;/Run&amp;gt;&amp;#1079;&amp;#1083;&amp;#1086;&amp;#1078;&amp;#1077;&amp;#1085;&amp;#1080;&amp;#1077; &amp;#1085;&amp;#1072; &amp;#1084;&amp;#1086;&amp;#1090;&amp;#1080;&amp;#1074;&amp;#1080;&amp;#1090;&amp;#1077; &amp;#1085;&amp;#1072; &amp;#1057;&amp;#1098;&amp;#1074;&amp;#1077;&amp;#1090;&amp;#1072;&amp;lt;LineBreak /&amp;gt;&amp;lt;Run FontFamily=&quot;Arial Unicode MS&quot;&amp;gt;&amp;#8212; &amp;#1055;&amp;#1088;&amp;#1080;&amp;#1077;&amp;#1090;&amp;lt;/Run&amp;gt;&amp;lt;Run FontFamily=&quot;Arial Unicode MS&quot; xml:lang=&quot;bg-bg&quot;&amp;gt;&amp;#1086;&amp;lt;/Run&amp;gt;&amp;lt;Run FontFamily=&quot;Arial Unicode MS&quot; xml:space=&quot;preserve&quot;&amp;gt; &amp;#1086;&amp;#1090; &amp;#1057;&amp;#1098;&amp;#1074;&amp;#1077;&amp;#1090;&amp;#1072; &amp;#1085;&amp;#1072; &amp;lt;/Run&amp;gt;&amp;lt;Run FontFamily=&quot;Arial Unicode MS&quot; xml:lang=&quot;bg-bg&quot; xml:space=&quot;preserve&quot;&amp;gt;1 &amp;#1086;&amp;#1082;&amp;#1090;&amp;#1086;&amp;#1084;&amp;#1074;&amp;#1088;&amp;#1080; 2015 &amp;lt;/Run&amp;gt;&amp;lt;Run FontFamily=&quot;Arial Unicode MS&quot;&amp;gt;&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hv/yp&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5fab83d1-c257-4e26-b466-e151416f2e7a&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amp;#1055;&amp;#1056;&amp;#1054;&amp;#1045;&amp;#1050;&amp;#1058; &amp;#1047;&amp;#1040; &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 translate=&quot;false&quot;&gt;_x000d__x000a_    &lt;headingtext text=&quot;&amp;#1055;&amp;#1056;&amp;#1054;&amp;#1045;&amp;#1050;&amp;#1058; &amp;#1047;&amp;#1040; &amp;#1048;&amp;#1047;&amp;#1051;&amp;#1054;&amp;#1046;&amp;#1045;&amp;#1053;&amp;#1048;&amp;#1045; &amp;#1053;&amp;#1040; &amp;#1052;&amp;#1054;&amp;#1058;&amp;#1048;&amp;#1042;&amp;#1048;&amp;#1058;&amp;#1045; &amp;#1053;&amp;#1040; &amp;#1057;&amp;#1066;&amp;#1042;&amp;#1045;&amp;#1058;&amp;#1040;&quot;&gt;_x000d__x000a_      &lt;formattedtext&gt;_x000d__x000a_        &lt;xaml text=&quot;&amp;#1055;&amp;#1056;&amp;#1054;&amp;#1045;&amp;#1050;&amp;#1058; &amp;#1047;&amp;#1040; &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55;&amp;#1056;&amp;#1054;&amp;#1045;&amp;#1050;&amp;#1058; &amp;#1047;&amp;#1040; &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9-23&lt;/text&gt;_x000d__x000a_  &lt;/metadata&gt;_x000d__x000a_  &lt;metadata key=&quot;md_Prefix&quot; translate=&quot;false&quot;&gt;_x000d__x000a_    &lt;text&gt;&lt;/text&gt;_x000d__x000a_  &lt;/metadata&gt;_x000d__x000a_  &lt;metadata key=&quot;md_DocumentNumber&quot; translate=&quot;false&quot;&gt;_x000d__x000a_    &lt;text&gt;10788&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TELECOM 161&lt;/text&gt;_x000d__x000a_      &lt;text&gt;COMPET 361&lt;/text&gt;_x000d__x000a_      &lt;text&gt;MI 481&lt;/text&gt;_x000d__x000a_      &lt;text&gt;CONSOM 126&lt;/text&gt;_x000d__x000a_      &lt;text&gt;CODEC 10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3/0309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88;&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79;&amp;#1072; &amp;#1086;&amp;#1087;&amp;#1088;&amp;#1077;&amp;#1076;&amp;#1077;&amp;#1083;&amp;#1103;&amp;#1085;&amp;#1077; &amp;#1085;&amp;#1072; &amp;#1084;&amp;#1077;&amp;#1088;&amp;#1082;&amp;#1080; &amp;#1086;&amp;#1090;&amp;#1085;&amp;#1086;&amp;#1089;&amp;#1085;&amp;#1086; &amp;#1077;&amp;#1076;&amp;#1080;&amp;#1085;&amp;#1085;&amp;#1080;&amp;#1103; &amp;#1077;&amp;#1074;&amp;#1088;&amp;#1086;&amp;#1087;&amp;#1077;&amp;#1081;&amp;#1089;&amp;#1082;&amp;#1080; &amp;#1087;&amp;#1072;&amp;#1079;&amp;#1072;&amp;#1088; &amp;#1085;&amp;#1072; &amp;#1077;&amp;#1083;&amp;#1077;&amp;#1082;&amp;#1090;&amp;#1088;&amp;#1086;&amp;#1085;&amp;#1085;&amp;#1080; &amp;#1089;&amp;#1098;&amp;#1086;&amp;#1073;&amp;#1097;&amp;#1080;&amp;#1090;&amp;#1077;&amp;#1083;&amp;#1085;&amp;#1080; &amp;#1091;&amp;#1089;&amp;#1083;&amp;#1091;&amp;#1075;&amp;#1080;, &amp;#1079;&amp;#1072; &amp;#1080;&amp;#1079;&amp;#1075;&amp;#1088;&amp;#1072;&amp;#1078;&amp;#1076;&amp;#1072;&amp;#1085;&amp;#1077; &amp;#1085;&amp;#1072; &amp;#1082;&amp;#1086;&amp;#1085;&amp;#1090;&amp;#1080;&amp;#1085;&amp;#1077;&amp;#1085;&amp;#1090;&amp;#1072;&amp;#1083;&amp;#1085;&amp;#1072; &amp;#1084;&amp;#1088;&amp;#1077;&amp;#1078;&amp;#1072; &amp;#1080; &amp;#1079;&amp;#1072; &amp;#1080;&amp;#1079;&amp;#1084;&amp;#1077;&amp;#1085;&amp;#1077;&amp;#1085;&amp;#1080;&amp;#1077; &amp;#1085;&amp;#1072; &amp;#1076;&amp;#1080;&amp;#1088;&amp;#1077;&amp;#1082;&amp;#1090;&amp;#1080;&amp;#1074;&amp;#1080; 2002/20/&amp;#1045;&amp;#1054;, 2002/21/&amp;#1045;&amp;#1054; &amp;#1080; 2002/22/&amp;#1045;&amp;#1054; &amp;#1080; &amp;#1085;&amp;#1072; &amp;#1056;&amp;#1077;&amp;#1075;&amp;#1083;&amp;#1072;&amp;#1084;&amp;#1077;&amp;#1085;&amp;#1090; (&amp;#1045;&amp;#1054;) &amp;#8470; 1211/2009 &amp;#1080; &amp;#1056;&amp;#1077;&amp;#1075;&amp;#1083;&amp;#1072;&amp;#1084;&amp;#1077;&amp;#1085;&amp;#1090; (&amp;#1045;&amp;#1057;) &amp;#8470; 531/2012  &amp;#8212; &amp;#1055;&amp;#1088;&amp;#1086;&amp;#1077;&amp;#1082;&amp;#1090; &amp;#1079;&amp;#1072; &amp;#1080;&amp;#1079;&amp;#1083;&amp;#1086;&amp;#1078;&amp;#1077;&amp;#1085;&amp;#1080;&amp;#1077; &amp;#1085;&amp;#1072; &amp;#1084;&amp;#1086;&amp;#1090;&amp;#1080;&amp;#1074;&amp;#1080;&amp;#1090;&amp;#1077; &amp;#1085;&amp;#1072; &amp;#1057;&amp;#1098;&amp;#1074;&amp;#1077;&amp;#1090;&amp;#1072;&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Arial Unicode MS&quot;&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amp;lt;/Run&amp;gt;&amp;lt;Run FontFamily=&quot;Arial Unicode MS&quot; xml:lang=&quot;en-gb&quot; xml:space=&quot;preserve&quot;&amp;gt; &amp;#1088;&amp;lt;/Run&amp;gt;&amp;lt;Run FontFamily=&quot;Arial Unicode MS&quot;&amp;gt;&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79;&amp;#1072; &amp;#1086;&amp;#1087;&amp;#1088;&amp;#1077;&amp;#1076;&amp;#1077;&amp;#1083;&amp;#1103;&amp;#1085;&amp;#1077; &amp;#1085;&amp;#1072; &amp;#1084;&amp;#1077;&amp;#1088;&amp;#1082;&amp;#1080; &amp;#1086;&amp;#1090;&amp;#1085;&amp;#1086;&amp;#1089;&amp;#1085;&amp;#1086; &amp;#1077;&amp;#1076;&amp;#1080;&amp;#1085;&amp;#1085;&amp;#1080;&amp;#1103; &amp;#1077;&amp;#1074;&amp;#1088;&amp;#1086;&amp;#1087;&amp;#1077;&amp;#1081;&amp;#1089;&amp;#1082;&amp;#1080; &amp;#1087;&amp;#1072;&amp;#1079;&amp;#1072;&amp;#1088; &amp;#1085;&amp;#1072; &amp;#1077;&amp;#1083;&amp;#1077;&amp;#1082;&amp;#1090;&amp;#1088;&amp;#1086;&amp;#1085;&amp;#1085;&amp;#1080; &amp;#1089;&amp;#1098;&amp;#1086;&amp;#1073;&amp;#1097;&amp;#1080;&amp;#1090;&amp;#1077;&amp;#1083;&amp;#1085;&amp;#1080; &amp;#1091;&amp;#1089;&amp;#1083;&amp;#1091;&amp;#1075;&amp;#1080;, &amp;#1079;&amp;#1072; &amp;#1080;&amp;#1079;&amp;#1075;&amp;#1088;&amp;#1072;&amp;#1078;&amp;#1076;&amp;#1072;&amp;#1085;&amp;#1077; &amp;#1085;&amp;#1072; &amp;#1082;&amp;#1086;&amp;#1085;&amp;#1090;&amp;#1080;&amp;#1085;&amp;#1077;&amp;#1085;&amp;#1090;&amp;#1072;&amp;#1083;&amp;#1085;&amp;#1072; &amp;#1084;&amp;#1088;&amp;#1077;&amp;#1078;&amp;#1072; &amp;#1080; &amp;#1079;&amp;#1072; &amp;#1080;&amp;#1079;&amp;#1084;&amp;#1077;&amp;#1085;&amp;#1077;&amp;#1085;&amp;#1080;&amp;#1077; &amp;#1085;&amp;#1072; &amp;#1076;&amp;#1080;&amp;#1088;&amp;#1077;&amp;#1082;&amp;#1090;&amp;#1080;&amp;#1074;&amp;#1080; 2002/20/&amp;#1045;&amp;#1054;, 2002/21/&amp;#1045;&amp;#1054; &amp;#1080; 2002/22/&amp;#1045;&amp;#1054; &amp;#1080; &amp;#1085;&amp;#1072; &amp;#1056;&amp;#1077;&amp;#1075;&amp;#1083;&amp;#1072;&amp;#1084;&amp;#1077;&amp;#1085;&amp;#1090; (&amp;#1045;&amp;#1054;) &amp;#8470; 1211/2009 &amp;#1080; &amp;#1056;&amp;#1077;&amp;#1075;&amp;#1083;&amp;#1072;&amp;#1084;&amp;#1077;&amp;#1085;&amp;#1090; (&amp;#1045;&amp;#1057;) &amp;#8470; 531/2012&amp;lt;/Run&amp;gt;&amp;lt;Run xml:lang=&quot;en-gb&quot; xml:space=&quot;preserve&quot;&amp;gt; &amp;lt;/Run&amp;gt;&amp;lt;/Paragraph&amp;gt;&amp;lt;Paragraph&amp;gt;&amp;#8212; &amp;#1055;&amp;#1088;&amp;#1086;&amp;#1077;&amp;#1082;&amp;#1090; &amp;#1079;&amp;#1072; &amp;#1080;&amp;#1079;&amp;#1083;&amp;#1086;&amp;#1078;&amp;#1077;&amp;#1085;&amp;#1080;&amp;#1077; &amp;#1085;&amp;#1072; &amp;#1084;&amp;#1086;&amp;#1090;&amp;#1080;&amp;#1074;&amp;#1080;&amp;#1090;&amp;#1077; &amp;#1085;&amp;#1072; &amp;#1057;&amp;#1098;&amp;#1074;&amp;#1077;&amp;#1090;&amp;#1072;&amp;lt;/Paragraph&amp;gt;&amp;lt;/FlowDocument&amp;gt;&lt;/xaml&gt;_x000d__x000a_  &lt;/metadata&gt;_x000d__x000a_  &lt;metadata key=&quot;md_SubjectFootnote&quot; /&gt;_x000d__x000a_  &lt;metadata key=&quot;md_DG&quot; translate=&quot;false&quot;&gt;_x000d__x000a_    &lt;text&gt;DGE 2B&lt;/text&gt;_x000d__x000a_  &lt;/metadata&gt;_x000d__x000a_  &lt;metadata key=&quot;md_Initials&quot; translate=&quot;false&quot;&gt;_x000d__x000a_    &lt;text&gt;vat/II/yp&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200453"/>
    <w:rsid w:val="00023A03"/>
    <w:rsid w:val="00091B7F"/>
    <w:rsid w:val="00096B04"/>
    <w:rsid w:val="00130CD9"/>
    <w:rsid w:val="00177284"/>
    <w:rsid w:val="00182F2F"/>
    <w:rsid w:val="001C5E5F"/>
    <w:rsid w:val="00200453"/>
    <w:rsid w:val="002345D5"/>
    <w:rsid w:val="00271167"/>
    <w:rsid w:val="00350188"/>
    <w:rsid w:val="00356F5F"/>
    <w:rsid w:val="003613DB"/>
    <w:rsid w:val="00414945"/>
    <w:rsid w:val="00436D67"/>
    <w:rsid w:val="004A5CE6"/>
    <w:rsid w:val="004B37AE"/>
    <w:rsid w:val="005A42B3"/>
    <w:rsid w:val="005E1BAD"/>
    <w:rsid w:val="00625999"/>
    <w:rsid w:val="006351BB"/>
    <w:rsid w:val="00645D7B"/>
    <w:rsid w:val="007161AD"/>
    <w:rsid w:val="007328D4"/>
    <w:rsid w:val="007923E6"/>
    <w:rsid w:val="007B336B"/>
    <w:rsid w:val="007C350C"/>
    <w:rsid w:val="007D0661"/>
    <w:rsid w:val="007E4648"/>
    <w:rsid w:val="00901450"/>
    <w:rsid w:val="009B07D1"/>
    <w:rsid w:val="00A2514E"/>
    <w:rsid w:val="00A30641"/>
    <w:rsid w:val="00A93207"/>
    <w:rsid w:val="00AD17F6"/>
    <w:rsid w:val="00AF3113"/>
    <w:rsid w:val="00B54F86"/>
    <w:rsid w:val="00BE6E3D"/>
    <w:rsid w:val="00D13316"/>
    <w:rsid w:val="00DA643E"/>
    <w:rsid w:val="00DC5EF5"/>
    <w:rsid w:val="00E5767B"/>
    <w:rsid w:val="00E80814"/>
    <w:rsid w:val="00E87714"/>
    <w:rsid w:val="00F654E6"/>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61"/>
    <w:pPr>
      <w:spacing w:before="120" w:after="120" w:line="360" w:lineRule="auto"/>
    </w:pPr>
    <w:rPr>
      <w:sz w:val="24"/>
      <w:szCs w:val="24"/>
      <w:lang w:val="en-GB"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00453"/>
    <w:pPr>
      <w:spacing w:before="0" w:after="440"/>
      <w:ind w:left="-1134" w:right="-1134"/>
    </w:pPr>
    <w:rPr>
      <w:sz w:val="2"/>
      <w:lang w:val="bg-BG" w:eastAsia="bg-BG" w:bidi="bg-BG"/>
    </w:rPr>
  </w:style>
  <w:style w:type="character" w:customStyle="1" w:styleId="TechnicalBlockChar">
    <w:name w:val="Technical Block Char"/>
    <w:basedOn w:val="DefaultParagraphFont"/>
    <w:rsid w:val="00200453"/>
    <w:rPr>
      <w:sz w:val="24"/>
      <w:szCs w:val="24"/>
      <w:lang w:val="bg-BG" w:eastAsia="bg-BG"/>
    </w:rPr>
  </w:style>
  <w:style w:type="character" w:customStyle="1" w:styleId="HeaderCouncilLargeChar">
    <w:name w:val="Header Council Large Char"/>
    <w:basedOn w:val="TechnicalBlockChar"/>
    <w:link w:val="HeaderCouncilLarge"/>
    <w:rsid w:val="00200453"/>
    <w:rPr>
      <w:sz w:val="2"/>
      <w:szCs w:val="24"/>
      <w:lang w:val="bg-BG" w:eastAsia="bg-BG"/>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rsid w:val="001C5E5F"/>
    <w:rPr>
      <w:sz w:val="24"/>
      <w:lang w:val="bg-BG" w:eastAsia="bg-BG"/>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bg-BG" w:eastAsia="bg-BG"/>
    </w:rPr>
  </w:style>
  <w:style w:type="paragraph" w:styleId="Header">
    <w:name w:val="header"/>
    <w:basedOn w:val="Normal"/>
    <w:rsid w:val="007D0661"/>
    <w:pPr>
      <w:tabs>
        <w:tab w:val="right" w:pos="9638"/>
      </w:tabs>
    </w:pPr>
  </w:style>
  <w:style w:type="paragraph" w:styleId="Footer">
    <w:name w:val="footer"/>
    <w:basedOn w:val="Normal"/>
    <w:rsid w:val="007D0661"/>
    <w:pPr>
      <w:tabs>
        <w:tab w:val="center" w:pos="4819"/>
        <w:tab w:val="center" w:pos="7370"/>
        <w:tab w:val="right" w:pos="9638"/>
      </w:tabs>
      <w:spacing w:before="0" w:after="0" w:line="240" w:lineRule="auto"/>
    </w:pPr>
  </w:style>
  <w:style w:type="paragraph" w:styleId="FootnoteText">
    <w:name w:val="footnote text"/>
    <w:basedOn w:val="Normal"/>
    <w:rsid w:val="007D0661"/>
    <w:pPr>
      <w:spacing w:before="0" w:after="0" w:line="240" w:lineRule="auto"/>
      <w:ind w:left="720" w:hanging="720"/>
    </w:pPr>
    <w:rPr>
      <w:szCs w:val="20"/>
    </w:rPr>
  </w:style>
  <w:style w:type="paragraph" w:customStyle="1" w:styleId="NormalCentered">
    <w:name w:val="Normal Centered"/>
    <w:basedOn w:val="Normal"/>
    <w:rsid w:val="007D0661"/>
    <w:pPr>
      <w:spacing w:before="200"/>
      <w:jc w:val="center"/>
    </w:pPr>
  </w:style>
  <w:style w:type="paragraph" w:customStyle="1" w:styleId="NormalRight">
    <w:name w:val="Normal Right"/>
    <w:basedOn w:val="Normal"/>
    <w:rsid w:val="007D0661"/>
    <w:pPr>
      <w:spacing w:before="200"/>
      <w:jc w:val="right"/>
    </w:pPr>
  </w:style>
  <w:style w:type="paragraph" w:customStyle="1" w:styleId="NormalJustified">
    <w:name w:val="Normal Justified"/>
    <w:basedOn w:val="Normal"/>
    <w:rsid w:val="007D0661"/>
    <w:pPr>
      <w:spacing w:before="200"/>
      <w:jc w:val="both"/>
    </w:pPr>
  </w:style>
  <w:style w:type="paragraph" w:customStyle="1" w:styleId="HeaderLandscape">
    <w:name w:val="HeaderLandscape"/>
    <w:basedOn w:val="Normal"/>
    <w:rsid w:val="007D0661"/>
    <w:pPr>
      <w:tabs>
        <w:tab w:val="right" w:pos="14570"/>
      </w:tabs>
    </w:pPr>
  </w:style>
  <w:style w:type="paragraph" w:customStyle="1" w:styleId="FooterLandscape">
    <w:name w:val="FooterLandscape"/>
    <w:basedOn w:val="Normal"/>
    <w:rsid w:val="007D0661"/>
    <w:pPr>
      <w:tabs>
        <w:tab w:val="center" w:pos="7285"/>
        <w:tab w:val="center" w:pos="10930"/>
        <w:tab w:val="right" w:pos="14570"/>
      </w:tabs>
      <w:spacing w:before="0" w:after="0" w:line="240" w:lineRule="auto"/>
    </w:pPr>
  </w:style>
  <w:style w:type="character" w:styleId="FootnoteReference">
    <w:name w:val="footnote reference"/>
    <w:rsid w:val="007D0661"/>
    <w:rPr>
      <w:b/>
      <w:shd w:val="clear" w:color="auto" w:fill="auto"/>
      <w:vertAlign w:val="superscript"/>
    </w:rPr>
  </w:style>
  <w:style w:type="paragraph" w:customStyle="1" w:styleId="HeaderCouncil">
    <w:name w:val="Header Council"/>
    <w:basedOn w:val="Normal"/>
    <w:rsid w:val="007D0661"/>
    <w:pPr>
      <w:spacing w:before="0" w:after="0" w:line="240" w:lineRule="auto"/>
    </w:pPr>
    <w:rPr>
      <w:sz w:val="2"/>
    </w:rPr>
  </w:style>
  <w:style w:type="paragraph" w:customStyle="1" w:styleId="FooterCouncil">
    <w:name w:val="Footer Council"/>
    <w:basedOn w:val="Normal"/>
    <w:rsid w:val="007D0661"/>
    <w:pPr>
      <w:spacing w:before="0" w:after="0" w:line="240" w:lineRule="auto"/>
    </w:pPr>
    <w:rPr>
      <w:sz w:val="2"/>
    </w:rPr>
  </w:style>
  <w:style w:type="paragraph" w:customStyle="1" w:styleId="TechnicalBlock">
    <w:name w:val="Technical Block"/>
    <w:basedOn w:val="Normal"/>
    <w:next w:val="Normal"/>
    <w:rsid w:val="00F654E6"/>
    <w:pPr>
      <w:spacing w:before="0" w:after="240" w:line="240" w:lineRule="auto"/>
      <w:jc w:val="center"/>
    </w:pPr>
  </w:style>
  <w:style w:type="paragraph" w:customStyle="1" w:styleId="FinalLine">
    <w:name w:val="Final Line"/>
    <w:basedOn w:val="Normal"/>
    <w:next w:val="Normal"/>
    <w:rsid w:val="007D0661"/>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7D0661"/>
    <w:pPr>
      <w:pBdr>
        <w:bottom w:val="single" w:sz="4" w:space="0" w:color="000000"/>
      </w:pBdr>
      <w:spacing w:before="360"/>
      <w:ind w:left="5868" w:right="5868"/>
      <w:jc w:val="center"/>
    </w:pPr>
    <w:rPr>
      <w:b/>
    </w:rPr>
  </w:style>
  <w:style w:type="paragraph" w:customStyle="1" w:styleId="Text1">
    <w:name w:val="Text 1"/>
    <w:basedOn w:val="Normal"/>
    <w:rsid w:val="007D0661"/>
    <w:pPr>
      <w:ind w:left="567"/>
      <w:outlineLvl w:val="0"/>
    </w:pPr>
  </w:style>
  <w:style w:type="paragraph" w:customStyle="1" w:styleId="Text2">
    <w:name w:val="Text 2"/>
    <w:basedOn w:val="Normal"/>
    <w:rsid w:val="007D0661"/>
    <w:pPr>
      <w:ind w:left="1134"/>
      <w:outlineLvl w:val="1"/>
    </w:pPr>
  </w:style>
  <w:style w:type="paragraph" w:customStyle="1" w:styleId="Text3">
    <w:name w:val="Text 3"/>
    <w:basedOn w:val="Normal"/>
    <w:rsid w:val="007D0661"/>
    <w:pPr>
      <w:ind w:left="1701"/>
      <w:outlineLvl w:val="2"/>
    </w:pPr>
  </w:style>
  <w:style w:type="paragraph" w:customStyle="1" w:styleId="Text4">
    <w:name w:val="Text 4"/>
    <w:basedOn w:val="Normal"/>
    <w:rsid w:val="007D0661"/>
    <w:pPr>
      <w:ind w:left="2268"/>
      <w:outlineLvl w:val="3"/>
    </w:pPr>
  </w:style>
  <w:style w:type="paragraph" w:customStyle="1" w:styleId="Text5">
    <w:name w:val="Text 5"/>
    <w:basedOn w:val="Normal"/>
    <w:rsid w:val="007D0661"/>
    <w:pPr>
      <w:ind w:left="2835"/>
      <w:outlineLvl w:val="4"/>
    </w:pPr>
  </w:style>
  <w:style w:type="paragraph" w:customStyle="1" w:styleId="Text6">
    <w:name w:val="Text 6"/>
    <w:basedOn w:val="Normal"/>
    <w:rsid w:val="007D0661"/>
    <w:pPr>
      <w:ind w:left="3402"/>
      <w:outlineLvl w:val="5"/>
    </w:pPr>
  </w:style>
  <w:style w:type="paragraph" w:customStyle="1" w:styleId="PointManual">
    <w:name w:val="Point Manual"/>
    <w:basedOn w:val="Normal"/>
    <w:rsid w:val="007D0661"/>
    <w:pPr>
      <w:ind w:left="567" w:hanging="567"/>
    </w:pPr>
  </w:style>
  <w:style w:type="paragraph" w:customStyle="1" w:styleId="PointManual1">
    <w:name w:val="Point Manual (1)"/>
    <w:basedOn w:val="Normal"/>
    <w:rsid w:val="007D0661"/>
    <w:pPr>
      <w:ind w:left="1134" w:hanging="567"/>
      <w:outlineLvl w:val="0"/>
    </w:pPr>
  </w:style>
  <w:style w:type="paragraph" w:customStyle="1" w:styleId="PointManual2">
    <w:name w:val="Point Manual (2)"/>
    <w:basedOn w:val="Normal"/>
    <w:rsid w:val="007D0661"/>
    <w:pPr>
      <w:ind w:left="1701" w:hanging="567"/>
      <w:outlineLvl w:val="1"/>
    </w:pPr>
  </w:style>
  <w:style w:type="paragraph" w:customStyle="1" w:styleId="PointManual3">
    <w:name w:val="Point Manual (3)"/>
    <w:basedOn w:val="Normal"/>
    <w:rsid w:val="007D0661"/>
    <w:pPr>
      <w:ind w:left="2268" w:hanging="567"/>
      <w:outlineLvl w:val="2"/>
    </w:pPr>
  </w:style>
  <w:style w:type="paragraph" w:customStyle="1" w:styleId="PointManual4">
    <w:name w:val="Point Manual (4)"/>
    <w:basedOn w:val="Normal"/>
    <w:rsid w:val="007D0661"/>
    <w:pPr>
      <w:ind w:left="2835" w:hanging="567"/>
      <w:outlineLvl w:val="3"/>
    </w:pPr>
  </w:style>
  <w:style w:type="paragraph" w:customStyle="1" w:styleId="PointDoubleManual">
    <w:name w:val="Point Double Manual"/>
    <w:basedOn w:val="Normal"/>
    <w:rsid w:val="007D0661"/>
    <w:pPr>
      <w:tabs>
        <w:tab w:val="left" w:pos="567"/>
      </w:tabs>
      <w:ind w:left="1134" w:hanging="1134"/>
    </w:pPr>
  </w:style>
  <w:style w:type="paragraph" w:customStyle="1" w:styleId="PointDoubleManual1">
    <w:name w:val="Point Double Manual (1)"/>
    <w:basedOn w:val="Normal"/>
    <w:rsid w:val="007D0661"/>
    <w:pPr>
      <w:tabs>
        <w:tab w:val="left" w:pos="1134"/>
      </w:tabs>
      <w:ind w:left="1701" w:hanging="1134"/>
      <w:outlineLvl w:val="0"/>
    </w:pPr>
  </w:style>
  <w:style w:type="paragraph" w:customStyle="1" w:styleId="PointDoubleManual2">
    <w:name w:val="Point Double Manual (2)"/>
    <w:basedOn w:val="Normal"/>
    <w:rsid w:val="007D0661"/>
    <w:pPr>
      <w:tabs>
        <w:tab w:val="left" w:pos="1701"/>
      </w:tabs>
      <w:ind w:left="2268" w:hanging="1134"/>
      <w:outlineLvl w:val="1"/>
    </w:pPr>
  </w:style>
  <w:style w:type="paragraph" w:customStyle="1" w:styleId="PointDoubleManual3">
    <w:name w:val="Point Double Manual (3)"/>
    <w:basedOn w:val="Normal"/>
    <w:rsid w:val="007D0661"/>
    <w:pPr>
      <w:tabs>
        <w:tab w:val="left" w:pos="2268"/>
      </w:tabs>
      <w:ind w:left="2835" w:hanging="1134"/>
      <w:outlineLvl w:val="2"/>
    </w:pPr>
  </w:style>
  <w:style w:type="paragraph" w:customStyle="1" w:styleId="PointDoubleManual4">
    <w:name w:val="Point Double Manual (4)"/>
    <w:basedOn w:val="Normal"/>
    <w:rsid w:val="007D0661"/>
    <w:pPr>
      <w:tabs>
        <w:tab w:val="left" w:pos="2835"/>
      </w:tabs>
      <w:ind w:left="3402" w:hanging="1134"/>
      <w:outlineLvl w:val="3"/>
    </w:pPr>
  </w:style>
  <w:style w:type="paragraph" w:customStyle="1" w:styleId="Pointabc">
    <w:name w:val="Point abc"/>
    <w:basedOn w:val="Normal"/>
    <w:rsid w:val="007D0661"/>
    <w:pPr>
      <w:numPr>
        <w:ilvl w:val="1"/>
        <w:numId w:val="16"/>
      </w:numPr>
    </w:pPr>
  </w:style>
  <w:style w:type="paragraph" w:customStyle="1" w:styleId="Pointabc1">
    <w:name w:val="Point abc (1)"/>
    <w:basedOn w:val="Normal"/>
    <w:rsid w:val="007D0661"/>
    <w:pPr>
      <w:numPr>
        <w:ilvl w:val="3"/>
        <w:numId w:val="16"/>
      </w:numPr>
      <w:outlineLvl w:val="0"/>
    </w:pPr>
  </w:style>
  <w:style w:type="paragraph" w:customStyle="1" w:styleId="Pointabc2">
    <w:name w:val="Point abc (2)"/>
    <w:basedOn w:val="Normal"/>
    <w:rsid w:val="007D0661"/>
    <w:pPr>
      <w:numPr>
        <w:ilvl w:val="5"/>
        <w:numId w:val="16"/>
      </w:numPr>
      <w:outlineLvl w:val="1"/>
    </w:pPr>
  </w:style>
  <w:style w:type="paragraph" w:customStyle="1" w:styleId="Pointabc3">
    <w:name w:val="Point abc (3)"/>
    <w:basedOn w:val="Normal"/>
    <w:rsid w:val="007D0661"/>
    <w:pPr>
      <w:numPr>
        <w:ilvl w:val="7"/>
        <w:numId w:val="16"/>
      </w:numPr>
      <w:outlineLvl w:val="2"/>
    </w:pPr>
  </w:style>
  <w:style w:type="paragraph" w:customStyle="1" w:styleId="Pointabc4">
    <w:name w:val="Point abc (4)"/>
    <w:basedOn w:val="Normal"/>
    <w:rsid w:val="007D0661"/>
    <w:pPr>
      <w:numPr>
        <w:ilvl w:val="8"/>
        <w:numId w:val="16"/>
      </w:numPr>
      <w:outlineLvl w:val="3"/>
    </w:pPr>
  </w:style>
  <w:style w:type="paragraph" w:customStyle="1" w:styleId="Point123">
    <w:name w:val="Point 123"/>
    <w:basedOn w:val="Normal"/>
    <w:rsid w:val="007D0661"/>
    <w:pPr>
      <w:numPr>
        <w:numId w:val="16"/>
      </w:numPr>
    </w:pPr>
  </w:style>
  <w:style w:type="paragraph" w:customStyle="1" w:styleId="Point1231">
    <w:name w:val="Point 123 (1)"/>
    <w:basedOn w:val="Normal"/>
    <w:rsid w:val="007D0661"/>
    <w:pPr>
      <w:numPr>
        <w:ilvl w:val="2"/>
        <w:numId w:val="16"/>
      </w:numPr>
      <w:outlineLvl w:val="0"/>
    </w:pPr>
  </w:style>
  <w:style w:type="paragraph" w:customStyle="1" w:styleId="Point1232">
    <w:name w:val="Point 123 (2)"/>
    <w:basedOn w:val="Normal"/>
    <w:rsid w:val="007D0661"/>
    <w:pPr>
      <w:numPr>
        <w:ilvl w:val="4"/>
        <w:numId w:val="16"/>
      </w:numPr>
      <w:outlineLvl w:val="1"/>
    </w:pPr>
  </w:style>
  <w:style w:type="paragraph" w:customStyle="1" w:styleId="Point1233">
    <w:name w:val="Point 123 (3)"/>
    <w:basedOn w:val="Normal"/>
    <w:rsid w:val="007D0661"/>
    <w:pPr>
      <w:numPr>
        <w:ilvl w:val="6"/>
        <w:numId w:val="16"/>
      </w:numPr>
      <w:outlineLvl w:val="2"/>
    </w:pPr>
  </w:style>
  <w:style w:type="paragraph" w:customStyle="1" w:styleId="Pointivx">
    <w:name w:val="Point ivx"/>
    <w:basedOn w:val="Normal"/>
    <w:rsid w:val="007D0661"/>
    <w:pPr>
      <w:numPr>
        <w:numId w:val="17"/>
      </w:numPr>
    </w:pPr>
  </w:style>
  <w:style w:type="paragraph" w:customStyle="1" w:styleId="Pointivx1">
    <w:name w:val="Point ivx (1)"/>
    <w:basedOn w:val="Normal"/>
    <w:rsid w:val="007D0661"/>
    <w:pPr>
      <w:numPr>
        <w:ilvl w:val="1"/>
        <w:numId w:val="17"/>
      </w:numPr>
      <w:outlineLvl w:val="0"/>
    </w:pPr>
  </w:style>
  <w:style w:type="paragraph" w:customStyle="1" w:styleId="Pointivx2">
    <w:name w:val="Point ivx (2)"/>
    <w:basedOn w:val="Normal"/>
    <w:rsid w:val="007D0661"/>
    <w:pPr>
      <w:numPr>
        <w:ilvl w:val="2"/>
        <w:numId w:val="17"/>
      </w:numPr>
      <w:outlineLvl w:val="1"/>
    </w:pPr>
  </w:style>
  <w:style w:type="paragraph" w:customStyle="1" w:styleId="Pointivx3">
    <w:name w:val="Point ivx (3)"/>
    <w:basedOn w:val="Normal"/>
    <w:rsid w:val="007D0661"/>
    <w:pPr>
      <w:numPr>
        <w:ilvl w:val="3"/>
        <w:numId w:val="17"/>
      </w:numPr>
      <w:outlineLvl w:val="2"/>
    </w:pPr>
  </w:style>
  <w:style w:type="paragraph" w:customStyle="1" w:styleId="Pointivx4">
    <w:name w:val="Point ivx (4)"/>
    <w:basedOn w:val="Normal"/>
    <w:rsid w:val="007D0661"/>
    <w:pPr>
      <w:numPr>
        <w:ilvl w:val="4"/>
        <w:numId w:val="17"/>
      </w:numPr>
      <w:outlineLvl w:val="3"/>
    </w:pPr>
  </w:style>
  <w:style w:type="paragraph" w:customStyle="1" w:styleId="Bullet">
    <w:name w:val="Bullet"/>
    <w:basedOn w:val="Normal"/>
    <w:rsid w:val="007D0661"/>
    <w:pPr>
      <w:numPr>
        <w:numId w:val="11"/>
      </w:numPr>
    </w:pPr>
  </w:style>
  <w:style w:type="paragraph" w:customStyle="1" w:styleId="Bullet1">
    <w:name w:val="Bullet 1"/>
    <w:basedOn w:val="Normal"/>
    <w:rsid w:val="007D0661"/>
    <w:pPr>
      <w:numPr>
        <w:numId w:val="12"/>
      </w:numPr>
      <w:outlineLvl w:val="0"/>
    </w:pPr>
  </w:style>
  <w:style w:type="paragraph" w:customStyle="1" w:styleId="Bullet2">
    <w:name w:val="Bullet 2"/>
    <w:basedOn w:val="Normal"/>
    <w:rsid w:val="007D0661"/>
    <w:pPr>
      <w:numPr>
        <w:numId w:val="13"/>
      </w:numPr>
      <w:outlineLvl w:val="1"/>
    </w:pPr>
  </w:style>
  <w:style w:type="paragraph" w:customStyle="1" w:styleId="Bullet3">
    <w:name w:val="Bullet 3"/>
    <w:basedOn w:val="Normal"/>
    <w:rsid w:val="007D0661"/>
    <w:pPr>
      <w:numPr>
        <w:numId w:val="14"/>
      </w:numPr>
      <w:outlineLvl w:val="2"/>
    </w:pPr>
  </w:style>
  <w:style w:type="paragraph" w:customStyle="1" w:styleId="Bullet4">
    <w:name w:val="Bullet 4"/>
    <w:basedOn w:val="Normal"/>
    <w:rsid w:val="007D0661"/>
    <w:pPr>
      <w:numPr>
        <w:numId w:val="15"/>
      </w:numPr>
      <w:outlineLvl w:val="3"/>
    </w:pPr>
  </w:style>
  <w:style w:type="paragraph" w:customStyle="1" w:styleId="Dash">
    <w:name w:val="Dash"/>
    <w:basedOn w:val="Normal"/>
    <w:rsid w:val="007D0661"/>
    <w:pPr>
      <w:numPr>
        <w:numId w:val="1"/>
      </w:numPr>
    </w:pPr>
  </w:style>
  <w:style w:type="paragraph" w:customStyle="1" w:styleId="Dash1">
    <w:name w:val="Dash 1"/>
    <w:basedOn w:val="Normal"/>
    <w:rsid w:val="007D0661"/>
    <w:pPr>
      <w:numPr>
        <w:numId w:val="2"/>
      </w:numPr>
      <w:outlineLvl w:val="0"/>
    </w:pPr>
  </w:style>
  <w:style w:type="paragraph" w:customStyle="1" w:styleId="Dash2">
    <w:name w:val="Dash 2"/>
    <w:basedOn w:val="Normal"/>
    <w:rsid w:val="007D0661"/>
    <w:pPr>
      <w:numPr>
        <w:numId w:val="3"/>
      </w:numPr>
      <w:outlineLvl w:val="1"/>
    </w:pPr>
  </w:style>
  <w:style w:type="paragraph" w:customStyle="1" w:styleId="Dash3">
    <w:name w:val="Dash 3"/>
    <w:basedOn w:val="Normal"/>
    <w:rsid w:val="007D0661"/>
    <w:pPr>
      <w:numPr>
        <w:numId w:val="4"/>
      </w:numPr>
      <w:outlineLvl w:val="2"/>
    </w:pPr>
  </w:style>
  <w:style w:type="paragraph" w:customStyle="1" w:styleId="Dash4">
    <w:name w:val="Dash 4"/>
    <w:basedOn w:val="Normal"/>
    <w:rsid w:val="007D0661"/>
    <w:pPr>
      <w:numPr>
        <w:numId w:val="5"/>
      </w:numPr>
      <w:outlineLvl w:val="3"/>
    </w:pPr>
  </w:style>
  <w:style w:type="paragraph" w:customStyle="1" w:styleId="DashEqual">
    <w:name w:val="Dash Equal"/>
    <w:basedOn w:val="Dash"/>
    <w:rsid w:val="007D0661"/>
    <w:pPr>
      <w:numPr>
        <w:numId w:val="6"/>
      </w:numPr>
    </w:pPr>
  </w:style>
  <w:style w:type="paragraph" w:customStyle="1" w:styleId="DashEqual1">
    <w:name w:val="Dash Equal 1"/>
    <w:basedOn w:val="Dash1"/>
    <w:rsid w:val="007D0661"/>
    <w:pPr>
      <w:numPr>
        <w:numId w:val="7"/>
      </w:numPr>
    </w:pPr>
  </w:style>
  <w:style w:type="paragraph" w:customStyle="1" w:styleId="DashEqual2">
    <w:name w:val="Dash Equal 2"/>
    <w:basedOn w:val="Dash2"/>
    <w:rsid w:val="007D0661"/>
    <w:pPr>
      <w:numPr>
        <w:numId w:val="8"/>
      </w:numPr>
    </w:pPr>
  </w:style>
  <w:style w:type="paragraph" w:customStyle="1" w:styleId="DashEqual3">
    <w:name w:val="Dash Equal 3"/>
    <w:basedOn w:val="Dash3"/>
    <w:rsid w:val="007D0661"/>
    <w:pPr>
      <w:numPr>
        <w:numId w:val="9"/>
      </w:numPr>
    </w:pPr>
  </w:style>
  <w:style w:type="paragraph" w:customStyle="1" w:styleId="DashEqual4">
    <w:name w:val="Dash Equal 4"/>
    <w:basedOn w:val="Dash4"/>
    <w:rsid w:val="007D0661"/>
    <w:pPr>
      <w:numPr>
        <w:numId w:val="10"/>
      </w:numPr>
    </w:pPr>
  </w:style>
  <w:style w:type="character" w:customStyle="1" w:styleId="Marker">
    <w:name w:val="Marker"/>
    <w:rsid w:val="007D0661"/>
    <w:rPr>
      <w:color w:val="0000FF"/>
      <w:shd w:val="clear" w:color="auto" w:fill="auto"/>
    </w:rPr>
  </w:style>
  <w:style w:type="character" w:customStyle="1" w:styleId="Marker1">
    <w:name w:val="Marker1"/>
    <w:rsid w:val="007D0661"/>
    <w:rPr>
      <w:color w:val="008000"/>
      <w:shd w:val="clear" w:color="auto" w:fill="auto"/>
    </w:rPr>
  </w:style>
  <w:style w:type="paragraph" w:customStyle="1" w:styleId="HeadingLeft">
    <w:name w:val="Heading Left"/>
    <w:basedOn w:val="Normal"/>
    <w:next w:val="Normal"/>
    <w:rsid w:val="007D0661"/>
    <w:pPr>
      <w:spacing w:before="360"/>
      <w:outlineLvl w:val="0"/>
    </w:pPr>
    <w:rPr>
      <w:b/>
      <w:caps/>
      <w:u w:val="single"/>
    </w:rPr>
  </w:style>
  <w:style w:type="paragraph" w:customStyle="1" w:styleId="HeadingIVX">
    <w:name w:val="Heading IVX"/>
    <w:basedOn w:val="HeadingLeft"/>
    <w:next w:val="Normal"/>
    <w:rsid w:val="007D0661"/>
    <w:pPr>
      <w:numPr>
        <w:numId w:val="20"/>
      </w:numPr>
    </w:pPr>
  </w:style>
  <w:style w:type="paragraph" w:customStyle="1" w:styleId="Heading123">
    <w:name w:val="Heading 123"/>
    <w:basedOn w:val="HeadingLeft"/>
    <w:next w:val="Normal"/>
    <w:rsid w:val="007D0661"/>
    <w:pPr>
      <w:numPr>
        <w:numId w:val="19"/>
      </w:numPr>
    </w:pPr>
  </w:style>
  <w:style w:type="paragraph" w:customStyle="1" w:styleId="HeadingABC">
    <w:name w:val="Heading ABC"/>
    <w:basedOn w:val="HeadingLeft"/>
    <w:next w:val="Normal"/>
    <w:rsid w:val="007D0661"/>
    <w:pPr>
      <w:numPr>
        <w:numId w:val="18"/>
      </w:numPr>
    </w:pPr>
  </w:style>
  <w:style w:type="paragraph" w:customStyle="1" w:styleId="HeadingCentered">
    <w:name w:val="Heading Centered"/>
    <w:basedOn w:val="HeadingLeft"/>
    <w:next w:val="Normal"/>
    <w:rsid w:val="007D0661"/>
    <w:pPr>
      <w:jc w:val="center"/>
    </w:pPr>
  </w:style>
  <w:style w:type="paragraph" w:customStyle="1" w:styleId="Amendment">
    <w:name w:val="Amendment"/>
    <w:basedOn w:val="Normal"/>
    <w:next w:val="Normal"/>
    <w:rsid w:val="007D0661"/>
    <w:rPr>
      <w:i/>
      <w:u w:val="single"/>
    </w:rPr>
  </w:style>
  <w:style w:type="paragraph" w:customStyle="1" w:styleId="AmendmentList">
    <w:name w:val="Amendment List"/>
    <w:basedOn w:val="Normal"/>
    <w:rsid w:val="007D0661"/>
    <w:pPr>
      <w:ind w:left="2268" w:hanging="2268"/>
    </w:pPr>
  </w:style>
  <w:style w:type="paragraph" w:customStyle="1" w:styleId="ReplyRE">
    <w:name w:val="Reply RE"/>
    <w:basedOn w:val="Normal"/>
    <w:next w:val="Normal"/>
    <w:rsid w:val="007D0661"/>
    <w:pPr>
      <w:spacing w:after="480" w:line="240" w:lineRule="auto"/>
      <w:contextualSpacing/>
    </w:pPr>
  </w:style>
  <w:style w:type="paragraph" w:customStyle="1" w:styleId="ReplyBold">
    <w:name w:val="Reply Bold"/>
    <w:basedOn w:val="ReplyRE"/>
    <w:next w:val="Normal"/>
    <w:rsid w:val="007D0661"/>
    <w:rPr>
      <w:b/>
    </w:rPr>
  </w:style>
  <w:style w:type="paragraph" w:customStyle="1" w:styleId="Annex">
    <w:name w:val="Annex"/>
    <w:basedOn w:val="Normal"/>
    <w:next w:val="Normal"/>
    <w:rsid w:val="007D0661"/>
    <w:pPr>
      <w:jc w:val="right"/>
    </w:pPr>
    <w:rPr>
      <w:b/>
      <w:u w:val="single"/>
    </w:rPr>
  </w:style>
  <w:style w:type="paragraph" w:customStyle="1" w:styleId="Sign">
    <w:name w:val="Sign"/>
    <w:basedOn w:val="Normal"/>
    <w:rsid w:val="007D0661"/>
    <w:pPr>
      <w:tabs>
        <w:tab w:val="center" w:pos="7087"/>
      </w:tabs>
    </w:pPr>
  </w:style>
  <w:style w:type="paragraph" w:customStyle="1" w:styleId="NotDeclassified">
    <w:name w:val="Not Declassified"/>
    <w:basedOn w:val="Normal"/>
    <w:qFormat/>
    <w:rsid w:val="007D0661"/>
    <w:rPr>
      <w:b/>
      <w:bCs/>
      <w:bdr w:val="single" w:sz="4" w:space="0" w:color="auto"/>
      <w:shd w:val="solid" w:color="CCCCCC" w:fill="CCCCCC"/>
      <w:lang w:val="de-LU"/>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61"/>
    <w:pPr>
      <w:spacing w:before="120" w:after="120" w:line="360" w:lineRule="auto"/>
    </w:pPr>
    <w:rPr>
      <w:sz w:val="24"/>
      <w:szCs w:val="24"/>
      <w:lang w:val="en-GB"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00453"/>
    <w:pPr>
      <w:spacing w:before="0" w:after="440"/>
      <w:ind w:left="-1134" w:right="-1134"/>
    </w:pPr>
    <w:rPr>
      <w:sz w:val="2"/>
      <w:lang w:val="bg-BG" w:eastAsia="bg-BG" w:bidi="bg-BG"/>
    </w:rPr>
  </w:style>
  <w:style w:type="character" w:customStyle="1" w:styleId="TechnicalBlockChar">
    <w:name w:val="Technical Block Char"/>
    <w:basedOn w:val="DefaultParagraphFont"/>
    <w:rsid w:val="00200453"/>
    <w:rPr>
      <w:sz w:val="24"/>
      <w:szCs w:val="24"/>
      <w:lang w:val="bg-BG" w:eastAsia="bg-BG"/>
    </w:rPr>
  </w:style>
  <w:style w:type="character" w:customStyle="1" w:styleId="HeaderCouncilLargeChar">
    <w:name w:val="Header Council Large Char"/>
    <w:basedOn w:val="TechnicalBlockChar"/>
    <w:link w:val="HeaderCouncilLarge"/>
    <w:rsid w:val="00200453"/>
    <w:rPr>
      <w:sz w:val="2"/>
      <w:szCs w:val="24"/>
      <w:lang w:val="bg-BG" w:eastAsia="bg-BG"/>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rsid w:val="001C5E5F"/>
    <w:rPr>
      <w:sz w:val="24"/>
      <w:lang w:val="bg-BG" w:eastAsia="bg-BG"/>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bg-BG" w:eastAsia="bg-BG"/>
    </w:rPr>
  </w:style>
  <w:style w:type="paragraph" w:styleId="Header">
    <w:name w:val="header"/>
    <w:basedOn w:val="Normal"/>
    <w:rsid w:val="007D0661"/>
    <w:pPr>
      <w:tabs>
        <w:tab w:val="right" w:pos="9638"/>
      </w:tabs>
    </w:pPr>
  </w:style>
  <w:style w:type="paragraph" w:styleId="Footer">
    <w:name w:val="footer"/>
    <w:basedOn w:val="Normal"/>
    <w:rsid w:val="007D0661"/>
    <w:pPr>
      <w:tabs>
        <w:tab w:val="center" w:pos="4819"/>
        <w:tab w:val="center" w:pos="7370"/>
        <w:tab w:val="right" w:pos="9638"/>
      </w:tabs>
      <w:spacing w:before="0" w:after="0" w:line="240" w:lineRule="auto"/>
    </w:pPr>
  </w:style>
  <w:style w:type="paragraph" w:styleId="FootnoteText">
    <w:name w:val="footnote text"/>
    <w:basedOn w:val="Normal"/>
    <w:rsid w:val="007D0661"/>
    <w:pPr>
      <w:spacing w:before="0" w:after="0" w:line="240" w:lineRule="auto"/>
      <w:ind w:left="720" w:hanging="720"/>
    </w:pPr>
    <w:rPr>
      <w:szCs w:val="20"/>
    </w:rPr>
  </w:style>
  <w:style w:type="paragraph" w:customStyle="1" w:styleId="NormalCentered">
    <w:name w:val="Normal Centered"/>
    <w:basedOn w:val="Normal"/>
    <w:rsid w:val="007D0661"/>
    <w:pPr>
      <w:spacing w:before="200"/>
      <w:jc w:val="center"/>
    </w:pPr>
  </w:style>
  <w:style w:type="paragraph" w:customStyle="1" w:styleId="NormalRight">
    <w:name w:val="Normal Right"/>
    <w:basedOn w:val="Normal"/>
    <w:rsid w:val="007D0661"/>
    <w:pPr>
      <w:spacing w:before="200"/>
      <w:jc w:val="right"/>
    </w:pPr>
  </w:style>
  <w:style w:type="paragraph" w:customStyle="1" w:styleId="NormalJustified">
    <w:name w:val="Normal Justified"/>
    <w:basedOn w:val="Normal"/>
    <w:rsid w:val="007D0661"/>
    <w:pPr>
      <w:spacing w:before="200"/>
      <w:jc w:val="both"/>
    </w:pPr>
  </w:style>
  <w:style w:type="paragraph" w:customStyle="1" w:styleId="HeaderLandscape">
    <w:name w:val="HeaderLandscape"/>
    <w:basedOn w:val="Normal"/>
    <w:rsid w:val="007D0661"/>
    <w:pPr>
      <w:tabs>
        <w:tab w:val="right" w:pos="14570"/>
      </w:tabs>
    </w:pPr>
  </w:style>
  <w:style w:type="paragraph" w:customStyle="1" w:styleId="FooterLandscape">
    <w:name w:val="FooterLandscape"/>
    <w:basedOn w:val="Normal"/>
    <w:rsid w:val="007D0661"/>
    <w:pPr>
      <w:tabs>
        <w:tab w:val="center" w:pos="7285"/>
        <w:tab w:val="center" w:pos="10930"/>
        <w:tab w:val="right" w:pos="14570"/>
      </w:tabs>
      <w:spacing w:before="0" w:after="0" w:line="240" w:lineRule="auto"/>
    </w:pPr>
  </w:style>
  <w:style w:type="character" w:styleId="FootnoteReference">
    <w:name w:val="footnote reference"/>
    <w:rsid w:val="007D0661"/>
    <w:rPr>
      <w:b/>
      <w:shd w:val="clear" w:color="auto" w:fill="auto"/>
      <w:vertAlign w:val="superscript"/>
    </w:rPr>
  </w:style>
  <w:style w:type="paragraph" w:customStyle="1" w:styleId="HeaderCouncil">
    <w:name w:val="Header Council"/>
    <w:basedOn w:val="Normal"/>
    <w:rsid w:val="007D0661"/>
    <w:pPr>
      <w:spacing w:before="0" w:after="0" w:line="240" w:lineRule="auto"/>
    </w:pPr>
    <w:rPr>
      <w:sz w:val="2"/>
    </w:rPr>
  </w:style>
  <w:style w:type="paragraph" w:customStyle="1" w:styleId="FooterCouncil">
    <w:name w:val="Footer Council"/>
    <w:basedOn w:val="Normal"/>
    <w:rsid w:val="007D0661"/>
    <w:pPr>
      <w:spacing w:before="0" w:after="0" w:line="240" w:lineRule="auto"/>
    </w:pPr>
    <w:rPr>
      <w:sz w:val="2"/>
    </w:rPr>
  </w:style>
  <w:style w:type="paragraph" w:customStyle="1" w:styleId="TechnicalBlock">
    <w:name w:val="Technical Block"/>
    <w:basedOn w:val="Normal"/>
    <w:next w:val="Normal"/>
    <w:rsid w:val="00F654E6"/>
    <w:pPr>
      <w:spacing w:before="0" w:after="240" w:line="240" w:lineRule="auto"/>
      <w:jc w:val="center"/>
    </w:pPr>
  </w:style>
  <w:style w:type="paragraph" w:customStyle="1" w:styleId="FinalLine">
    <w:name w:val="Final Line"/>
    <w:basedOn w:val="Normal"/>
    <w:next w:val="Normal"/>
    <w:rsid w:val="007D0661"/>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7D0661"/>
    <w:pPr>
      <w:pBdr>
        <w:bottom w:val="single" w:sz="4" w:space="0" w:color="000000"/>
      </w:pBdr>
      <w:spacing w:before="360"/>
      <w:ind w:left="5868" w:right="5868"/>
      <w:jc w:val="center"/>
    </w:pPr>
    <w:rPr>
      <w:b/>
    </w:rPr>
  </w:style>
  <w:style w:type="paragraph" w:customStyle="1" w:styleId="Text1">
    <w:name w:val="Text 1"/>
    <w:basedOn w:val="Normal"/>
    <w:rsid w:val="007D0661"/>
    <w:pPr>
      <w:ind w:left="567"/>
      <w:outlineLvl w:val="0"/>
    </w:pPr>
  </w:style>
  <w:style w:type="paragraph" w:customStyle="1" w:styleId="Text2">
    <w:name w:val="Text 2"/>
    <w:basedOn w:val="Normal"/>
    <w:rsid w:val="007D0661"/>
    <w:pPr>
      <w:ind w:left="1134"/>
      <w:outlineLvl w:val="1"/>
    </w:pPr>
  </w:style>
  <w:style w:type="paragraph" w:customStyle="1" w:styleId="Text3">
    <w:name w:val="Text 3"/>
    <w:basedOn w:val="Normal"/>
    <w:rsid w:val="007D0661"/>
    <w:pPr>
      <w:ind w:left="1701"/>
      <w:outlineLvl w:val="2"/>
    </w:pPr>
  </w:style>
  <w:style w:type="paragraph" w:customStyle="1" w:styleId="Text4">
    <w:name w:val="Text 4"/>
    <w:basedOn w:val="Normal"/>
    <w:rsid w:val="007D0661"/>
    <w:pPr>
      <w:ind w:left="2268"/>
      <w:outlineLvl w:val="3"/>
    </w:pPr>
  </w:style>
  <w:style w:type="paragraph" w:customStyle="1" w:styleId="Text5">
    <w:name w:val="Text 5"/>
    <w:basedOn w:val="Normal"/>
    <w:rsid w:val="007D0661"/>
    <w:pPr>
      <w:ind w:left="2835"/>
      <w:outlineLvl w:val="4"/>
    </w:pPr>
  </w:style>
  <w:style w:type="paragraph" w:customStyle="1" w:styleId="Text6">
    <w:name w:val="Text 6"/>
    <w:basedOn w:val="Normal"/>
    <w:rsid w:val="007D0661"/>
    <w:pPr>
      <w:ind w:left="3402"/>
      <w:outlineLvl w:val="5"/>
    </w:pPr>
  </w:style>
  <w:style w:type="paragraph" w:customStyle="1" w:styleId="PointManual">
    <w:name w:val="Point Manual"/>
    <w:basedOn w:val="Normal"/>
    <w:rsid w:val="007D0661"/>
    <w:pPr>
      <w:ind w:left="567" w:hanging="567"/>
    </w:pPr>
  </w:style>
  <w:style w:type="paragraph" w:customStyle="1" w:styleId="PointManual1">
    <w:name w:val="Point Manual (1)"/>
    <w:basedOn w:val="Normal"/>
    <w:rsid w:val="007D0661"/>
    <w:pPr>
      <w:ind w:left="1134" w:hanging="567"/>
      <w:outlineLvl w:val="0"/>
    </w:pPr>
  </w:style>
  <w:style w:type="paragraph" w:customStyle="1" w:styleId="PointManual2">
    <w:name w:val="Point Manual (2)"/>
    <w:basedOn w:val="Normal"/>
    <w:rsid w:val="007D0661"/>
    <w:pPr>
      <w:ind w:left="1701" w:hanging="567"/>
      <w:outlineLvl w:val="1"/>
    </w:pPr>
  </w:style>
  <w:style w:type="paragraph" w:customStyle="1" w:styleId="PointManual3">
    <w:name w:val="Point Manual (3)"/>
    <w:basedOn w:val="Normal"/>
    <w:rsid w:val="007D0661"/>
    <w:pPr>
      <w:ind w:left="2268" w:hanging="567"/>
      <w:outlineLvl w:val="2"/>
    </w:pPr>
  </w:style>
  <w:style w:type="paragraph" w:customStyle="1" w:styleId="PointManual4">
    <w:name w:val="Point Manual (4)"/>
    <w:basedOn w:val="Normal"/>
    <w:rsid w:val="007D0661"/>
    <w:pPr>
      <w:ind w:left="2835" w:hanging="567"/>
      <w:outlineLvl w:val="3"/>
    </w:pPr>
  </w:style>
  <w:style w:type="paragraph" w:customStyle="1" w:styleId="PointDoubleManual">
    <w:name w:val="Point Double Manual"/>
    <w:basedOn w:val="Normal"/>
    <w:rsid w:val="007D0661"/>
    <w:pPr>
      <w:tabs>
        <w:tab w:val="left" w:pos="567"/>
      </w:tabs>
      <w:ind w:left="1134" w:hanging="1134"/>
    </w:pPr>
  </w:style>
  <w:style w:type="paragraph" w:customStyle="1" w:styleId="PointDoubleManual1">
    <w:name w:val="Point Double Manual (1)"/>
    <w:basedOn w:val="Normal"/>
    <w:rsid w:val="007D0661"/>
    <w:pPr>
      <w:tabs>
        <w:tab w:val="left" w:pos="1134"/>
      </w:tabs>
      <w:ind w:left="1701" w:hanging="1134"/>
      <w:outlineLvl w:val="0"/>
    </w:pPr>
  </w:style>
  <w:style w:type="paragraph" w:customStyle="1" w:styleId="PointDoubleManual2">
    <w:name w:val="Point Double Manual (2)"/>
    <w:basedOn w:val="Normal"/>
    <w:rsid w:val="007D0661"/>
    <w:pPr>
      <w:tabs>
        <w:tab w:val="left" w:pos="1701"/>
      </w:tabs>
      <w:ind w:left="2268" w:hanging="1134"/>
      <w:outlineLvl w:val="1"/>
    </w:pPr>
  </w:style>
  <w:style w:type="paragraph" w:customStyle="1" w:styleId="PointDoubleManual3">
    <w:name w:val="Point Double Manual (3)"/>
    <w:basedOn w:val="Normal"/>
    <w:rsid w:val="007D0661"/>
    <w:pPr>
      <w:tabs>
        <w:tab w:val="left" w:pos="2268"/>
      </w:tabs>
      <w:ind w:left="2835" w:hanging="1134"/>
      <w:outlineLvl w:val="2"/>
    </w:pPr>
  </w:style>
  <w:style w:type="paragraph" w:customStyle="1" w:styleId="PointDoubleManual4">
    <w:name w:val="Point Double Manual (4)"/>
    <w:basedOn w:val="Normal"/>
    <w:rsid w:val="007D0661"/>
    <w:pPr>
      <w:tabs>
        <w:tab w:val="left" w:pos="2835"/>
      </w:tabs>
      <w:ind w:left="3402" w:hanging="1134"/>
      <w:outlineLvl w:val="3"/>
    </w:pPr>
  </w:style>
  <w:style w:type="paragraph" w:customStyle="1" w:styleId="Pointabc">
    <w:name w:val="Point abc"/>
    <w:basedOn w:val="Normal"/>
    <w:rsid w:val="007D0661"/>
    <w:pPr>
      <w:numPr>
        <w:ilvl w:val="1"/>
        <w:numId w:val="16"/>
      </w:numPr>
    </w:pPr>
  </w:style>
  <w:style w:type="paragraph" w:customStyle="1" w:styleId="Pointabc1">
    <w:name w:val="Point abc (1)"/>
    <w:basedOn w:val="Normal"/>
    <w:rsid w:val="007D0661"/>
    <w:pPr>
      <w:numPr>
        <w:ilvl w:val="3"/>
        <w:numId w:val="16"/>
      </w:numPr>
      <w:outlineLvl w:val="0"/>
    </w:pPr>
  </w:style>
  <w:style w:type="paragraph" w:customStyle="1" w:styleId="Pointabc2">
    <w:name w:val="Point abc (2)"/>
    <w:basedOn w:val="Normal"/>
    <w:rsid w:val="007D0661"/>
    <w:pPr>
      <w:numPr>
        <w:ilvl w:val="5"/>
        <w:numId w:val="16"/>
      </w:numPr>
      <w:outlineLvl w:val="1"/>
    </w:pPr>
  </w:style>
  <w:style w:type="paragraph" w:customStyle="1" w:styleId="Pointabc3">
    <w:name w:val="Point abc (3)"/>
    <w:basedOn w:val="Normal"/>
    <w:rsid w:val="007D0661"/>
    <w:pPr>
      <w:numPr>
        <w:ilvl w:val="7"/>
        <w:numId w:val="16"/>
      </w:numPr>
      <w:outlineLvl w:val="2"/>
    </w:pPr>
  </w:style>
  <w:style w:type="paragraph" w:customStyle="1" w:styleId="Pointabc4">
    <w:name w:val="Point abc (4)"/>
    <w:basedOn w:val="Normal"/>
    <w:rsid w:val="007D0661"/>
    <w:pPr>
      <w:numPr>
        <w:ilvl w:val="8"/>
        <w:numId w:val="16"/>
      </w:numPr>
      <w:outlineLvl w:val="3"/>
    </w:pPr>
  </w:style>
  <w:style w:type="paragraph" w:customStyle="1" w:styleId="Point123">
    <w:name w:val="Point 123"/>
    <w:basedOn w:val="Normal"/>
    <w:rsid w:val="007D0661"/>
    <w:pPr>
      <w:numPr>
        <w:numId w:val="16"/>
      </w:numPr>
    </w:pPr>
  </w:style>
  <w:style w:type="paragraph" w:customStyle="1" w:styleId="Point1231">
    <w:name w:val="Point 123 (1)"/>
    <w:basedOn w:val="Normal"/>
    <w:rsid w:val="007D0661"/>
    <w:pPr>
      <w:numPr>
        <w:ilvl w:val="2"/>
        <w:numId w:val="16"/>
      </w:numPr>
      <w:outlineLvl w:val="0"/>
    </w:pPr>
  </w:style>
  <w:style w:type="paragraph" w:customStyle="1" w:styleId="Point1232">
    <w:name w:val="Point 123 (2)"/>
    <w:basedOn w:val="Normal"/>
    <w:rsid w:val="007D0661"/>
    <w:pPr>
      <w:numPr>
        <w:ilvl w:val="4"/>
        <w:numId w:val="16"/>
      </w:numPr>
      <w:outlineLvl w:val="1"/>
    </w:pPr>
  </w:style>
  <w:style w:type="paragraph" w:customStyle="1" w:styleId="Point1233">
    <w:name w:val="Point 123 (3)"/>
    <w:basedOn w:val="Normal"/>
    <w:rsid w:val="007D0661"/>
    <w:pPr>
      <w:numPr>
        <w:ilvl w:val="6"/>
        <w:numId w:val="16"/>
      </w:numPr>
      <w:outlineLvl w:val="2"/>
    </w:pPr>
  </w:style>
  <w:style w:type="paragraph" w:customStyle="1" w:styleId="Pointivx">
    <w:name w:val="Point ivx"/>
    <w:basedOn w:val="Normal"/>
    <w:rsid w:val="007D0661"/>
    <w:pPr>
      <w:numPr>
        <w:numId w:val="17"/>
      </w:numPr>
    </w:pPr>
  </w:style>
  <w:style w:type="paragraph" w:customStyle="1" w:styleId="Pointivx1">
    <w:name w:val="Point ivx (1)"/>
    <w:basedOn w:val="Normal"/>
    <w:rsid w:val="007D0661"/>
    <w:pPr>
      <w:numPr>
        <w:ilvl w:val="1"/>
        <w:numId w:val="17"/>
      </w:numPr>
      <w:outlineLvl w:val="0"/>
    </w:pPr>
  </w:style>
  <w:style w:type="paragraph" w:customStyle="1" w:styleId="Pointivx2">
    <w:name w:val="Point ivx (2)"/>
    <w:basedOn w:val="Normal"/>
    <w:rsid w:val="007D0661"/>
    <w:pPr>
      <w:numPr>
        <w:ilvl w:val="2"/>
        <w:numId w:val="17"/>
      </w:numPr>
      <w:outlineLvl w:val="1"/>
    </w:pPr>
  </w:style>
  <w:style w:type="paragraph" w:customStyle="1" w:styleId="Pointivx3">
    <w:name w:val="Point ivx (3)"/>
    <w:basedOn w:val="Normal"/>
    <w:rsid w:val="007D0661"/>
    <w:pPr>
      <w:numPr>
        <w:ilvl w:val="3"/>
        <w:numId w:val="17"/>
      </w:numPr>
      <w:outlineLvl w:val="2"/>
    </w:pPr>
  </w:style>
  <w:style w:type="paragraph" w:customStyle="1" w:styleId="Pointivx4">
    <w:name w:val="Point ivx (4)"/>
    <w:basedOn w:val="Normal"/>
    <w:rsid w:val="007D0661"/>
    <w:pPr>
      <w:numPr>
        <w:ilvl w:val="4"/>
        <w:numId w:val="17"/>
      </w:numPr>
      <w:outlineLvl w:val="3"/>
    </w:pPr>
  </w:style>
  <w:style w:type="paragraph" w:customStyle="1" w:styleId="Bullet">
    <w:name w:val="Bullet"/>
    <w:basedOn w:val="Normal"/>
    <w:rsid w:val="007D0661"/>
    <w:pPr>
      <w:numPr>
        <w:numId w:val="11"/>
      </w:numPr>
    </w:pPr>
  </w:style>
  <w:style w:type="paragraph" w:customStyle="1" w:styleId="Bullet1">
    <w:name w:val="Bullet 1"/>
    <w:basedOn w:val="Normal"/>
    <w:rsid w:val="007D0661"/>
    <w:pPr>
      <w:numPr>
        <w:numId w:val="12"/>
      </w:numPr>
      <w:outlineLvl w:val="0"/>
    </w:pPr>
  </w:style>
  <w:style w:type="paragraph" w:customStyle="1" w:styleId="Bullet2">
    <w:name w:val="Bullet 2"/>
    <w:basedOn w:val="Normal"/>
    <w:rsid w:val="007D0661"/>
    <w:pPr>
      <w:numPr>
        <w:numId w:val="13"/>
      </w:numPr>
      <w:outlineLvl w:val="1"/>
    </w:pPr>
  </w:style>
  <w:style w:type="paragraph" w:customStyle="1" w:styleId="Bullet3">
    <w:name w:val="Bullet 3"/>
    <w:basedOn w:val="Normal"/>
    <w:rsid w:val="007D0661"/>
    <w:pPr>
      <w:numPr>
        <w:numId w:val="14"/>
      </w:numPr>
      <w:outlineLvl w:val="2"/>
    </w:pPr>
  </w:style>
  <w:style w:type="paragraph" w:customStyle="1" w:styleId="Bullet4">
    <w:name w:val="Bullet 4"/>
    <w:basedOn w:val="Normal"/>
    <w:rsid w:val="007D0661"/>
    <w:pPr>
      <w:numPr>
        <w:numId w:val="15"/>
      </w:numPr>
      <w:outlineLvl w:val="3"/>
    </w:pPr>
  </w:style>
  <w:style w:type="paragraph" w:customStyle="1" w:styleId="Dash">
    <w:name w:val="Dash"/>
    <w:basedOn w:val="Normal"/>
    <w:rsid w:val="007D0661"/>
    <w:pPr>
      <w:numPr>
        <w:numId w:val="1"/>
      </w:numPr>
    </w:pPr>
  </w:style>
  <w:style w:type="paragraph" w:customStyle="1" w:styleId="Dash1">
    <w:name w:val="Dash 1"/>
    <w:basedOn w:val="Normal"/>
    <w:rsid w:val="007D0661"/>
    <w:pPr>
      <w:numPr>
        <w:numId w:val="2"/>
      </w:numPr>
      <w:outlineLvl w:val="0"/>
    </w:pPr>
  </w:style>
  <w:style w:type="paragraph" w:customStyle="1" w:styleId="Dash2">
    <w:name w:val="Dash 2"/>
    <w:basedOn w:val="Normal"/>
    <w:rsid w:val="007D0661"/>
    <w:pPr>
      <w:numPr>
        <w:numId w:val="3"/>
      </w:numPr>
      <w:outlineLvl w:val="1"/>
    </w:pPr>
  </w:style>
  <w:style w:type="paragraph" w:customStyle="1" w:styleId="Dash3">
    <w:name w:val="Dash 3"/>
    <w:basedOn w:val="Normal"/>
    <w:rsid w:val="007D0661"/>
    <w:pPr>
      <w:numPr>
        <w:numId w:val="4"/>
      </w:numPr>
      <w:outlineLvl w:val="2"/>
    </w:pPr>
  </w:style>
  <w:style w:type="paragraph" w:customStyle="1" w:styleId="Dash4">
    <w:name w:val="Dash 4"/>
    <w:basedOn w:val="Normal"/>
    <w:rsid w:val="007D0661"/>
    <w:pPr>
      <w:numPr>
        <w:numId w:val="5"/>
      </w:numPr>
      <w:outlineLvl w:val="3"/>
    </w:pPr>
  </w:style>
  <w:style w:type="paragraph" w:customStyle="1" w:styleId="DashEqual">
    <w:name w:val="Dash Equal"/>
    <w:basedOn w:val="Dash"/>
    <w:rsid w:val="007D0661"/>
    <w:pPr>
      <w:numPr>
        <w:numId w:val="6"/>
      </w:numPr>
    </w:pPr>
  </w:style>
  <w:style w:type="paragraph" w:customStyle="1" w:styleId="DashEqual1">
    <w:name w:val="Dash Equal 1"/>
    <w:basedOn w:val="Dash1"/>
    <w:rsid w:val="007D0661"/>
    <w:pPr>
      <w:numPr>
        <w:numId w:val="7"/>
      </w:numPr>
    </w:pPr>
  </w:style>
  <w:style w:type="paragraph" w:customStyle="1" w:styleId="DashEqual2">
    <w:name w:val="Dash Equal 2"/>
    <w:basedOn w:val="Dash2"/>
    <w:rsid w:val="007D0661"/>
    <w:pPr>
      <w:numPr>
        <w:numId w:val="8"/>
      </w:numPr>
    </w:pPr>
  </w:style>
  <w:style w:type="paragraph" w:customStyle="1" w:styleId="DashEqual3">
    <w:name w:val="Dash Equal 3"/>
    <w:basedOn w:val="Dash3"/>
    <w:rsid w:val="007D0661"/>
    <w:pPr>
      <w:numPr>
        <w:numId w:val="9"/>
      </w:numPr>
    </w:pPr>
  </w:style>
  <w:style w:type="paragraph" w:customStyle="1" w:styleId="DashEqual4">
    <w:name w:val="Dash Equal 4"/>
    <w:basedOn w:val="Dash4"/>
    <w:rsid w:val="007D0661"/>
    <w:pPr>
      <w:numPr>
        <w:numId w:val="10"/>
      </w:numPr>
    </w:pPr>
  </w:style>
  <w:style w:type="character" w:customStyle="1" w:styleId="Marker">
    <w:name w:val="Marker"/>
    <w:rsid w:val="007D0661"/>
    <w:rPr>
      <w:color w:val="0000FF"/>
      <w:shd w:val="clear" w:color="auto" w:fill="auto"/>
    </w:rPr>
  </w:style>
  <w:style w:type="character" w:customStyle="1" w:styleId="Marker1">
    <w:name w:val="Marker1"/>
    <w:rsid w:val="007D0661"/>
    <w:rPr>
      <w:color w:val="008000"/>
      <w:shd w:val="clear" w:color="auto" w:fill="auto"/>
    </w:rPr>
  </w:style>
  <w:style w:type="paragraph" w:customStyle="1" w:styleId="HeadingLeft">
    <w:name w:val="Heading Left"/>
    <w:basedOn w:val="Normal"/>
    <w:next w:val="Normal"/>
    <w:rsid w:val="007D0661"/>
    <w:pPr>
      <w:spacing w:before="360"/>
      <w:outlineLvl w:val="0"/>
    </w:pPr>
    <w:rPr>
      <w:b/>
      <w:caps/>
      <w:u w:val="single"/>
    </w:rPr>
  </w:style>
  <w:style w:type="paragraph" w:customStyle="1" w:styleId="HeadingIVX">
    <w:name w:val="Heading IVX"/>
    <w:basedOn w:val="HeadingLeft"/>
    <w:next w:val="Normal"/>
    <w:rsid w:val="007D0661"/>
    <w:pPr>
      <w:numPr>
        <w:numId w:val="20"/>
      </w:numPr>
    </w:pPr>
  </w:style>
  <w:style w:type="paragraph" w:customStyle="1" w:styleId="Heading123">
    <w:name w:val="Heading 123"/>
    <w:basedOn w:val="HeadingLeft"/>
    <w:next w:val="Normal"/>
    <w:rsid w:val="007D0661"/>
    <w:pPr>
      <w:numPr>
        <w:numId w:val="19"/>
      </w:numPr>
    </w:pPr>
  </w:style>
  <w:style w:type="paragraph" w:customStyle="1" w:styleId="HeadingABC">
    <w:name w:val="Heading ABC"/>
    <w:basedOn w:val="HeadingLeft"/>
    <w:next w:val="Normal"/>
    <w:rsid w:val="007D0661"/>
    <w:pPr>
      <w:numPr>
        <w:numId w:val="18"/>
      </w:numPr>
    </w:pPr>
  </w:style>
  <w:style w:type="paragraph" w:customStyle="1" w:styleId="HeadingCentered">
    <w:name w:val="Heading Centered"/>
    <w:basedOn w:val="HeadingLeft"/>
    <w:next w:val="Normal"/>
    <w:rsid w:val="007D0661"/>
    <w:pPr>
      <w:jc w:val="center"/>
    </w:pPr>
  </w:style>
  <w:style w:type="paragraph" w:customStyle="1" w:styleId="Amendment">
    <w:name w:val="Amendment"/>
    <w:basedOn w:val="Normal"/>
    <w:next w:val="Normal"/>
    <w:rsid w:val="007D0661"/>
    <w:rPr>
      <w:i/>
      <w:u w:val="single"/>
    </w:rPr>
  </w:style>
  <w:style w:type="paragraph" w:customStyle="1" w:styleId="AmendmentList">
    <w:name w:val="Amendment List"/>
    <w:basedOn w:val="Normal"/>
    <w:rsid w:val="007D0661"/>
    <w:pPr>
      <w:ind w:left="2268" w:hanging="2268"/>
    </w:pPr>
  </w:style>
  <w:style w:type="paragraph" w:customStyle="1" w:styleId="ReplyRE">
    <w:name w:val="Reply RE"/>
    <w:basedOn w:val="Normal"/>
    <w:next w:val="Normal"/>
    <w:rsid w:val="007D0661"/>
    <w:pPr>
      <w:spacing w:after="480" w:line="240" w:lineRule="auto"/>
      <w:contextualSpacing/>
    </w:pPr>
  </w:style>
  <w:style w:type="paragraph" w:customStyle="1" w:styleId="ReplyBold">
    <w:name w:val="Reply Bold"/>
    <w:basedOn w:val="ReplyRE"/>
    <w:next w:val="Normal"/>
    <w:rsid w:val="007D0661"/>
    <w:rPr>
      <w:b/>
    </w:rPr>
  </w:style>
  <w:style w:type="paragraph" w:customStyle="1" w:styleId="Annex">
    <w:name w:val="Annex"/>
    <w:basedOn w:val="Normal"/>
    <w:next w:val="Normal"/>
    <w:rsid w:val="007D0661"/>
    <w:pPr>
      <w:jc w:val="right"/>
    </w:pPr>
    <w:rPr>
      <w:b/>
      <w:u w:val="single"/>
    </w:rPr>
  </w:style>
  <w:style w:type="paragraph" w:customStyle="1" w:styleId="Sign">
    <w:name w:val="Sign"/>
    <w:basedOn w:val="Normal"/>
    <w:rsid w:val="007D0661"/>
    <w:pPr>
      <w:tabs>
        <w:tab w:val="center" w:pos="7087"/>
      </w:tabs>
    </w:pPr>
  </w:style>
  <w:style w:type="paragraph" w:customStyle="1" w:styleId="NotDeclassified">
    <w:name w:val="Not Declassified"/>
    <w:basedOn w:val="Normal"/>
    <w:qFormat/>
    <w:rsid w:val="007D0661"/>
    <w:rPr>
      <w:b/>
      <w:bCs/>
      <w:bdr w:val="single" w:sz="4" w:space="0" w:color="auto"/>
      <w:shd w:val="solid" w:color="CCCCCC" w:fill="CCCCCC"/>
      <w:lang w:val="de-LU"/>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IIA\AppData\Roaming\Microsoft\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0</TotalTime>
  <Pages>7</Pages>
  <Words>1406</Words>
  <Characters>8284</Characters>
  <Application>Microsoft Office Word</Application>
  <DocSecurity>4</DocSecurity>
  <Lines>156</Lines>
  <Paragraphs>34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Corchero Purificacion</dc:creator>
  <cp:lastModifiedBy>PROFIROV Iavor</cp:lastModifiedBy>
  <cp:revision>2</cp:revision>
  <cp:lastPrinted>2015-09-23T11:27:00Z</cp:lastPrinted>
  <dcterms:created xsi:type="dcterms:W3CDTF">2015-10-02T08:40:00Z</dcterms:created>
  <dcterms:modified xsi:type="dcterms:W3CDTF">2015-10-02T08:40:00Z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