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66" w:rsidRPr="00036113" w:rsidRDefault="007C38C5" w:rsidP="0003611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3c9f402-a6a6-4dd4-b6a5-b3a15864ea2f_0" style="width:568.3pt;height:489.45pt">
            <v:imagedata r:id="rId9" o:title=""/>
          </v:shape>
        </w:pict>
      </w:r>
      <w:bookmarkEnd w:id="0"/>
    </w:p>
    <w:p w:rsidR="0072560D" w:rsidRPr="00036113" w:rsidRDefault="0072560D" w:rsidP="0072560D">
      <w:pPr>
        <w:pStyle w:val="HeadingLeft"/>
      </w:pPr>
      <w:r w:rsidRPr="00036113">
        <w:rPr>
          <w:u w:val="none"/>
        </w:rPr>
        <w:t>A.</w:t>
      </w:r>
      <w:r w:rsidRPr="00DD29AA">
        <w:rPr>
          <w:u w:val="none"/>
        </w:rPr>
        <w:tab/>
      </w:r>
      <w:r w:rsidRPr="00036113">
        <w:t>ЧЕТВЪРТЪК, 8 ОКТОМВРИ 2015 г. (10,00 ч.)</w:t>
      </w:r>
    </w:p>
    <w:p w:rsidR="0072560D" w:rsidRPr="00036113" w:rsidRDefault="0072560D" w:rsidP="0072560D">
      <w:pPr>
        <w:pStyle w:val="HeadingLeft"/>
        <w:spacing w:before="240"/>
      </w:pPr>
      <w:r w:rsidRPr="00036113">
        <w:t>ВЪТРЕШНИ РАБОТИ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Приемане на предварителния дневен ред</w:t>
      </w:r>
    </w:p>
    <w:p w:rsidR="0072560D" w:rsidRPr="00036113" w:rsidRDefault="0072560D" w:rsidP="0072560D">
      <w:pPr>
        <w:pStyle w:val="Title"/>
        <w:rPr>
          <w:i w:val="0"/>
          <w:iCs/>
        </w:rPr>
      </w:pPr>
      <w:r w:rsidRPr="00036113">
        <w:rPr>
          <w:i w:val="0"/>
        </w:rPr>
        <w:t>Обсъждания на законодателни актове</w:t>
      </w:r>
    </w:p>
    <w:p w:rsidR="0072560D" w:rsidRPr="00036113" w:rsidRDefault="0072560D" w:rsidP="0072560D">
      <w:pPr>
        <w:pStyle w:val="PointManual"/>
        <w:spacing w:before="120"/>
      </w:pPr>
      <w:r w:rsidRPr="00036113">
        <w:t>-</w:t>
      </w:r>
      <w:r w:rsidRPr="00036113">
        <w:tab/>
        <w:t>(евентуално) Одобряване на списъка на точки А</w:t>
      </w:r>
    </w:p>
    <w:p w:rsidR="0072560D" w:rsidRPr="00036113" w:rsidRDefault="0072560D" w:rsidP="0072560D">
      <w:pPr>
        <w:pStyle w:val="PointManual"/>
        <w:spacing w:before="360"/>
      </w:pPr>
      <w:r w:rsidRPr="00036113">
        <w:br w:type="page"/>
      </w:r>
      <w:r w:rsidRPr="00036113">
        <w:lastRenderedPageBreak/>
        <w:t>-</w:t>
      </w:r>
      <w:r w:rsidRPr="00036113">
        <w:tab/>
        <w:t>Въпроси, свързани със Смесения комитет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Визова политика</w:t>
      </w:r>
    </w:p>
    <w:p w:rsidR="0072560D" w:rsidRPr="00036113" w:rsidRDefault="0072560D" w:rsidP="0072560D">
      <w:pPr>
        <w:pStyle w:val="PointManual2"/>
      </w:pPr>
      <w:r w:rsidRPr="00036113">
        <w:t>–</w:t>
      </w:r>
      <w:r w:rsidRPr="00036113">
        <w:tab/>
        <w:t>Предложение за регламент на Европейския парламент и на Съвета за Визов кодекс на Съюза (преработен текст)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PointManual2"/>
      </w:pPr>
      <w:r w:rsidRPr="00036113">
        <w:t>–</w:t>
      </w:r>
      <w:r w:rsidRPr="00036113">
        <w:tab/>
        <w:t>Проект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DashEqual3"/>
      </w:pPr>
      <w:r w:rsidRPr="00036113">
        <w:tab/>
        <w:t>Информация от председателството</w:t>
      </w:r>
    </w:p>
    <w:p w:rsidR="0072560D" w:rsidRPr="00036113" w:rsidRDefault="0072560D" w:rsidP="0072560D">
      <w:pPr>
        <w:pStyle w:val="PointManual"/>
        <w:spacing w:before="360"/>
      </w:pPr>
      <w:r w:rsidRPr="00036113">
        <w:t>—</w:t>
      </w:r>
      <w:r w:rsidRPr="00036113">
        <w:tab/>
        <w:t>Предложение за регламент на Европейския парламент и на Съвета за създаване на механизъм за управление на кризи относно преместването и за изменение на Регламент (ЕС) № 604/2013 на Европейския парламент и на Съвета от 26 юни 2013 г.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от лице без гражданство</w:t>
      </w:r>
      <w:r w:rsidRPr="00036113">
        <w:rPr>
          <w:b/>
          <w:vertAlign w:val="superscript"/>
        </w:rPr>
        <w:footnoteReference w:id="1"/>
      </w:r>
    </w:p>
    <w:p w:rsidR="0072560D" w:rsidRPr="00036113" w:rsidRDefault="0072560D" w:rsidP="0072560D">
      <w:pPr>
        <w:pStyle w:val="DashEqual1"/>
      </w:pPr>
      <w:r w:rsidRPr="00036113">
        <w:t>Доклад за напредъка</w:t>
      </w:r>
    </w:p>
    <w:p w:rsidR="0072560D" w:rsidRPr="00036113" w:rsidRDefault="0072560D" w:rsidP="0072560D">
      <w:pPr>
        <w:pStyle w:val="PointManual"/>
        <w:spacing w:before="360"/>
        <w:rPr>
          <w:b/>
          <w:bCs/>
        </w:rPr>
      </w:pPr>
      <w:r w:rsidRPr="00036113">
        <w:t>-</w:t>
      </w:r>
      <w:r w:rsidRPr="00036113">
        <w:tab/>
        <w:t>Предложение за регламент на Европейския парламент и на Съвета за създаване на общ списък на сигурните страни на ЕС за целите на Директива 2013/32/ЕС на Европейския парламент и на Съвета относно общите процедури за предоставяне и отнемане на международна закрила, и за изменение на Директива 2013/32/ЕС (</w:t>
      </w:r>
      <w:r w:rsidRPr="00036113">
        <w:rPr>
          <w:b/>
        </w:rPr>
        <w:t>първо четене</w:t>
      </w:r>
      <w:r w:rsidRPr="00036113">
        <w:t xml:space="preserve">) </w:t>
      </w:r>
      <w:r w:rsidRPr="00036113">
        <w:rPr>
          <w:b/>
          <w:vertAlign w:val="superscript"/>
        </w:rPr>
        <w:t>1</w:t>
      </w:r>
    </w:p>
    <w:p w:rsidR="0072560D" w:rsidRPr="00036113" w:rsidRDefault="0072560D" w:rsidP="0072560D">
      <w:pPr>
        <w:pStyle w:val="DashEqual1"/>
      </w:pPr>
      <w:r w:rsidRPr="00036113">
        <w:t>Общ подход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Предложение за директива на Съвета и на Европейския парламент относно използването на резервационни данни на пътниците за предотвратяване, разкриване, разследване и наказателно преследване на терористични престъпления и на тежки престъпления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DashEqual1"/>
      </w:pPr>
      <w:r w:rsidRPr="00036113">
        <w:t>Доклад за напредъка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Други въпроси</w:t>
      </w:r>
    </w:p>
    <w:p w:rsidR="0072560D" w:rsidRPr="00036113" w:rsidRDefault="0072560D" w:rsidP="0072560D">
      <w:pPr>
        <w:pStyle w:val="DashEqual1"/>
      </w:pPr>
      <w:r w:rsidRPr="00036113">
        <w:t>Информация от председателството по текущи законодателни предложения</w:t>
      </w:r>
    </w:p>
    <w:p w:rsidR="0072560D" w:rsidRPr="00036113" w:rsidRDefault="0072560D" w:rsidP="002E125C">
      <w:pPr>
        <w:pStyle w:val="Title"/>
        <w:spacing w:before="240"/>
        <w:rPr>
          <w:i w:val="0"/>
          <w:iCs/>
        </w:rPr>
      </w:pPr>
      <w:r w:rsidRPr="00036113">
        <w:br w:type="page"/>
      </w:r>
      <w:r w:rsidRPr="00036113">
        <w:rPr>
          <w:i w:val="0"/>
        </w:rPr>
        <w:lastRenderedPageBreak/>
        <w:t>Незаконодателни дейности</w:t>
      </w:r>
    </w:p>
    <w:p w:rsidR="0072560D" w:rsidRPr="00036113" w:rsidRDefault="0072560D" w:rsidP="0072560D">
      <w:pPr>
        <w:pStyle w:val="PointManual"/>
        <w:spacing w:before="120"/>
      </w:pPr>
      <w:r w:rsidRPr="00036113">
        <w:t>-</w:t>
      </w:r>
      <w:r w:rsidRPr="00036113">
        <w:tab/>
        <w:t>Одобряване на списъка на точки А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(евентуално) Проект за решение на Съвета относно рамката за пълно прилагане на разпоредбите на достиженията на правото от Шенген в Република България и в Румъния</w:t>
      </w:r>
    </w:p>
    <w:p w:rsidR="0072560D" w:rsidRPr="00036113" w:rsidRDefault="0072560D" w:rsidP="0072560D">
      <w:pPr>
        <w:pStyle w:val="DashEqual1"/>
        <w:rPr>
          <w:rFonts w:eastAsia="Calibri"/>
        </w:rPr>
      </w:pPr>
      <w:r w:rsidRPr="00036113">
        <w:t>Приемане</w:t>
      </w:r>
    </w:p>
    <w:p w:rsidR="0072560D" w:rsidRPr="00036113" w:rsidRDefault="0072560D" w:rsidP="0072560D">
      <w:pPr>
        <w:pStyle w:val="PointManual"/>
        <w:spacing w:before="360"/>
        <w:rPr>
          <w:vertAlign w:val="superscript"/>
        </w:rPr>
      </w:pPr>
      <w:r w:rsidRPr="00036113">
        <w:t>-</w:t>
      </w:r>
      <w:r w:rsidRPr="00036113">
        <w:tab/>
        <w:t>Решение на Съвета за установяване на временни мерки в областта на международната закрила в полза на Италия и Гърция, прието на 14 септември</w:t>
      </w:r>
      <w:r w:rsidRPr="00036113">
        <w:rPr>
          <w:b/>
          <w:vertAlign w:val="superscript"/>
        </w:rPr>
        <w:footnoteReference w:id="2"/>
      </w:r>
    </w:p>
    <w:p w:rsidR="0072560D" w:rsidRPr="00036113" w:rsidRDefault="0072560D" w:rsidP="0072560D">
      <w:pPr>
        <w:pStyle w:val="DashEqual1"/>
      </w:pPr>
      <w:r w:rsidRPr="00036113">
        <w:t>Доклад за изпълнението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Бъдещето на политиката за връщане</w:t>
      </w:r>
    </w:p>
    <w:p w:rsidR="0072560D" w:rsidRPr="00036113" w:rsidRDefault="0072560D" w:rsidP="0072560D">
      <w:pPr>
        <w:pStyle w:val="DashEqual1"/>
      </w:pPr>
      <w:r w:rsidRPr="00036113">
        <w:t>Приемане на заключения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 xml:space="preserve">Борба с тероризма </w:t>
      </w:r>
      <w:r w:rsidRPr="00036113">
        <w:rPr>
          <w:b/>
          <w:vertAlign w:val="superscript"/>
        </w:rPr>
        <w:t>1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Заключения на Съвета с оглед на това да се засили използването на инструментите за борба с незаконния трафик на огнестрелни оръжия</w:t>
      </w:r>
    </w:p>
    <w:p w:rsidR="0072560D" w:rsidRPr="00036113" w:rsidRDefault="0072560D" w:rsidP="0072560D">
      <w:pPr>
        <w:pStyle w:val="DashEqual2"/>
      </w:pPr>
      <w:r w:rsidRPr="00036113">
        <w:t>Приемане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 xml:space="preserve">Мониторинг на текущите дейности 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Безопасност на железопътния транспорт: информация относно актуалните събития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Борба срещу международната организирана и тежка престъпност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Последващи действия във връзка с изпълнението на приоритетите на ЕС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Трансгранични престъпления, свързани с престъпни моторизирани банди</w:t>
      </w:r>
    </w:p>
    <w:p w:rsidR="0072560D" w:rsidRPr="00036113" w:rsidRDefault="0072560D" w:rsidP="0072560D">
      <w:pPr>
        <w:pStyle w:val="DashEqual2"/>
      </w:pPr>
      <w:r w:rsidRPr="00036113">
        <w:t>Информация от Белгия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Обновена стратегия за вътрешна сигурност за ЕС (2015 — 2020 г.)</w:t>
      </w:r>
    </w:p>
    <w:p w:rsidR="0072560D" w:rsidRPr="00036113" w:rsidRDefault="0072560D" w:rsidP="0072560D">
      <w:pPr>
        <w:pStyle w:val="DashEqual1"/>
      </w:pPr>
      <w:r w:rsidRPr="00036113">
        <w:t>Доклад за изпълнението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Други въпроси</w:t>
      </w:r>
    </w:p>
    <w:p w:rsidR="0072560D" w:rsidRPr="00036113" w:rsidRDefault="0072560D" w:rsidP="002E125C">
      <w:pPr>
        <w:pStyle w:val="PointManual1"/>
        <w:spacing w:before="120"/>
        <w:rPr>
          <w:vertAlign w:val="superscript"/>
        </w:rPr>
      </w:pPr>
      <w:r w:rsidRPr="00036113">
        <w:t>а)</w:t>
      </w:r>
      <w:r w:rsidRPr="00036113">
        <w:tab/>
        <w:t xml:space="preserve">Среща на върха в Ла Валета, 11 — 12 ноември 2015 г. </w:t>
      </w:r>
      <w:r w:rsidRPr="00036113">
        <w:rPr>
          <w:b/>
          <w:vertAlign w:val="superscript"/>
        </w:rPr>
        <w:t>1</w:t>
      </w:r>
    </w:p>
    <w:p w:rsidR="0072560D" w:rsidRPr="00036113" w:rsidRDefault="0072560D" w:rsidP="0072560D">
      <w:pPr>
        <w:pStyle w:val="DashEqual2"/>
      </w:pPr>
      <w:r w:rsidRPr="00036113">
        <w:t>Информация от председателството</w:t>
      </w:r>
    </w:p>
    <w:p w:rsidR="0072560D" w:rsidRPr="00036113" w:rsidRDefault="0072560D" w:rsidP="0072560D">
      <w:pPr>
        <w:pStyle w:val="PointManual1"/>
        <w:spacing w:before="120"/>
        <w:rPr>
          <w:b/>
          <w:bCs/>
        </w:rPr>
      </w:pPr>
      <w:r w:rsidRPr="00036113">
        <w:t>б)</w:t>
      </w:r>
      <w:r w:rsidRPr="00036113">
        <w:tab/>
        <w:t xml:space="preserve">Конференция относно Западните Балкани </w:t>
      </w:r>
      <w:r w:rsidRPr="00036113">
        <w:rPr>
          <w:b/>
          <w:vertAlign w:val="superscript"/>
        </w:rPr>
        <w:t>1</w:t>
      </w:r>
    </w:p>
    <w:p w:rsidR="0072560D" w:rsidRPr="00036113" w:rsidRDefault="0072560D" w:rsidP="0072560D">
      <w:pPr>
        <w:pStyle w:val="DashEqual2"/>
      </w:pPr>
      <w:r w:rsidRPr="00036113">
        <w:t>Информация от председателството</w:t>
      </w:r>
    </w:p>
    <w:p w:rsidR="0072560D" w:rsidRPr="00036113" w:rsidRDefault="0072560D" w:rsidP="0072560D">
      <w:pPr>
        <w:spacing w:before="360"/>
        <w:jc w:val="center"/>
        <w:rPr>
          <w:snapToGrid w:val="0"/>
        </w:rPr>
      </w:pPr>
      <w:r w:rsidRPr="00036113">
        <w:t>o</w:t>
      </w:r>
    </w:p>
    <w:p w:rsidR="0072560D" w:rsidRPr="00036113" w:rsidRDefault="0072560D" w:rsidP="0072560D">
      <w:pPr>
        <w:spacing w:before="120"/>
        <w:jc w:val="center"/>
        <w:rPr>
          <w:snapToGrid w:val="0"/>
        </w:rPr>
      </w:pPr>
      <w:r w:rsidRPr="00036113">
        <w:t>o</w:t>
      </w:r>
      <w:r w:rsidRPr="00036113">
        <w:tab/>
        <w:t>o</w:t>
      </w:r>
    </w:p>
    <w:p w:rsidR="0072560D" w:rsidRPr="00036113" w:rsidRDefault="002E125C" w:rsidP="0072560D">
      <w:pPr>
        <w:spacing w:before="360"/>
        <w:rPr>
          <w:b/>
          <w:bCs/>
        </w:rPr>
      </w:pPr>
      <w:r w:rsidRPr="00036113">
        <w:br w:type="page"/>
      </w:r>
      <w:r w:rsidRPr="00036113">
        <w:rPr>
          <w:b/>
          <w:u w:val="single"/>
        </w:rPr>
        <w:lastRenderedPageBreak/>
        <w:t>Успоредно със заседанието на Съвета:</w:t>
      </w:r>
    </w:p>
    <w:p w:rsidR="0072560D" w:rsidRPr="00036113" w:rsidRDefault="0072560D" w:rsidP="0072560D">
      <w:pPr>
        <w:spacing w:before="360"/>
        <w:rPr>
          <w:b/>
          <w:bCs/>
          <w:u w:val="single"/>
        </w:rPr>
      </w:pPr>
      <w:r w:rsidRPr="00036113">
        <w:rPr>
          <w:b/>
          <w:u w:val="single"/>
        </w:rPr>
        <w:t>Заседание на СМЕСЕНИЯ КОМИТЕТ (ЧЕТВЪРТЪК, 8 октомври 2015 г., 10,00 ч.)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Бъдещето на политиката за връщане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Съобщение на Комисията до Европейския парламент и до Съвета относно плана за действие на ЕС в областта на връщането</w:t>
      </w:r>
    </w:p>
    <w:p w:rsidR="0072560D" w:rsidRPr="00036113" w:rsidRDefault="0072560D" w:rsidP="0072560D">
      <w:pPr>
        <w:pStyle w:val="PointManual1"/>
      </w:pPr>
      <w:r w:rsidRPr="00036113">
        <w:t>–</w:t>
      </w:r>
      <w:r w:rsidRPr="00036113">
        <w:tab/>
        <w:t>Препоръка на Комисията за създаване на общ „Наръчник за връщането“, който компетентните органи на държавите членки да използват при изпълнението на задачи, свързани с връщането</w:t>
      </w:r>
    </w:p>
    <w:p w:rsidR="0072560D" w:rsidRPr="00036113" w:rsidRDefault="0072560D" w:rsidP="0072560D">
      <w:pPr>
        <w:pStyle w:val="DashEqual2"/>
      </w:pPr>
      <w:r w:rsidRPr="00036113">
        <w:t>Представяне на предложенията на Комисията и общо разискване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Визова политика</w:t>
      </w:r>
    </w:p>
    <w:p w:rsidR="0072560D" w:rsidRPr="00036113" w:rsidRDefault="0072560D" w:rsidP="0072560D">
      <w:pPr>
        <w:pStyle w:val="PointManual1"/>
      </w:pPr>
      <w:r w:rsidRPr="00036113">
        <w:t>-</w:t>
      </w:r>
      <w:r w:rsidRPr="00036113">
        <w:tab/>
        <w:t>Предложение за регламент на Европейския парламент и на Съвета за Визов кодекс на Съюза (преработен текст)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PointManual1"/>
      </w:pPr>
      <w:r w:rsidRPr="00036113">
        <w:t>-</w:t>
      </w:r>
      <w:r w:rsidRPr="00036113">
        <w:tab/>
        <w:t>Проект за регламент на Европейския парламент и на Съвета за създаване на виза за турне и за изменение на Конвенцията за прилагане на Шенгенското споразумение и на регламенти (EО) № 562/2006 и (EО) № 767/2008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90711B">
      <w:pPr>
        <w:pStyle w:val="DashEqual2"/>
      </w:pPr>
      <w:r w:rsidRPr="00036113">
        <w:t>Ориентационен дебат/Доклад за напредъка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(евентуално) Проект за решение на Съвета относно рамката за пълно прилагане на разпоредбите на достиженията на правото от Шенген в Република България и в Румъния</w:t>
      </w:r>
    </w:p>
    <w:p w:rsidR="0072560D" w:rsidRPr="00036113" w:rsidRDefault="0072560D" w:rsidP="0072560D">
      <w:pPr>
        <w:pStyle w:val="DashEqual1"/>
      </w:pPr>
      <w:r w:rsidRPr="00036113">
        <w:t>Ориентационен дебат/Доклад за напредъка</w:t>
      </w:r>
    </w:p>
    <w:p w:rsidR="0072560D" w:rsidRPr="00036113" w:rsidRDefault="0072560D" w:rsidP="0072560D">
      <w:pPr>
        <w:pStyle w:val="PointManual"/>
        <w:spacing w:before="360"/>
      </w:pPr>
      <w:r w:rsidRPr="00036113">
        <w:t>-</w:t>
      </w:r>
      <w:r w:rsidRPr="00036113">
        <w:tab/>
        <w:t>Други въпроси</w:t>
      </w:r>
    </w:p>
    <w:p w:rsidR="0072560D" w:rsidRPr="00036113" w:rsidRDefault="0072560D" w:rsidP="0072560D">
      <w:pPr>
        <w:pStyle w:val="HeadingLeft"/>
      </w:pPr>
      <w:r w:rsidRPr="00036113">
        <w:br w:type="page"/>
      </w:r>
      <w:r w:rsidRPr="00036113">
        <w:rPr>
          <w:u w:val="none"/>
        </w:rPr>
        <w:t>Б.</w:t>
      </w:r>
      <w:r w:rsidRPr="00DD29AA">
        <w:rPr>
          <w:u w:val="none"/>
        </w:rPr>
        <w:tab/>
      </w:r>
      <w:r w:rsidRPr="00036113">
        <w:t>ПЕТЪК, 9 ОКТОМВРИ 2015 г. (10,00 ч.)</w:t>
      </w:r>
    </w:p>
    <w:p w:rsidR="0072560D" w:rsidRPr="00036113" w:rsidRDefault="0072560D" w:rsidP="0072560D">
      <w:pPr>
        <w:pStyle w:val="HeadingLeft"/>
        <w:spacing w:before="240"/>
      </w:pPr>
      <w:r w:rsidRPr="00036113">
        <w:t>ПРАВОСЪДИЕ</w:t>
      </w:r>
    </w:p>
    <w:p w:rsidR="0072560D" w:rsidRPr="00036113" w:rsidRDefault="0072560D" w:rsidP="0072560D">
      <w:pPr>
        <w:pStyle w:val="Title"/>
        <w:rPr>
          <w:i w:val="0"/>
          <w:iCs/>
        </w:rPr>
      </w:pPr>
      <w:r w:rsidRPr="00036113">
        <w:rPr>
          <w:i w:val="0"/>
        </w:rPr>
        <w:t>Обсъждания на законодателни актове</w:t>
      </w:r>
    </w:p>
    <w:p w:rsidR="0072560D" w:rsidRPr="00036113" w:rsidRDefault="0072560D" w:rsidP="0072560D">
      <w:pPr>
        <w:pStyle w:val="PointManual"/>
        <w:spacing w:before="120"/>
      </w:pPr>
      <w:r w:rsidRPr="00036113">
        <w:t>-</w:t>
      </w:r>
      <w:r w:rsidRPr="00036113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DashEqual1"/>
      </w:pPr>
      <w:r w:rsidRPr="00036113">
        <w:t>Общ подход (</w:t>
      </w:r>
      <w:r w:rsidRPr="00036113">
        <w:rPr>
          <w:vertAlign w:val="superscript"/>
        </w:rPr>
        <w:sym w:font="Symbol" w:char="F0B7"/>
      </w:r>
      <w:r w:rsidRPr="00036113">
        <w:t>)</w:t>
      </w:r>
    </w:p>
    <w:p w:rsidR="0072560D" w:rsidRPr="00036113" w:rsidRDefault="0072560D" w:rsidP="0072560D">
      <w:pPr>
        <w:pStyle w:val="PointManual"/>
        <w:spacing w:before="360"/>
      </w:pPr>
      <w:r w:rsidRPr="00036113">
        <w:footnoteReference w:customMarkFollows="1" w:id="3"/>
        <w:t>—</w:t>
      </w:r>
      <w:r w:rsidRPr="00036113">
        <w:tab/>
        <w:t>Предложение за регламент на Съвета за създаване на Европейска прокуратура</w:t>
      </w:r>
    </w:p>
    <w:p w:rsidR="0072560D" w:rsidRPr="00036113" w:rsidRDefault="0072560D" w:rsidP="0072560D">
      <w:pPr>
        <w:pStyle w:val="DashEqual1"/>
      </w:pPr>
      <w:r w:rsidRPr="00036113">
        <w:t>Частичен общ подход</w:t>
      </w:r>
    </w:p>
    <w:p w:rsidR="0072560D" w:rsidRPr="00036113" w:rsidRDefault="0072560D" w:rsidP="0072560D">
      <w:pPr>
        <w:pStyle w:val="PointManual"/>
        <w:spacing w:before="360"/>
      </w:pPr>
      <w:r w:rsidRPr="00036113">
        <w:t>—</w:t>
      </w:r>
      <w:r w:rsidRPr="00036113">
        <w:tab/>
        <w:t>Други въпроси</w:t>
      </w:r>
    </w:p>
    <w:p w:rsidR="0072560D" w:rsidRPr="00036113" w:rsidRDefault="0072560D" w:rsidP="0072560D">
      <w:pPr>
        <w:pStyle w:val="PointManual1"/>
        <w:spacing w:before="120"/>
      </w:pPr>
      <w:r w:rsidRPr="00036113">
        <w:t>а)</w:t>
      </w:r>
      <w:r w:rsidRPr="00036113">
        <w:tab/>
        <w:t>Информация от председателството по текущи законодателни предложения</w:t>
      </w:r>
    </w:p>
    <w:p w:rsidR="0072560D" w:rsidRPr="00036113" w:rsidRDefault="0072560D" w:rsidP="0072560D">
      <w:pPr>
        <w:pStyle w:val="PointManual1"/>
        <w:spacing w:before="120"/>
      </w:pPr>
      <w:r w:rsidRPr="00036113">
        <w:t>б)</w:t>
      </w:r>
      <w:r w:rsidRPr="00036113">
        <w:tab/>
        <w:t>Директива 2012/29/EС на Европейския парламент и на Съвета от 25 октомври 2012 г. за установяване на минимални стандарти за правата, подкрепата и защитата на жертвите на престъпления: транспониране</w:t>
      </w:r>
    </w:p>
    <w:p w:rsidR="0072560D" w:rsidRPr="00036113" w:rsidRDefault="0072560D" w:rsidP="0072560D">
      <w:pPr>
        <w:pStyle w:val="DashEqual2"/>
      </w:pPr>
      <w:r w:rsidRPr="00036113">
        <w:t>Информация от Комисията</w:t>
      </w:r>
    </w:p>
    <w:p w:rsidR="0072560D" w:rsidRPr="00036113" w:rsidRDefault="0072560D" w:rsidP="0072560D">
      <w:pPr>
        <w:pStyle w:val="Title"/>
        <w:rPr>
          <w:i w:val="0"/>
          <w:iCs/>
        </w:rPr>
      </w:pPr>
      <w:r w:rsidRPr="00036113">
        <w:rPr>
          <w:i w:val="0"/>
        </w:rPr>
        <w:t>Незаконодателни дейности</w:t>
      </w:r>
    </w:p>
    <w:p w:rsidR="0072560D" w:rsidRPr="00036113" w:rsidRDefault="0072560D" w:rsidP="0072560D">
      <w:pPr>
        <w:pStyle w:val="PointManual"/>
        <w:spacing w:before="120"/>
      </w:pPr>
      <w:r w:rsidRPr="00036113">
        <w:t>—</w:t>
      </w:r>
      <w:r w:rsidRPr="00036113">
        <w:tab/>
        <w:t>Присъединяване на Съюза към Европейската конвенция за защита на правата на човека и основните свободи</w:t>
      </w:r>
    </w:p>
    <w:p w:rsidR="0072560D" w:rsidRPr="00036113" w:rsidRDefault="0072560D" w:rsidP="0072560D">
      <w:pPr>
        <w:pStyle w:val="DashEqual1"/>
      </w:pPr>
      <w:r w:rsidRPr="00036113">
        <w:t>Доклад за напредъка</w:t>
      </w:r>
    </w:p>
    <w:p w:rsidR="0072560D" w:rsidRPr="00036113" w:rsidRDefault="0072560D" w:rsidP="0072560D">
      <w:pPr>
        <w:pStyle w:val="PointManual"/>
        <w:spacing w:before="360"/>
      </w:pPr>
      <w:r w:rsidRPr="00036113">
        <w:t>—</w:t>
      </w:r>
      <w:r w:rsidRPr="00036113">
        <w:tab/>
        <w:t>Миграционна криза: аспекти на съдебното сътрудничество и борба с ксенофобията</w:t>
      </w:r>
    </w:p>
    <w:p w:rsidR="0072560D" w:rsidRPr="00036113" w:rsidRDefault="0072560D" w:rsidP="0072560D">
      <w:pPr>
        <w:pStyle w:val="DashEqual1"/>
      </w:pPr>
      <w:r w:rsidRPr="00036113">
        <w:t>Общи разисквания</w:t>
      </w:r>
    </w:p>
    <w:p w:rsidR="0072560D" w:rsidRPr="00036113" w:rsidRDefault="0072560D" w:rsidP="0072560D">
      <w:pPr>
        <w:spacing w:before="360"/>
        <w:jc w:val="center"/>
        <w:rPr>
          <w:snapToGrid w:val="0"/>
        </w:rPr>
      </w:pPr>
      <w:r w:rsidRPr="00036113">
        <w:t>o</w:t>
      </w:r>
    </w:p>
    <w:p w:rsidR="0072560D" w:rsidRPr="00036113" w:rsidRDefault="0072560D" w:rsidP="0072560D">
      <w:pPr>
        <w:spacing w:before="120"/>
        <w:jc w:val="center"/>
        <w:rPr>
          <w:snapToGrid w:val="0"/>
        </w:rPr>
      </w:pPr>
      <w:r w:rsidRPr="00036113">
        <w:t>o</w:t>
      </w:r>
      <w:r w:rsidRPr="00036113">
        <w:tab/>
        <w:t>o</w:t>
      </w:r>
    </w:p>
    <w:p w:rsidR="0072560D" w:rsidRPr="00036113" w:rsidRDefault="0072560D" w:rsidP="0072560D">
      <w:pPr>
        <w:spacing w:before="360"/>
        <w:rPr>
          <w:b/>
          <w:bCs/>
        </w:rPr>
      </w:pPr>
      <w:r w:rsidRPr="00036113">
        <w:br w:type="page"/>
      </w:r>
      <w:bookmarkStart w:id="2" w:name="ControlPages"/>
      <w:bookmarkEnd w:id="2"/>
      <w:r w:rsidRPr="00036113">
        <w:rPr>
          <w:b/>
          <w:u w:val="single"/>
        </w:rPr>
        <w:t>Успоредно със заседанието на Съвета:</w:t>
      </w:r>
    </w:p>
    <w:p w:rsidR="0072560D" w:rsidRPr="00036113" w:rsidRDefault="0072560D" w:rsidP="0072560D">
      <w:pPr>
        <w:spacing w:before="360"/>
        <w:rPr>
          <w:b/>
          <w:bCs/>
          <w:u w:val="single"/>
        </w:rPr>
      </w:pPr>
      <w:r w:rsidRPr="00036113">
        <w:rPr>
          <w:b/>
          <w:u w:val="single"/>
        </w:rPr>
        <w:t>Заседание на СМЕСЕНИЯ КОМИТЕТ (ПЕТЪК, 9 октомври 2015 г., 10,00 ч.)</w:t>
      </w:r>
    </w:p>
    <w:p w:rsidR="0072560D" w:rsidRPr="00036113" w:rsidRDefault="0072560D" w:rsidP="0072560D">
      <w:pPr>
        <w:pStyle w:val="PointManual"/>
        <w:spacing w:before="360"/>
      </w:pPr>
      <w:r w:rsidRPr="00036113">
        <w:t>—</w:t>
      </w:r>
      <w:r w:rsidRPr="00036113">
        <w:tab/>
        <w:t>Предложение за директива на Европейския парламент и на Съвета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наказателни санкции и относно свободното движение на такива данни (</w:t>
      </w:r>
      <w:r w:rsidRPr="00036113">
        <w:rPr>
          <w:b/>
        </w:rPr>
        <w:t>първо четене</w:t>
      </w:r>
      <w:r w:rsidRPr="00036113">
        <w:t>)</w:t>
      </w:r>
    </w:p>
    <w:p w:rsidR="0072560D" w:rsidRPr="00036113" w:rsidRDefault="0072560D" w:rsidP="0072560D">
      <w:pPr>
        <w:pStyle w:val="DashEqual1"/>
      </w:pPr>
      <w:r w:rsidRPr="00036113">
        <w:t>Актуално състояние и общо разискване</w:t>
      </w:r>
    </w:p>
    <w:p w:rsidR="00E57566" w:rsidRPr="00036113" w:rsidRDefault="00E57566" w:rsidP="0072560D">
      <w:pPr>
        <w:pStyle w:val="FinalLine"/>
        <w:spacing w:before="960"/>
      </w:pPr>
    </w:p>
    <w:p w:rsidR="00E57566" w:rsidRPr="00DD29AA" w:rsidRDefault="00A758CA" w:rsidP="00A758CA">
      <w:pPr>
        <w:pStyle w:val="NB"/>
        <w:rPr>
          <w:b/>
          <w:bCs/>
        </w:rPr>
      </w:pPr>
      <w:r w:rsidRPr="00DD29AA">
        <w:rPr>
          <w:b/>
          <w:bCs/>
        </w:rPr>
        <w:t>NB:</w:t>
      </w:r>
      <w:r w:rsidRPr="00DD29AA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DD29AA" w:rsidRDefault="00A758CA" w:rsidP="00A758CA">
      <w:pPr>
        <w:pStyle w:val="NB"/>
        <w:rPr>
          <w:b/>
          <w:bCs/>
        </w:rPr>
      </w:pPr>
      <w:r w:rsidRPr="00DD29AA">
        <w:rPr>
          <w:b/>
          <w:bCs/>
        </w:rPr>
        <w:t>NB:</w:t>
      </w:r>
      <w:r w:rsidRPr="00DD29AA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DD29AA" w:rsidSect="007C3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66" w:rsidRDefault="00E57566" w:rsidP="00E57566">
      <w:r>
        <w:separator/>
      </w:r>
    </w:p>
  </w:endnote>
  <w:endnote w:type="continuationSeparator" w:id="0">
    <w:p w:rsidR="00E57566" w:rsidRDefault="00E57566" w:rsidP="00E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B7" w:rsidRPr="007C38C5" w:rsidRDefault="009821B7" w:rsidP="007C3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38C5" w:rsidRPr="00D94637" w:rsidTr="007C38C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38C5" w:rsidRPr="00D94637" w:rsidRDefault="007C38C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7C38C5" w:rsidRPr="00B310DC" w:rsidTr="007C38C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38C5" w:rsidRPr="00AD7BF2" w:rsidRDefault="007C38C5" w:rsidP="004F54B2">
          <w:pPr>
            <w:pStyle w:val="FooterText"/>
          </w:pPr>
          <w:r>
            <w:t>CM 3900/15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38C5" w:rsidRPr="00AD7BF2" w:rsidRDefault="007C38C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38C5" w:rsidRPr="002511D8" w:rsidRDefault="007C38C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38C5" w:rsidRPr="00B310DC" w:rsidRDefault="007C38C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C38C5" w:rsidRPr="00D94637" w:rsidTr="007C38C5">
      <w:trPr>
        <w:jc w:val="center"/>
      </w:trPr>
      <w:tc>
        <w:tcPr>
          <w:tcW w:w="1774" w:type="pct"/>
          <w:shd w:val="clear" w:color="auto" w:fill="auto"/>
        </w:tcPr>
        <w:p w:rsidR="007C38C5" w:rsidRPr="00AD7BF2" w:rsidRDefault="007C38C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38C5" w:rsidRPr="00AD7BF2" w:rsidRDefault="007C38C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C38C5" w:rsidRPr="00D94637" w:rsidRDefault="007C38C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38C5" w:rsidRPr="00D94637" w:rsidRDefault="007C38C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E57566" w:rsidRPr="007C38C5" w:rsidRDefault="00E57566" w:rsidP="007C38C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38C5" w:rsidRPr="00D94637" w:rsidTr="007C38C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38C5" w:rsidRPr="00D94637" w:rsidRDefault="007C38C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C38C5" w:rsidRPr="00B310DC" w:rsidTr="007C38C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38C5" w:rsidRPr="00AD7BF2" w:rsidRDefault="007C38C5" w:rsidP="004F54B2">
          <w:pPr>
            <w:pStyle w:val="FooterText"/>
          </w:pPr>
          <w:r>
            <w:t>CM 3900/15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38C5" w:rsidRPr="00AD7BF2" w:rsidRDefault="007C38C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38C5" w:rsidRPr="002511D8" w:rsidRDefault="007C38C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38C5" w:rsidRPr="00B310DC" w:rsidRDefault="007C38C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C38C5" w:rsidRPr="00D94637" w:rsidTr="007C38C5">
      <w:trPr>
        <w:jc w:val="center"/>
      </w:trPr>
      <w:tc>
        <w:tcPr>
          <w:tcW w:w="1774" w:type="pct"/>
          <w:shd w:val="clear" w:color="auto" w:fill="auto"/>
        </w:tcPr>
        <w:p w:rsidR="007C38C5" w:rsidRPr="00AD7BF2" w:rsidRDefault="007C38C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38C5" w:rsidRPr="00AD7BF2" w:rsidRDefault="007C38C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C38C5" w:rsidRPr="00D94637" w:rsidRDefault="007C38C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38C5" w:rsidRPr="00D94637" w:rsidRDefault="007C38C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57566" w:rsidRPr="007C38C5" w:rsidRDefault="00E57566" w:rsidP="007C38C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66" w:rsidRDefault="00E57566" w:rsidP="00E57566">
      <w:r>
        <w:separator/>
      </w:r>
    </w:p>
  </w:footnote>
  <w:footnote w:type="continuationSeparator" w:id="0">
    <w:p w:rsidR="00E57566" w:rsidRDefault="00E57566" w:rsidP="00E57566">
      <w:r>
        <w:continuationSeparator/>
      </w:r>
    </w:p>
  </w:footnote>
  <w:footnote w:id="1">
    <w:p w:rsidR="0072560D" w:rsidRPr="00150D17" w:rsidRDefault="0072560D" w:rsidP="0072560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2">
    <w:p w:rsidR="0072560D" w:rsidRPr="00150D17" w:rsidRDefault="005F4054" w:rsidP="005F405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  <w:footnote w:id="3">
    <w:p w:rsidR="0072560D" w:rsidRPr="0072560D" w:rsidRDefault="0072560D" w:rsidP="0072560D">
      <w:pPr>
        <w:pStyle w:val="FootnoteText"/>
        <w:rPr>
          <w:szCs w:val="24"/>
          <w:lang w:val="fr-BE"/>
        </w:rPr>
      </w:pPr>
      <w:r>
        <w:t>(</w:t>
      </w:r>
      <w:r>
        <w:rPr>
          <w:rStyle w:val="FootnoteReference"/>
        </w:rPr>
        <w:sym w:font="Symbol" w:char="F0B7"/>
      </w:r>
      <w:r>
        <w:t>)</w:t>
      </w:r>
      <w:r>
        <w:tab/>
        <w:t>Когато приема общ подход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B7" w:rsidRPr="007C38C5" w:rsidRDefault="009821B7" w:rsidP="007C3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B7" w:rsidRPr="007C38C5" w:rsidRDefault="009821B7" w:rsidP="007C38C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B7" w:rsidRPr="007C38C5" w:rsidRDefault="009821B7" w:rsidP="007C38C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8A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02F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2B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42D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6B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12E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65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182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300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1A5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3"/>
  </w:num>
  <w:num w:numId="38">
    <w:abstractNumId w:val="23"/>
  </w:num>
  <w:num w:numId="39">
    <w:abstractNumId w:val="23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53c9f402-a6a6-4dd4-b6a5-b3a15864ea2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  &lt;text&gt;COMIX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 41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 415-&amp;lt;/Run&amp;gt;&amp;lt;Run BaselineAlignment=&quot;Superscript&quot; xml:lang=&quot;fr-be&quot;&amp;gt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10-0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57566"/>
    <w:rsid w:val="00010C1D"/>
    <w:rsid w:val="00036113"/>
    <w:rsid w:val="0009656C"/>
    <w:rsid w:val="00165755"/>
    <w:rsid w:val="00182F2F"/>
    <w:rsid w:val="001C1958"/>
    <w:rsid w:val="00213F1F"/>
    <w:rsid w:val="002A2AE8"/>
    <w:rsid w:val="002E125C"/>
    <w:rsid w:val="00383E9D"/>
    <w:rsid w:val="003C6E8B"/>
    <w:rsid w:val="005157F5"/>
    <w:rsid w:val="005D7B66"/>
    <w:rsid w:val="005F4054"/>
    <w:rsid w:val="0063379B"/>
    <w:rsid w:val="00635D77"/>
    <w:rsid w:val="006A38C5"/>
    <w:rsid w:val="006A4740"/>
    <w:rsid w:val="006C1AD4"/>
    <w:rsid w:val="006E33E2"/>
    <w:rsid w:val="006F4741"/>
    <w:rsid w:val="0072560D"/>
    <w:rsid w:val="0075756A"/>
    <w:rsid w:val="00776EDF"/>
    <w:rsid w:val="007C38C5"/>
    <w:rsid w:val="00825503"/>
    <w:rsid w:val="008826F8"/>
    <w:rsid w:val="0090711B"/>
    <w:rsid w:val="009821B7"/>
    <w:rsid w:val="00A469D7"/>
    <w:rsid w:val="00A758CA"/>
    <w:rsid w:val="00A92454"/>
    <w:rsid w:val="00BE1373"/>
    <w:rsid w:val="00D451E4"/>
    <w:rsid w:val="00D72C81"/>
    <w:rsid w:val="00DD29AA"/>
    <w:rsid w:val="00DE4474"/>
    <w:rsid w:val="00E5756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361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575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link w:val="FootnoteTex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3611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575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575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575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57566"/>
  </w:style>
  <w:style w:type="character" w:customStyle="1" w:styleId="FootnoteTextChar">
    <w:name w:val="Footnote Text Char"/>
    <w:basedOn w:val="DefaultParagraphFont"/>
    <w:link w:val="FootnoteText"/>
    <w:uiPriority w:val="99"/>
    <w:rsid w:val="0072560D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0D"/>
    <w:rPr>
      <w:rFonts w:ascii="Tahoma" w:hAnsi="Tahoma" w:cs="Tahoma"/>
      <w:sz w:val="16"/>
      <w:szCs w:val="16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0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05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F4054"/>
    <w:rPr>
      <w:vertAlign w:val="superscript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853A-E4BB-4EDD-AE7B-C5CC566F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BORANOVA Nevina</cp:lastModifiedBy>
  <cp:revision>4</cp:revision>
  <cp:lastPrinted>2015-09-23T17:20:00Z</cp:lastPrinted>
  <dcterms:created xsi:type="dcterms:W3CDTF">2015-09-24T09:38:00Z</dcterms:created>
  <dcterms:modified xsi:type="dcterms:W3CDTF">2015-09-24T09:41:00Z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> p.1 p.3</vt:lpwstr>
  </property>
</Properties>
</file>