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23988E52A184E139B73E2CF7C3EA5B8" style="width:450.75pt;height:434.25pt">
            <v:imagedata r:id="rId10" o:title=""/>
          </v:shape>
        </w:pict>
      </w:r>
    </w:p>
    <w:p>
      <w:pPr>
        <w:rPr>
          <w:noProof/>
        </w:rPr>
        <w:sectPr>
          <w:footerReference w:type="default" r:id="rId11"/>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предназначени да отстраняват техническите пречки пред търговията с моторни превозни средства между страните по Ревизираната спогодба от 1958 г. и да гарантират,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Спогодбата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(„Ревизирана спогодба от 1958 година“),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на ИКЕ на ООН — Световния форум за хармонизация на правилата за превозните средства — се провеждат три пъти всяка календарна година — през март, юни и ноември. На всяко заседание се приемат нови правила на ООН, изменения на съществуващи правила на ООН или глобални технически правила на ООН (ГТП на ООН), за да се отчете техническият прогрес. Преди всяко заседание на Работна група 29 една от шестте работни комисии към нея приема тези предложения.</w:t>
      </w:r>
    </w:p>
    <w:p>
      <w:pPr>
        <w:rPr>
          <w:noProof/>
        </w:rPr>
      </w:pPr>
      <w:r>
        <w:rPr>
          <w:noProof/>
        </w:rPr>
        <w:t>След това на заседание на Работна група 29 се гласува окончателното приемане на измененията, допълненията и поправките, ако е налице кворум и квалифицирано мнозинство от договарящите страни. ЕС е договаряща страна по две спогодби (съответно от 1958 г. и 1998 г.) в обхвата на дейността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което оправомощава Комисията да гласува от името на Съюза на съответното заседание на Работна група 29.</w:t>
      </w:r>
    </w:p>
    <w:p>
      <w:pPr>
        <w:rPr>
          <w:noProof/>
        </w:rPr>
      </w:pPr>
      <w:r>
        <w:rPr>
          <w:noProof/>
        </w:rPr>
        <w:t xml:space="preserve">С настоящото решение на Съвета се определя позицията на Съюза при гласуване на правилата, измененията, допълненията и поправките на заседанието на Работна група 29 през ноември 2015 г., което ще се проведе от </w:t>
      </w:r>
      <w:r>
        <w:rPr>
          <w:noProof/>
          <w:lang w:val="ru-RU"/>
        </w:rPr>
        <w:t>9</w:t>
      </w:r>
      <w:r>
        <w:rPr>
          <w:noProof/>
        </w:rPr>
        <w:t xml:space="preserve"> до 13 ноември 2015 г.</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noProof/>
        </w:rPr>
      </w:pPr>
      <w:r>
        <w:rPr>
          <w:noProof/>
        </w:rPr>
        <w:t>Беше проведена консултация с Техническия комитет по моторните превозни средства и бяха взети предвид коментарите на експертите на държавите членки.</w:t>
      </w:r>
    </w:p>
    <w:p>
      <w:pPr>
        <w:pStyle w:val="ManualHeading1"/>
        <w:rPr>
          <w:noProof/>
        </w:rPr>
      </w:pPr>
      <w:r>
        <w:rPr>
          <w:noProof/>
        </w:rPr>
        <w:t>3.</w:t>
      </w:r>
      <w:r>
        <w:rPr>
          <w:noProof/>
        </w:rPr>
        <w:tab/>
        <w:t>ПРАВНИ ЕЛЕМЕНТИ НА ПРЕДЛОЖЕНИЕТО</w:t>
      </w:r>
    </w:p>
    <w:p>
      <w:pPr>
        <w:pStyle w:val="Bullet0"/>
        <w:numPr>
          <w:ilvl w:val="0"/>
          <w:numId w:val="10"/>
        </w:numPr>
        <w:rPr>
          <w:b/>
          <w:noProof/>
        </w:rPr>
      </w:pPr>
      <w:r>
        <w:rPr>
          <w:b/>
          <w:noProof/>
        </w:rPr>
        <w:t>Обобщение на предлаганите мерки</w:t>
      </w:r>
    </w:p>
    <w:p>
      <w:pPr>
        <w:rPr>
          <w:b/>
          <w:noProof/>
        </w:rPr>
      </w:pPr>
      <w:r>
        <w:rPr>
          <w:noProof/>
        </w:rPr>
        <w:t>С предложението се определя позицията на Съюза при гласуване на предложенията за изменения на правила № 12, 16, 26, 39, 44, 46, 58, 61, 74, 83, 85, 94, 95, 97, 98, 99, 100, 101, 106, 107, 110, 116 и 127 на ООН, на ново правило на ООН във връзка с челния удар, на измененията на Консолидираната резолюция за конструкцията на превозните средства (R.E.3) и на нова Обща резолюция № 2 (M.R.2) за определенията на силовото предаване на превозните средства.</w:t>
      </w:r>
    </w:p>
    <w:p>
      <w:pPr>
        <w:pStyle w:val="Bullet0"/>
        <w:numPr>
          <w:ilvl w:val="0"/>
          <w:numId w:val="11"/>
        </w:numPr>
        <w:rPr>
          <w:b/>
          <w:noProof/>
        </w:rPr>
      </w:pPr>
      <w:r>
        <w:rPr>
          <w:b/>
          <w:noProof/>
        </w:rPr>
        <w:t>Правно основание</w:t>
      </w:r>
    </w:p>
    <w:p>
      <w:pPr>
        <w:rPr>
          <w:noProof/>
        </w:rPr>
      </w:pPr>
      <w:r>
        <w:rPr>
          <w:noProof/>
        </w:rPr>
        <w:t>Правното основание на настоящото предложение е член 114 във връзка с член 218, параграф 9 от Договора за функционирането на Европейския съюз.</w:t>
      </w:r>
    </w:p>
    <w:p>
      <w:pPr>
        <w:pStyle w:val="Bullet0"/>
        <w:numPr>
          <w:ilvl w:val="0"/>
          <w:numId w:val="11"/>
        </w:numPr>
        <w:rPr>
          <w:b/>
          <w:noProof/>
        </w:rPr>
      </w:pPr>
      <w:r>
        <w:rPr>
          <w:b/>
          <w:noProof/>
        </w:rPr>
        <w:t>Принцип на субсидиарност</w:t>
      </w:r>
    </w:p>
    <w:p>
      <w:pPr>
        <w:rPr>
          <w:noProof/>
        </w:rPr>
      </w:pPr>
      <w:r>
        <w:rPr>
          <w:noProof/>
        </w:rPr>
        <w:t>Гласуването в подкрепа на инструменти на международно ниво, като предложения за правила на ООН, изменения на правила на ООН и проекти на глобални технически правила, и включването им в системата на Съюза за одобрение на типа на моторните превозни средства може да бъде направено единствено от Съюза. Това не само предотвратява разпокъсването на вътрешния пазар, но също така гарантира еднакви здравни стандарти и стандарти за безопасност навсякъде в Съюза. Налице са и предимства, свързани с икономии от мащаба: продуктите могат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Bullet0"/>
        <w:numPr>
          <w:ilvl w:val="0"/>
          <w:numId w:val="11"/>
        </w:numPr>
        <w:rPr>
          <w:b/>
          <w:noProof/>
        </w:rPr>
      </w:pPr>
      <w:r>
        <w:rPr>
          <w:b/>
          <w:noProof/>
        </w:rPr>
        <w:t>Принцип на пропорционалност</w:t>
      </w:r>
    </w:p>
    <w:p>
      <w:pPr>
        <w:rPr>
          <w:noProof/>
        </w:rPr>
      </w:pPr>
      <w:r>
        <w:rPr>
          <w:noProof/>
        </w:rPr>
        <w:t>Настоящото решение на Съвета оправомощава Комисията да гласува от името на Съюза и е пропорционален инструмент в съответствие с член 5, параграф 1 от Решение 97/836/ЕО на Съвета с цел да се определи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пазар, като същевременно се гарантира висока степен на обществена безопасност и защита.</w:t>
      </w:r>
    </w:p>
    <w:p>
      <w:pPr>
        <w:pStyle w:val="Bullet0"/>
        <w:numPr>
          <w:ilvl w:val="0"/>
          <w:numId w:val="11"/>
        </w:numPr>
        <w:rPr>
          <w:b/>
          <w:noProof/>
        </w:rPr>
      </w:pPr>
      <w:r>
        <w:rPr>
          <w:b/>
          <w:noProof/>
        </w:rPr>
        <w:t>Избор на инструменти</w:t>
      </w:r>
    </w:p>
    <w:p>
      <w:pPr>
        <w:rPr>
          <w:noProof/>
        </w:rPr>
      </w:pPr>
      <w:r>
        <w:rPr>
          <w:noProof/>
        </w:rPr>
        <w:t>В член 218, параграф 9 от ДФЕС е предвидено, че за да бъдат определени позициите, които да бъдат заети от името на Съюза в орган, създаден чрез международно споразумение, е необходимо решение на Съвета.</w:t>
      </w:r>
    </w:p>
    <w:p>
      <w:pPr>
        <w:rPr>
          <w:noProof/>
        </w:rPr>
        <w:sectPr>
          <w:footerReference w:type="default" r:id="rId12"/>
          <w:footerReference w:type="first" r:id="rId13"/>
          <w:pgSz w:w="11907" w:h="16839" w:code="9"/>
          <w:pgMar w:top="1134" w:right="1417" w:bottom="1134" w:left="1417" w:header="709" w:footer="709" w:gutter="0"/>
          <w:cols w:space="708"/>
          <w:docGrid w:linePitch="360"/>
        </w:sectPr>
      </w:pPr>
    </w:p>
    <w:p>
      <w:pPr>
        <w:pStyle w:val="Rfrenceinterinstitutionnelle"/>
        <w:rPr>
          <w:noProof/>
        </w:rPr>
      </w:pPr>
      <w:r>
        <w:rPr>
          <w:noProof/>
        </w:rPr>
        <w:t>2015/0253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определяне на позицията, която да бъде заета от името на Европейския съюз в съответните комитети на Икономическата комисия на ООН за Европа по отношение на предложенията за изменения на правила № 12, 16, 26, 39, 44, 46, 58, 61, 74, 83, 85, 94, 95, 97, 98, 99, 100, 101, 106, 107, 110, 116 и 127 на ООН, предложението за ново правило на ООН във връзка с челния удар, предложенията за изменение на Консолидираната резолюция за конструкцията на превозните средства (R.E.3) и предложението за нова Обща резолюция № 2 (M.R.2) за определенията на силовото предаване на превозните средства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съответствие с Решение 97/836/ЕО на Съвета</w:t>
      </w:r>
      <w:r>
        <w:rPr>
          <w:rStyle w:val="FootnoteReference"/>
          <w:noProof/>
        </w:rPr>
        <w:footnoteReference w:id="2"/>
      </w:r>
      <w:r>
        <w:rPr>
          <w:noProof/>
        </w:rPr>
        <w:t xml:space="preserve"> Съюзът се присъедини към Спогодбата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(„Ревизирана спогодба от 1958 година“).</w:t>
      </w:r>
    </w:p>
    <w:p>
      <w:pPr>
        <w:pStyle w:val="ManualConsidrant"/>
        <w:rPr>
          <w:noProof/>
        </w:rPr>
      </w:pPr>
      <w:r>
        <w:t>(2)</w:t>
      </w:r>
      <w:r>
        <w:tab/>
      </w:r>
      <w:r>
        <w:rPr>
          <w:noProof/>
        </w:rPr>
        <w:t>В съответствие с Решение 2000/125/ЕО на Съвета</w:t>
      </w:r>
      <w:r>
        <w:rPr>
          <w:rStyle w:val="FootnoteReference"/>
          <w:noProof/>
        </w:rPr>
        <w:footnoteReference w:id="3"/>
      </w:r>
      <w:r>
        <w:rPr>
          <w:noProof/>
        </w:rPr>
        <w:t xml:space="preserve"> Съюзът се присъедини към Спогодбата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(„Паралелна спогодба“).</w:t>
      </w:r>
    </w:p>
    <w:p>
      <w:pPr>
        <w:pStyle w:val="ManualConsidrant"/>
        <w:rPr>
          <w:noProof/>
        </w:rPr>
      </w:pPr>
      <w:r>
        <w:t>(3)</w:t>
      </w:r>
      <w:r>
        <w:tab/>
      </w:r>
      <w:r>
        <w:rPr>
          <w:noProof/>
        </w:rPr>
        <w:t>С Директива 2007/46/ЕО на Европейския парламент и на Съвета</w:t>
      </w:r>
      <w:r>
        <w:rPr>
          <w:rStyle w:val="FootnoteReference"/>
          <w:noProof/>
        </w:rPr>
        <w:footnoteReference w:id="4"/>
      </w:r>
      <w:r>
        <w:rPr>
          <w:noProof/>
        </w:rPr>
        <w:t xml:space="preserve"> системите за одобрение в отделните държави членки бяха заменени с процедура на Съюза за одобрение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ООН бяха включени в системата на ЕС за одобряване на типа на превозните средства като изисквания за одобряване на типа или като алтернативи на законодателството на Съюза. След приемането на посочената директива правилата на ООН във все по-голяма степен се включват в законодателството на Съюза в рамките на системата на ЕС за одобряване на типа.</w:t>
      </w:r>
    </w:p>
    <w:p>
      <w:pPr>
        <w:pStyle w:val="ManualConsidrant"/>
        <w:rPr>
          <w:noProof/>
        </w:rPr>
      </w:pPr>
      <w:r>
        <w:t>(4)</w:t>
      </w:r>
      <w:r>
        <w:tab/>
      </w:r>
      <w:r>
        <w:rPr>
          <w:noProof/>
        </w:rPr>
        <w:t>Като се имат предвид натрупаният опит и техническото развитие, необходимо е да се адаптират с оглед на техническия напредък изискванията към някои елементи или характеристики, които са обхванати от правила № 12, 16, 26, 39, 44, 46, 58, 61, 74, 83, 85, 94, 95, 97, 98, 99, 100, 101, 106, 107, 110, 116 и 127 на ООН, както и от Консолидираната резолюция за конструкцията на превозните средства (R.E.3).</w:t>
      </w:r>
    </w:p>
    <w:p>
      <w:pPr>
        <w:pStyle w:val="ManualConsidrant"/>
        <w:rPr>
          <w:noProof/>
        </w:rPr>
      </w:pPr>
      <w:r>
        <w:t>(5)</w:t>
      </w:r>
      <w:r>
        <w:tab/>
      </w:r>
      <w:r>
        <w:rPr>
          <w:noProof/>
        </w:rPr>
        <w:t>За да се хармонизират съответните разпоредби за безопасност за одобрението на типа на моторните превозни средства, следва да се приеме новото правило на ООН във връзка с челния удар; за да се хармонизират определенията за силовото предаване на превозните средства, следва да бъде приета и нова Обща резолюция № 2 (M.R.2) за определенията за силовото предаване на превозните средства.</w:t>
      </w:r>
    </w:p>
    <w:p>
      <w:pPr>
        <w:pStyle w:val="ManualConsidrant"/>
        <w:rPr>
          <w:noProof/>
        </w:rPr>
      </w:pPr>
      <w:r>
        <w:t>(6)</w:t>
      </w:r>
      <w:r>
        <w:tab/>
      </w:r>
      <w:r>
        <w:rPr>
          <w:noProof/>
        </w:rPr>
        <w:t>Поради това е необходимо да се определи позицията, която да бъде заета от името на Съюза в Административния комитет по Ревизираната спогодба от 1958 г. и в Изпълнителния комитет по Паралелната спогодба относно приемането на горепосочените актове на ООН,</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да бъде заета от името на Съюза в рамките на Административния комитет по Ревизираната спогодба от 1958 г. и на Изпълнителния комитет по Паралелната спогодба на заседанието, което ще се проведе в периода от 9 до 13 ноември 2015 г., е да се гласува в подкрепа на предложенията, изброени в приложението към настоящото решение.</w:t>
      </w:r>
    </w:p>
    <w:p>
      <w:pPr>
        <w:pStyle w:val="Titrearticle"/>
        <w:rPr>
          <w:noProof/>
        </w:rPr>
      </w:pPr>
      <w:r>
        <w:rPr>
          <w:noProof/>
        </w:rPr>
        <w:t>Член 2</w:t>
      </w:r>
    </w:p>
    <w:p>
      <w:pPr>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 (ОВ L 346, 17.12.1997 г., стр. 78).</w:t>
      </w:r>
    </w:p>
  </w:footnote>
  <w:footnote w:id="3">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4">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0421AF8"/>
    <w:lvl w:ilvl="0">
      <w:start w:val="1"/>
      <w:numFmt w:val="decimal"/>
      <w:pStyle w:val="ListBullet"/>
      <w:lvlText w:val="%1."/>
      <w:lvlJc w:val="left"/>
      <w:pPr>
        <w:tabs>
          <w:tab w:val="num" w:pos="1209"/>
        </w:tabs>
        <w:ind w:left="1209" w:hanging="360"/>
      </w:pPr>
      <w:rPr>
        <w:rFonts w:cs="Times New Roman"/>
      </w:rPr>
    </w:lvl>
  </w:abstractNum>
  <w:abstractNum w:abstractNumId="1">
    <w:nsid w:val="0F212747"/>
    <w:multiLevelType w:val="multilevel"/>
    <w:tmpl w:val="FBD0F488"/>
    <w:name w:val="NumPar"/>
    <w:lvl w:ilvl="0">
      <w:start w:val="1"/>
      <w:numFmt w:val="decimal"/>
      <w:lvlRestart w:val="0"/>
      <w:pStyle w:val="ListNumber3"/>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49674C4"/>
    <w:multiLevelType w:val="singleLevel"/>
    <w:tmpl w:val="8A2AF054"/>
    <w:name w:val="Tiret 1"/>
    <w:lvl w:ilvl="0">
      <w:start w:val="1"/>
      <w:numFmt w:val="bullet"/>
      <w:lvlRestart w:val="0"/>
      <w:pStyle w:val="ListBullet3"/>
      <w:lvlText w:val="–"/>
      <w:lvlJc w:val="left"/>
      <w:pPr>
        <w:tabs>
          <w:tab w:val="num" w:pos="1417"/>
        </w:tabs>
        <w:ind w:left="1417" w:hanging="567"/>
      </w:p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1162DB"/>
    <w:multiLevelType w:val="singleLevel"/>
    <w:tmpl w:val="B27E1B54"/>
    <w:name w:val="Tiret 2"/>
    <w:lvl w:ilvl="0">
      <w:start w:val="1"/>
      <w:numFmt w:val="bullet"/>
      <w:lvlRestart w:val="0"/>
      <w:pStyle w:val="ListBullet4"/>
      <w:lvlText w:val="–"/>
      <w:lvlJc w:val="left"/>
      <w:pPr>
        <w:tabs>
          <w:tab w:val="num" w:pos="1984"/>
        </w:tabs>
        <w:ind w:left="1984" w:hanging="567"/>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1">
    <w:nsid w:val="49D47C56"/>
    <w:multiLevelType w:val="multilevel"/>
    <w:tmpl w:val="77E0331E"/>
    <w:name w:val="Heading"/>
    <w:lvl w:ilvl="0">
      <w:start w:val="1"/>
      <w:numFmt w:val="decimal"/>
      <w:lvlRestart w:val="0"/>
      <w:pStyle w:val="ListNumber4"/>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nsid w:val="712E4B18"/>
    <w:multiLevelType w:val="singleLevel"/>
    <w:tmpl w:val="66ECC298"/>
    <w:name w:val="0.9488032"/>
    <w:lvl w:ilvl="0">
      <w:start w:val="1"/>
      <w:numFmt w:val="bullet"/>
      <w:lvlRestart w:val="0"/>
      <w:pStyle w:val="ListNumber"/>
      <w:lvlText w:val="–"/>
      <w:lvlJc w:val="left"/>
      <w:pPr>
        <w:tabs>
          <w:tab w:val="num" w:pos="2551"/>
        </w:tabs>
        <w:ind w:left="2551" w:hanging="567"/>
      </w:pPr>
    </w:lvl>
  </w:abstractNum>
  <w:abstractNum w:abstractNumId="1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7B454D54"/>
    <w:multiLevelType w:val="singleLevel"/>
    <w:tmpl w:val="8A02E4B2"/>
    <w:name w:val="Bullet 4"/>
    <w:lvl w:ilvl="0">
      <w:start w:val="1"/>
      <w:numFmt w:val="bullet"/>
      <w:lvlRestart w:val="0"/>
      <w:pStyle w:val="ListNumber2"/>
      <w:lvlText w:val="–"/>
      <w:lvlJc w:val="left"/>
      <w:pPr>
        <w:tabs>
          <w:tab w:val="num" w:pos="3118"/>
        </w:tabs>
        <w:ind w:left="3118"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E8224EA"/>
    <w:multiLevelType w:val="singleLevel"/>
    <w:tmpl w:val="34DEB8CE"/>
    <w:name w:val="Tiret 3"/>
    <w:lvl w:ilvl="0">
      <w:start w:val="1"/>
      <w:numFmt w:val="bullet"/>
      <w:lvlRestart w:val="0"/>
      <w:pStyle w:val="ListBullet2"/>
      <w:lvlText w:val="–"/>
      <w:lvlJc w:val="left"/>
      <w:pPr>
        <w:tabs>
          <w:tab w:val="num" w:pos="850"/>
        </w:tabs>
        <w:ind w:left="850" w:hanging="850"/>
      </w:pPr>
    </w:lvl>
  </w:abstractNum>
  <w:num w:numId="1">
    <w:abstractNumId w:val="0"/>
  </w:num>
  <w:num w:numId="2">
    <w:abstractNumId w:val="22"/>
  </w:num>
  <w:num w:numId="3">
    <w:abstractNumId w:val="2"/>
  </w:num>
  <w:num w:numId="4">
    <w:abstractNumId w:val="5"/>
  </w:num>
  <w:num w:numId="5">
    <w:abstractNumId w:val="18"/>
  </w:num>
  <w:num w:numId="6">
    <w:abstractNumId w:val="20"/>
  </w:num>
  <w:num w:numId="7">
    <w:abstractNumId w:val="1"/>
  </w:num>
  <w:num w:numId="8">
    <w:abstractNumId w:val="11"/>
  </w:num>
  <w:num w:numId="9">
    <w:abstractNumId w:val="19"/>
  </w:num>
  <w:num w:numId="10">
    <w:abstractNumId w:val="10"/>
    <w:lvlOverride w:ilvl="0">
      <w:startOverride w:val="1"/>
    </w:lvlOverride>
  </w:num>
  <w:num w:numId="11">
    <w:abstractNumId w:val="10"/>
  </w:num>
  <w:num w:numId="12">
    <w:abstractNumId w:val="21"/>
    <w:lvlOverride w:ilvl="0">
      <w:startOverride w:val="1"/>
    </w:lvlOverride>
  </w:num>
  <w:num w:numId="13">
    <w:abstractNumId w:val="15"/>
  </w:num>
  <w:num w:numId="14">
    <w:abstractNumId w:val="8"/>
  </w:num>
  <w:num w:numId="15">
    <w:abstractNumId w:val="17"/>
  </w:num>
  <w:num w:numId="16">
    <w:abstractNumId w:val="7"/>
  </w:num>
  <w:num w:numId="17">
    <w:abstractNumId w:val="9"/>
  </w:num>
  <w:num w:numId="18">
    <w:abstractNumId w:val="4"/>
  </w:num>
  <w:num w:numId="19">
    <w:abstractNumId w:val="16"/>
  </w:num>
  <w:num w:numId="20">
    <w:abstractNumId w:val="3"/>
  </w:num>
  <w:num w:numId="21">
    <w:abstractNumId w:val="10"/>
  </w:num>
  <w:num w:numId="22">
    <w:abstractNumId w:val="13"/>
  </w:num>
  <w:num w:numId="23">
    <w:abstractNumId w:val="14"/>
  </w:num>
  <w:num w:numId="24">
    <w:abstractNumId w:val="6"/>
  </w:num>
  <w:num w:numId="25">
    <w:abstractNumId w:val="12"/>
  </w:num>
  <w:num w:numId="26">
    <w:abstractNumId w:val="21"/>
  </w:num>
  <w:num w:numId="27">
    <w:abstractNumId w:val="15"/>
  </w:num>
  <w:num w:numId="28">
    <w:abstractNumId w:val="8"/>
  </w:num>
  <w:num w:numId="29">
    <w:abstractNumId w:val="17"/>
  </w:num>
  <w:num w:numId="30">
    <w:abstractNumId w:val="7"/>
  </w:num>
  <w:num w:numId="31">
    <w:abstractNumId w:val="9"/>
  </w:num>
  <w:num w:numId="32">
    <w:abstractNumId w:val="4"/>
  </w:num>
  <w:num w:numId="33">
    <w:abstractNumId w:val="16"/>
  </w:num>
  <w:num w:numId="34">
    <w:abstractNumId w:val="3"/>
  </w:num>
  <w:num w:numId="35">
    <w:abstractNumId w:val="10"/>
  </w:num>
  <w:num w:numId="36">
    <w:abstractNumId w:val="13"/>
  </w:num>
  <w:num w:numId="37">
    <w:abstractNumId w:val="14"/>
  </w:num>
  <w:num w:numId="38">
    <w:abstractNumId w:val="6"/>
  </w:num>
  <w:num w:numId="39">
    <w:abstractNumId w:val="12"/>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isplayHorizontalDrawingGridEvery w:val="2"/>
  <w:characterSpacingControl w:val="doNotCompress"/>
  <w:hdrShapeDefaults>
    <o:shapedefaults v:ext="edit" spidmax="35841"/>
  </w:hdrShapeDefaults>
  <w:footnotePr>
    <w:footnote w:id="-1"/>
    <w:footnote w:id="0"/>
    <w:footnote w:id="1"/>
  </w:footnotePr>
  <w:endnotePr>
    <w:endnote w:id="-1"/>
    <w:endnote w:id="0"/>
    <w:endnote w:id="1"/>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10-22 09:48: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23988E52A184E139B73E2CF7C3EA5B8"/>
    <w:docVar w:name="LW_CROSSREFERENCE" w:val="&lt;UNUSED&gt;"/>
    <w:docVar w:name="LW_DocType" w:val="COM"/>
    <w:docVar w:name="LW_EMISSION" w:val="22.10.2015"/>
    <w:docVar w:name="LW_EMISSION_ISODATE" w:val="2015-10-22"/>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53"/>
    <w:docVar w:name="LW_REF.II.NEW.CP_YEAR" w:val="2015"/>
    <w:docVar w:name="LW_REF.INST.NEW" w:val="COM"/>
    <w:docVar w:name="LW_REF.INST.NEW_ADOPTED" w:val="final"/>
    <w:docVar w:name="LW_REF.INST.NEW_TEXT" w:val="(2015) 537"/>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7?\u1086?\u1079?\u1080?\u1094?\u1080?\u1103?\u1090?\u1072?, \u1082?\u1086?\u1103?\u1090?\u1086? \u1076?\u1072? \u1073?\u1098?\u1076?\u1077? \u1079?\u1072?\u1077?\u1090?\u1072? \u1086?\u1090? \u1080?\u1084?\u1077?\u1090?\u1086? \u1085?\u1072? \u1045?\u1074?\u1088?\u1086?\u1087?\u1077?\u1081?\u1089?\u1082?\u1080?\u1103? \u1089?\u1098?\u1102?\u1079? \u1074? \u1089?\u1098?\u1086?\u1090?\u1074?\u1077?\u1090?\u1085?\u1080?\u1090?\u1077? \u1082?\u1086?\u1084?\u1080?\u1090?\u1077?\u1090?\u1080? \u1085?\u1072? \u1048?\u1082?\u1086?\u1085?\u1086?\u1084?\u1080?\u1095?\u1077?\u1089?\u1082?\u1072?\u1090?\u1072? \u1082?\u1086?\u1084?\u1080?\u1089?\u1080?\u1103? \u1085?\u1072? \u1054?\u1054?\u1053? \u1079?\u1072? \u1045?\u1074?\u1088?\u1086?\u1087?\u1072? \u1087?\u1086? \u1086?\u1090?\u1085?\u1086?\u1096?\u1077?\u1085?\u1080?\u1077? \u1085?\u1072? \u1087?\u1088?\u1077?\u1076?\u1083?\u1086?\u1078?\u1077?\u1085?\u1080?\u1103?\u1090?\u1072? \u1079?\u1072? \u1080?\u1079?\u1084?\u1077?\u1085?\u1077?\u1085?\u1080?\u1103? \u1085?\u1072? \u1087?\u1088?\u1072?\u1074?\u1080?\u1083?\u1072? \u8470? 12, 16, 26, 39, 44, 46, 58, 61, 74, 83, 85, 94, 95, 97, 98, 99, 100, 101, 106, 107, 110, 116 \u1080? 127 \u1085?\u1072? \u1054?\u1054?\u1053?, \u1087?\u1088?\u1077?\u1076?\u1083?\u1086?\u1078?\u1077?\u1085?\u1080?\u1077?\u1090?\u1086? \u1079?\u1072? \u1085?\u1086?\u1074?\u1086? \u1087?\u1088?\u1072?\u1074?\u1080?\u1083?\u1086? \u1085?\u1072? \u1054?\u1054?\u1053? \u1074?\u1098?\u1074? \u1074?\u1088?\u1098?\u1079?\u1082?\u1072? \u1089? \u1095?\u1077?\u1083?\u1085?\u1080?\u1103? \u1091?\u1076?\u1072?\u1088?, \u1087?\u1088?\u1077?\u1076?\u1083?\u1086?\u1078?\u1077?\u1085?\u1080?\u1103?\u1090?\u1072? \u1079?\u1072? \u1080?\u1079?\u1084?\u1077?\u1085?\u1077?\u1085?\u1080?\u1077? \u1085?\u1072? \u1050?\u1086?\u1085?\u1089?\u1086?\u1083?\u1080?\u1076?\u1080?\u1088?\u1072?\u1085?\u1072?\u1090?\u1072? \u1088?\u1077?\u1079?\u1086?\u1083?\u1102?\u1094?\u1080?\u1103? \u1079?\u1072? \u1082?\u1086?\u1085?\u1089?\u1090?\u1088?\u1091?\u1082?\u1094?\u1080?\u1103?\u1090?\u1072? \u1085?\u1072? \u1087?\u1088?\u1077?\u1074?\u1086?\u1079?\u1085?\u1080?\u1090?\u1077? \u1089?\u1088?\u1077?\u1076?\u1089?\u1090?\u1074?\u1072? (R.E.3) \u1080? \u1087?\u1088?\u1077?\u1076?\u1083?\u1086?\u1078?\u1077?\u1085?\u1080?\u1077?\u1090?\u1086? \u1079?\u1072? \u1085?\u1086?\u1074?\u1072? \u1054?\u1073?\u1097?\u1072? \u1088?\u1077?\u1079?\u1086?\u1083?\u1102?\u1094?\u1080?\u1103? \u8470? 2 (M.R.2) \u1079?\u1072? \u1086?\u1087?\u1088?\u1077?\u1076?\u1077?\u1083?\u1077?\u1085?\u1080?\u1103?\u1090?\u1072? \u1085?\u1072? \u1089?\u1080?\u1083?\u1086?\u1074?\u1086?\u1090?\u1086? \u1087?\u1088?\u1077?\u1076?\u1072?\u1074?\u1072?\u1085?\u1077? \u1085?\u1072? \u1087?\u1088?\u1077?\u1074?\u1086?\u1079?\u1085?\u1080?\u1090?\u1077? \u1089?\u1088?\u1077?\u1076?\u1089?\u1090?\u107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pPr>
      <w:numPr>
        <w:ilvl w:val="2"/>
        <w:numId w:val="9"/>
      </w:numPr>
    </w:pPr>
  </w:style>
  <w:style w:type="paragraph" w:customStyle="1" w:styleId="ListNumber1Level4">
    <w:name w:val="List Number 1 (Level 4)"/>
    <w:basedOn w:val="Text1"/>
    <w:pPr>
      <w:numPr>
        <w:ilvl w:val="3"/>
        <w:numId w:val="9"/>
      </w:numPr>
    </w:pPr>
  </w:style>
  <w:style w:type="character" w:styleId="CommentReference">
    <w:name w:val="annotation reference"/>
    <w:basedOn w:val="DefaultParagraphFont"/>
    <w:uiPriority w:val="99"/>
    <w:semiHidden/>
    <w:unhideWhenUsed/>
    <w:rPr>
      <w:sz w:val="16"/>
      <w:szCs w:val="16"/>
    </w:rPr>
  </w:style>
  <w:style w:type="paragraph" w:styleId="ListBullet">
    <w:name w:val="List Bullet"/>
    <w:basedOn w:val="Normal"/>
    <w:pPr>
      <w:numPr>
        <w:numId w:val="1"/>
      </w:numPr>
      <w:tabs>
        <w:tab w:val="clear" w:pos="1209"/>
        <w:tab w:val="num" w:pos="850"/>
      </w:tabs>
      <w:ind w:left="360"/>
    </w:pPr>
  </w:style>
  <w:style w:type="paragraph" w:styleId="ListBullet2">
    <w:name w:val="List Bullet 2"/>
    <w:basedOn w:val="Normal"/>
    <w:pPr>
      <w:numPr>
        <w:numId w:val="2"/>
      </w:numPr>
      <w:tabs>
        <w:tab w:val="num" w:pos="643"/>
      </w:tabs>
      <w:ind w:left="643" w:hanging="360"/>
    </w:pPr>
  </w:style>
  <w:style w:type="paragraph" w:styleId="ListBullet3">
    <w:name w:val="List Bullet 3"/>
    <w:basedOn w:val="Normal"/>
    <w:pPr>
      <w:numPr>
        <w:numId w:val="3"/>
      </w:numPr>
      <w:tabs>
        <w:tab w:val="num" w:pos="926"/>
      </w:tabs>
      <w:ind w:left="926" w:hanging="360"/>
    </w:pPr>
  </w:style>
  <w:style w:type="paragraph" w:styleId="ListBullet4">
    <w:name w:val="List Bullet 4"/>
    <w:basedOn w:val="Normal"/>
    <w:pPr>
      <w:numPr>
        <w:numId w:val="4"/>
      </w:numPr>
      <w:tabs>
        <w:tab w:val="num" w:pos="1209"/>
      </w:tabs>
      <w:ind w:left="1209" w:hanging="360"/>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paragraph" w:styleId="ListNumber">
    <w:name w:val="List Number"/>
    <w:basedOn w:val="Normal"/>
    <w:pPr>
      <w:numPr>
        <w:numId w:val="5"/>
      </w:numPr>
      <w:ind w:left="360" w:hanging="360"/>
    </w:pPr>
  </w:style>
  <w:style w:type="paragraph" w:styleId="ListNumber2">
    <w:name w:val="List Number 2"/>
    <w:basedOn w:val="Normal"/>
    <w:pPr>
      <w:numPr>
        <w:numId w:val="6"/>
      </w:numPr>
      <w:tabs>
        <w:tab w:val="num" w:pos="643"/>
      </w:tabs>
      <w:ind w:left="643" w:hanging="360"/>
    </w:pPr>
  </w:style>
  <w:style w:type="paragraph" w:styleId="ListNumber3">
    <w:name w:val="List Number 3"/>
    <w:basedOn w:val="Normal"/>
    <w:pPr>
      <w:numPr>
        <w:numId w:val="7"/>
      </w:numPr>
      <w:tabs>
        <w:tab w:val="clear" w:pos="850"/>
        <w:tab w:val="num" w:pos="709"/>
        <w:tab w:val="num" w:pos="926"/>
      </w:tabs>
      <w:ind w:left="926" w:hanging="360"/>
    </w:pPr>
  </w:style>
  <w:style w:type="paragraph" w:styleId="ListNumber4">
    <w:name w:val="List Number 4"/>
    <w:basedOn w:val="Normal"/>
    <w:pPr>
      <w:numPr>
        <w:numId w:val="8"/>
      </w:numPr>
      <w:tabs>
        <w:tab w:val="clear" w:pos="850"/>
        <w:tab w:val="num" w:pos="1209"/>
        <w:tab w:val="num" w:pos="1560"/>
      </w:tabs>
      <w:ind w:left="1209" w:hanging="360"/>
    </w:p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shd w:val="clear" w:color="auto" w:fill="auto"/>
    </w:rPr>
  </w:style>
  <w:style w:type="paragraph" w:styleId="DocumentMap">
    <w:name w:val="Document Map"/>
    <w:basedOn w:val="Normal"/>
    <w:semiHidden/>
    <w:pPr>
      <w:shd w:val="clear" w:color="auto" w:fill="000080"/>
    </w:pPr>
    <w:rPr>
      <w:rFonts w:ascii="Tahoma" w:hAnsi="Tahoma" w:cs="Tahoma"/>
    </w:rPr>
  </w:style>
  <w:style w:type="character" w:styleId="Strong">
    <w:name w:val="Strong"/>
    <w:uiPriority w:val="22"/>
    <w:qFormat/>
    <w:rPr>
      <w:b/>
      <w:bCs/>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sz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18341">
      <w:bodyDiv w:val="1"/>
      <w:marLeft w:val="0"/>
      <w:marRight w:val="0"/>
      <w:marTop w:val="0"/>
      <w:marBottom w:val="0"/>
      <w:divBdr>
        <w:top w:val="none" w:sz="0" w:space="0" w:color="auto"/>
        <w:left w:val="none" w:sz="0" w:space="0" w:color="auto"/>
        <w:bottom w:val="none" w:sz="0" w:space="0" w:color="auto"/>
        <w:right w:val="none" w:sz="0" w:space="0" w:color="auto"/>
      </w:divBdr>
    </w:div>
    <w:div w:id="12912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6278-F032-4564-8B2C-855DB2854318}">
  <ds:schemaRefs>
    <ds:schemaRef ds:uri="http://schemas.openxmlformats.org/officeDocument/2006/bibliography"/>
  </ds:schemaRefs>
</ds:datastoreItem>
</file>

<file path=customXml/itemProps2.xml><?xml version="1.0" encoding="utf-8"?>
<ds:datastoreItem xmlns:ds="http://schemas.openxmlformats.org/officeDocument/2006/customXml" ds:itemID="{99D62680-A757-4042-B04E-D394B8D3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1405</Words>
  <Characters>7776</Characters>
  <Application>Microsoft Office Word</Application>
  <DocSecurity>0</DocSecurity>
  <Lines>141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2015-09-04T13:02:00Z</cp:lastPrinted>
  <dcterms:created xsi:type="dcterms:W3CDTF">2015-10-09T10:11:00Z</dcterms:created>
  <dcterms:modified xsi:type="dcterms:W3CDTF">2015-10-22T07:48:00Z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SJ-019</vt:lpwstr>
  </property>
  <property fmtid="{D5CDD505-2E9C-101B-9397-08002B2CF9AE}" pid="8" name="_NewReviewCycle">
    <vt:lpwstr/>
  </property>
  <property fmtid="{D5CDD505-2E9C-101B-9397-08002B2CF9AE}" pid="9" name="Part">
    <vt:lpwstr>1</vt:lpwstr>
  </property>
  <property fmtid="{D5CDD505-2E9C-101B-9397-08002B2CF9AE}" pid="10" name="Total parts">
    <vt:lpwstr>1</vt:lpwstr>
  </property>
  <property fmtid="{D5CDD505-2E9C-101B-9397-08002B2CF9AE}" pid="11" name="DQCStatus">
    <vt:lpwstr>Green (DQC version 03)</vt:lpwstr>
  </property>
</Properties>
</file>