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30CB94BC4F24CDEB73623F4159F26A3"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rPr>
          <w:noProof/>
        </w:rPr>
      </w:pPr>
      <w:bookmarkStart w:id="1" w:name="_GoBack"/>
      <w:bookmarkEnd w:id="1"/>
      <w:r>
        <w:rPr>
          <w:noProof/>
        </w:rPr>
        <w:lastRenderedPageBreak/>
        <w:t>Като взе предвид:</w:t>
      </w:r>
    </w:p>
    <w:p>
      <w:pPr>
        <w:pStyle w:val="Tiret0"/>
        <w:rPr>
          <w:noProof/>
        </w:rPr>
      </w:pPr>
      <w:r>
        <w:rPr>
          <w:noProof/>
        </w:rPr>
        <w:t>Договора за функционирането на Европейския съюз, и по-специално член 314 от него, във връзка с Договора за създаване на Европейската общност за атомна енергия, и по-специално член 106а от него,</w:t>
      </w:r>
    </w:p>
    <w:p>
      <w:pPr>
        <w:pStyle w:val="Tiret0"/>
        <w:rPr>
          <w:rFonts w:cs="Arial"/>
          <w:noProof/>
          <w:szCs w:val="18"/>
        </w:rPr>
      </w:pPr>
      <w:r>
        <w:rPr>
          <w:noProof/>
        </w:rPr>
        <w:t>Регламент (ЕС, Евратом) № 966/2012 на Европейския парламент и на Съвета от 25 октомври 2012 г. относно финансовите правила, приложими за общия бюджет на Съюза</w:t>
      </w:r>
      <w:r>
        <w:rPr>
          <w:rStyle w:val="FootnoteReference"/>
          <w:noProof/>
        </w:rPr>
        <w:footnoteReference w:id="2"/>
      </w:r>
      <w:r>
        <w:rPr>
          <w:noProof/>
        </w:rPr>
        <w:t>, и по-специално член 41 от него,</w:t>
      </w:r>
    </w:p>
    <w:p>
      <w:pPr>
        <w:pStyle w:val="Tiret0"/>
        <w:rPr>
          <w:noProof/>
        </w:rPr>
      </w:pPr>
      <w:r>
        <w:rPr>
          <w:noProof/>
        </w:rPr>
        <w:t>общия бюджет на Европейския съюз за 2015 финансова година, приет на 17 декември 2014 г.</w:t>
      </w:r>
      <w:r>
        <w:rPr>
          <w:rStyle w:val="FootnoteReference"/>
          <w:noProof/>
        </w:rPr>
        <w:footnoteReference w:id="3"/>
      </w:r>
      <w:r>
        <w:rPr>
          <w:noProof/>
        </w:rPr>
        <w:t>,</w:t>
      </w:r>
    </w:p>
    <w:p>
      <w:pPr>
        <w:pStyle w:val="Tiret0"/>
        <w:rPr>
          <w:noProof/>
        </w:rPr>
      </w:pPr>
      <w:r>
        <w:rPr>
          <w:noProof/>
        </w:rPr>
        <w:t>коригиращ бюджет № 1/2015</w:t>
      </w:r>
      <w:r>
        <w:rPr>
          <w:rStyle w:val="FootnoteReference"/>
          <w:noProof/>
        </w:rPr>
        <w:footnoteReference w:id="4"/>
      </w:r>
      <w:r>
        <w:rPr>
          <w:noProof/>
        </w:rPr>
        <w:t>, приет на 28 април 2015 г.,</w:t>
      </w:r>
    </w:p>
    <w:p>
      <w:pPr>
        <w:pStyle w:val="Tiret0"/>
        <w:rPr>
          <w:noProof/>
        </w:rPr>
      </w:pPr>
      <w:r>
        <w:rPr>
          <w:noProof/>
        </w:rPr>
        <w:t>коригиращ бюджет № 2/2015</w:t>
      </w:r>
      <w:r>
        <w:rPr>
          <w:rStyle w:val="FootnoteReference"/>
          <w:noProof/>
        </w:rPr>
        <w:footnoteReference w:id="5"/>
      </w:r>
      <w:r>
        <w:rPr>
          <w:noProof/>
        </w:rPr>
        <w:t>, приет на 7 юли 2015 г.,</w:t>
      </w:r>
    </w:p>
    <w:p>
      <w:pPr>
        <w:pStyle w:val="Tiret0"/>
        <w:rPr>
          <w:noProof/>
        </w:rPr>
      </w:pPr>
      <w:r>
        <w:rPr>
          <w:noProof/>
        </w:rPr>
        <w:t>коригиращ бюджет № 3/2015</w:t>
      </w:r>
      <w:r>
        <w:rPr>
          <w:rStyle w:val="FootnoteReference"/>
          <w:noProof/>
        </w:rPr>
        <w:footnoteReference w:id="6"/>
      </w:r>
      <w:r>
        <w:rPr>
          <w:noProof/>
        </w:rPr>
        <w:t>, приет на 7 юли 2015 г.,</w:t>
      </w:r>
    </w:p>
    <w:p>
      <w:pPr>
        <w:pStyle w:val="Tiret0"/>
        <w:rPr>
          <w:noProof/>
        </w:rPr>
      </w:pPr>
      <w:r>
        <w:rPr>
          <w:noProof/>
        </w:rPr>
        <w:t>коригиращ бюджет № 4/2015</w:t>
      </w:r>
      <w:r>
        <w:rPr>
          <w:rStyle w:val="FootnoteReference"/>
          <w:noProof/>
        </w:rPr>
        <w:footnoteReference w:id="7"/>
      </w:r>
      <w:r>
        <w:rPr>
          <w:noProof/>
        </w:rPr>
        <w:t>, приет на 7 юли 2015 г.,</w:t>
      </w:r>
    </w:p>
    <w:p>
      <w:pPr>
        <w:pStyle w:val="Tiret0"/>
        <w:rPr>
          <w:noProof/>
        </w:rPr>
      </w:pPr>
      <w:r>
        <w:rPr>
          <w:noProof/>
        </w:rPr>
        <w:t>коригиращ бюджет № 5/2015</w:t>
      </w:r>
      <w:r>
        <w:rPr>
          <w:rStyle w:val="FootnoteReference"/>
          <w:noProof/>
        </w:rPr>
        <w:footnoteReference w:id="8"/>
      </w:r>
      <w:r>
        <w:rPr>
          <w:noProof/>
        </w:rPr>
        <w:t>, приет на 7 юли 2015 г.,</w:t>
      </w:r>
    </w:p>
    <w:p>
      <w:pPr>
        <w:pStyle w:val="Tiret0"/>
        <w:rPr>
          <w:noProof/>
        </w:rPr>
      </w:pPr>
      <w:r>
        <w:rPr>
          <w:noProof/>
        </w:rPr>
        <w:t>коригиращ бюджет № 6/2015</w:t>
      </w:r>
      <w:r>
        <w:rPr>
          <w:rStyle w:val="FootnoteReference"/>
          <w:noProof/>
        </w:rPr>
        <w:footnoteReference w:id="9"/>
      </w:r>
      <w:r>
        <w:rPr>
          <w:noProof/>
        </w:rPr>
        <w:t>, приет на 14 октомври 2015 г.,</w:t>
      </w:r>
    </w:p>
    <w:p>
      <w:pPr>
        <w:pStyle w:val="Tiret0"/>
        <w:rPr>
          <w:noProof/>
        </w:rPr>
      </w:pPr>
      <w:r>
        <w:rPr>
          <w:noProof/>
        </w:rPr>
        <w:t>коригиращ бюджет № 7/2015</w:t>
      </w:r>
      <w:r>
        <w:rPr>
          <w:rStyle w:val="FootnoteReference"/>
          <w:noProof/>
        </w:rPr>
        <w:footnoteReference w:id="10"/>
      </w:r>
      <w:r>
        <w:rPr>
          <w:noProof/>
        </w:rPr>
        <w:t>, приет на 14 октомври 2015 г.,</w:t>
      </w:r>
    </w:p>
    <w:p>
      <w:pPr>
        <w:spacing w:after="600"/>
        <w:jc w:val="both"/>
        <w:rPr>
          <w:noProof/>
        </w:rPr>
      </w:pPr>
      <w:r>
        <w:rPr>
          <w:noProof/>
        </w:rPr>
        <w:t>С настоящото Европейската комисия представя на Европейския парламент и на Съвета проект на коригиращ бюджет № 8 към бюджета за 2015 г.</w:t>
      </w:r>
    </w:p>
    <w:p>
      <w:pPr>
        <w:spacing w:after="240"/>
        <w:jc w:val="both"/>
        <w:rPr>
          <w:b/>
          <w:noProof/>
          <w:u w:val="single"/>
        </w:rPr>
      </w:pPr>
      <w:r>
        <w:rPr>
          <w:b/>
          <w:noProof/>
          <w:u w:val="single"/>
        </w:rPr>
        <w:t>ПРОМЕНИ В ПРИХОДНАТА И РАЗХОДНАТА ЧАСТ НА БЮДЖЕТА ПО РАЗДЕЛИ</w:t>
      </w:r>
    </w:p>
    <w:p>
      <w:pPr>
        <w:jc w:val="both"/>
        <w:rPr>
          <w:noProof/>
        </w:rPr>
      </w:pPr>
      <w:r>
        <w:rPr>
          <w:noProof/>
        </w:rPr>
        <w:t>Промените в приходната и разходната част на бюджета по раздели са достъпни в EUR-Lex (</w:t>
      </w:r>
      <w:hyperlink r:id="rId16">
        <w:r>
          <w:rPr>
            <w:rStyle w:val="Hyperlink"/>
            <w:noProof/>
            <w:color w:val="auto"/>
          </w:rPr>
          <w:t>http://eur-lex.europa.eu/budget/www/index-bg.htm</w:t>
        </w:r>
      </w:hyperlink>
      <w:r>
        <w:rPr>
          <w:noProof/>
        </w:rPr>
        <w:t>). За информация като бюджетно приложение се прилага версия на английски език на промените в тези части.</w:t>
      </w:r>
    </w:p>
    <w:p>
      <w:pPr>
        <w:rPr>
          <w:noProof/>
        </w:rPr>
        <w:sectPr>
          <w:headerReference w:type="even" r:id="rId17"/>
          <w:headerReference w:type="default" r:id="rId18"/>
          <w:footerReference w:type="even" r:id="rId19"/>
          <w:footerReference w:type="default" r:id="rId20"/>
          <w:headerReference w:type="first" r:id="rId21"/>
          <w:footerReference w:type="first" r:id="rId22"/>
          <w:pgSz w:w="11907" w:h="16839"/>
          <w:pgMar w:top="1418" w:right="1418" w:bottom="1418" w:left="1418" w:header="709" w:footer="709" w:gutter="0"/>
          <w:cols w:space="708"/>
          <w:docGrid w:linePitch="360"/>
        </w:sectPr>
      </w:pPr>
    </w:p>
    <w:p>
      <w:pPr>
        <w:pStyle w:val="TOCHeading"/>
        <w:rPr>
          <w:noProof/>
        </w:rPr>
      </w:pPr>
      <w:bookmarkStart w:id="2" w:name="_Toc294675429"/>
      <w:bookmarkStart w:id="3" w:name="_Toc272133653"/>
      <w:bookmarkStart w:id="4" w:name="_Toc294673202"/>
      <w:bookmarkStart w:id="5" w:name="_Toc318365572"/>
      <w:bookmarkStart w:id="6" w:name="_Toc361649893"/>
      <w:bookmarkStart w:id="7" w:name="_Toc387301589"/>
      <w:r>
        <w:rPr>
          <w:noProof/>
        </w:rPr>
        <w:lastRenderedPageBreak/>
        <w:t>СЪДЪРЖАНИЕ</w:t>
      </w:r>
    </w:p>
    <w:p>
      <w:pPr>
        <w:pStyle w:val="TOC1"/>
        <w:tabs>
          <w:tab w:val="left" w:pos="480"/>
          <w:tab w:val="right" w:leader="dot" w:pos="9061"/>
        </w:tabs>
        <w:rPr>
          <w:rFonts w:asciiTheme="minorHAnsi" w:eastAsiaTheme="minorEastAsia" w:hAnsiTheme="minorHAnsi" w:cstheme="minorBidi"/>
          <w:b w:val="0"/>
          <w:bCs w:val="0"/>
          <w:caps w:val="0"/>
          <w:noProof/>
          <w:sz w:val="22"/>
          <w:szCs w:val="22"/>
          <w:lang w:val="en-GB" w:eastAsia="en-GB" w:bidi="ar-SA"/>
        </w:rPr>
      </w:pPr>
      <w:r>
        <w:rPr>
          <w:noProof/>
        </w:rPr>
        <w:fldChar w:fldCharType="begin"/>
      </w:r>
      <w:r>
        <w:rPr>
          <w:noProof/>
        </w:rPr>
        <w:instrText xml:space="preserve"> TOC \o "1-3" \h \z \u </w:instrText>
      </w:r>
      <w:r>
        <w:rPr>
          <w:noProof/>
        </w:rPr>
        <w:fldChar w:fldCharType="separate"/>
      </w:r>
      <w:hyperlink w:anchor="_Toc432765132" w:history="1">
        <w:r>
          <w:rPr>
            <w:rStyle w:val="Hyperlink"/>
            <w:noProof/>
          </w:rPr>
          <w:t>1.</w:t>
        </w:r>
        <w:r>
          <w:rPr>
            <w:rFonts w:asciiTheme="minorHAnsi" w:eastAsiaTheme="minorEastAsia" w:hAnsiTheme="minorHAnsi" w:cstheme="minorBidi"/>
            <w:b w:val="0"/>
            <w:bCs w:val="0"/>
            <w:caps w:val="0"/>
            <w:noProof/>
            <w:sz w:val="22"/>
            <w:szCs w:val="22"/>
            <w:lang w:val="en-GB" w:eastAsia="en-GB" w:bidi="ar-SA"/>
          </w:rPr>
          <w:tab/>
        </w:r>
        <w:r>
          <w:rPr>
            <w:rStyle w:val="Hyperlink"/>
            <w:noProof/>
          </w:rPr>
          <w:t>Въведение</w:t>
        </w:r>
        <w:r>
          <w:rPr>
            <w:noProof/>
            <w:webHidden/>
          </w:rPr>
          <w:tab/>
        </w:r>
        <w:r>
          <w:rPr>
            <w:noProof/>
            <w:webHidden/>
          </w:rPr>
          <w:fldChar w:fldCharType="begin"/>
        </w:r>
        <w:r>
          <w:rPr>
            <w:noProof/>
            <w:webHidden/>
          </w:rPr>
          <w:instrText xml:space="preserve"> PAGEREF _Toc432765132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480"/>
          <w:tab w:val="right" w:leader="dot" w:pos="9061"/>
        </w:tabs>
        <w:rPr>
          <w:rFonts w:asciiTheme="minorHAnsi" w:eastAsiaTheme="minorEastAsia" w:hAnsiTheme="minorHAnsi" w:cstheme="minorBidi"/>
          <w:b w:val="0"/>
          <w:bCs w:val="0"/>
          <w:caps w:val="0"/>
          <w:noProof/>
          <w:sz w:val="22"/>
          <w:szCs w:val="22"/>
          <w:lang w:val="en-GB" w:eastAsia="en-GB" w:bidi="ar-SA"/>
        </w:rPr>
      </w:pPr>
      <w:hyperlink w:anchor="_Toc432765133" w:history="1">
        <w:r>
          <w:rPr>
            <w:rStyle w:val="Hyperlink"/>
            <w:noProof/>
          </w:rPr>
          <w:t>2.</w:t>
        </w:r>
        <w:r>
          <w:rPr>
            <w:rFonts w:asciiTheme="minorHAnsi" w:eastAsiaTheme="minorEastAsia" w:hAnsiTheme="minorHAnsi" w:cstheme="minorBidi"/>
            <w:b w:val="0"/>
            <w:bCs w:val="0"/>
            <w:caps w:val="0"/>
            <w:noProof/>
            <w:sz w:val="22"/>
            <w:szCs w:val="22"/>
            <w:lang w:val="en-GB" w:eastAsia="en-GB" w:bidi="ar-SA"/>
          </w:rPr>
          <w:tab/>
        </w:r>
        <w:r>
          <w:rPr>
            <w:rStyle w:val="Hyperlink"/>
            <w:noProof/>
          </w:rPr>
          <w:t>Собствени ресурси</w:t>
        </w:r>
        <w:r>
          <w:rPr>
            <w:noProof/>
            <w:webHidden/>
          </w:rPr>
          <w:tab/>
        </w:r>
        <w:r>
          <w:rPr>
            <w:noProof/>
            <w:webHidden/>
          </w:rPr>
          <w:fldChar w:fldCharType="begin"/>
        </w:r>
        <w:r>
          <w:rPr>
            <w:noProof/>
            <w:webHidden/>
          </w:rPr>
          <w:instrText xml:space="preserve"> PAGEREF _Toc432765133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960"/>
          <w:tab w:val="right" w:leader="dot" w:pos="9061"/>
        </w:tabs>
        <w:rPr>
          <w:rFonts w:asciiTheme="minorHAnsi" w:eastAsiaTheme="minorEastAsia" w:hAnsiTheme="minorHAnsi" w:cstheme="minorBidi"/>
          <w:smallCaps w:val="0"/>
          <w:noProof/>
          <w:sz w:val="22"/>
          <w:szCs w:val="22"/>
          <w:lang w:val="en-GB" w:eastAsia="en-GB" w:bidi="ar-SA"/>
        </w:rPr>
      </w:pPr>
      <w:hyperlink w:anchor="_Toc432765134" w:history="1">
        <w:r>
          <w:rPr>
            <w:rStyle w:val="Hyperlink"/>
            <w:noProof/>
          </w:rPr>
          <w:t>2.1.</w:t>
        </w:r>
        <w:r>
          <w:rPr>
            <w:rFonts w:asciiTheme="minorHAnsi" w:eastAsiaTheme="minorEastAsia" w:hAnsiTheme="minorHAnsi" w:cstheme="minorBidi"/>
            <w:smallCaps w:val="0"/>
            <w:noProof/>
            <w:sz w:val="22"/>
            <w:szCs w:val="22"/>
            <w:lang w:val="en-GB" w:eastAsia="en-GB" w:bidi="ar-SA"/>
          </w:rPr>
          <w:tab/>
        </w:r>
        <w:r>
          <w:rPr>
            <w:rStyle w:val="Hyperlink"/>
            <w:noProof/>
          </w:rPr>
          <w:t>Традиционни собствени ресурси</w:t>
        </w:r>
        <w:r>
          <w:rPr>
            <w:noProof/>
            <w:webHidden/>
          </w:rPr>
          <w:tab/>
        </w:r>
        <w:r>
          <w:rPr>
            <w:noProof/>
            <w:webHidden/>
          </w:rPr>
          <w:fldChar w:fldCharType="begin"/>
        </w:r>
        <w:r>
          <w:rPr>
            <w:noProof/>
            <w:webHidden/>
          </w:rPr>
          <w:instrText xml:space="preserve"> PAGEREF _Toc432765134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960"/>
          <w:tab w:val="right" w:leader="dot" w:pos="9061"/>
        </w:tabs>
        <w:rPr>
          <w:rFonts w:asciiTheme="minorHAnsi" w:eastAsiaTheme="minorEastAsia" w:hAnsiTheme="minorHAnsi" w:cstheme="minorBidi"/>
          <w:smallCaps w:val="0"/>
          <w:noProof/>
          <w:sz w:val="22"/>
          <w:szCs w:val="22"/>
          <w:lang w:val="en-GB" w:eastAsia="en-GB" w:bidi="ar-SA"/>
        </w:rPr>
      </w:pPr>
      <w:hyperlink w:anchor="_Toc432765135" w:history="1">
        <w:r>
          <w:rPr>
            <w:rStyle w:val="Hyperlink"/>
            <w:noProof/>
          </w:rPr>
          <w:t>2.2.</w:t>
        </w:r>
        <w:r>
          <w:rPr>
            <w:rFonts w:asciiTheme="minorHAnsi" w:eastAsiaTheme="minorEastAsia" w:hAnsiTheme="minorHAnsi" w:cstheme="minorBidi"/>
            <w:smallCaps w:val="0"/>
            <w:noProof/>
            <w:sz w:val="22"/>
            <w:szCs w:val="22"/>
            <w:lang w:val="en-GB" w:eastAsia="en-GB" w:bidi="ar-SA"/>
          </w:rPr>
          <w:tab/>
        </w:r>
        <w:r>
          <w:rPr>
            <w:rStyle w:val="Hyperlink"/>
            <w:noProof/>
          </w:rPr>
          <w:t>Салда на собствените ресурси от ДДС и от БНД</w:t>
        </w:r>
        <w:r>
          <w:rPr>
            <w:noProof/>
            <w:webHidden/>
          </w:rPr>
          <w:tab/>
        </w:r>
        <w:r>
          <w:rPr>
            <w:noProof/>
            <w:webHidden/>
          </w:rPr>
          <w:fldChar w:fldCharType="begin"/>
        </w:r>
        <w:r>
          <w:rPr>
            <w:noProof/>
            <w:webHidden/>
          </w:rPr>
          <w:instrText xml:space="preserve"> PAGEREF _Toc432765135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960"/>
          <w:tab w:val="right" w:leader="dot" w:pos="9061"/>
        </w:tabs>
        <w:rPr>
          <w:rFonts w:asciiTheme="minorHAnsi" w:eastAsiaTheme="minorEastAsia" w:hAnsiTheme="minorHAnsi" w:cstheme="minorBidi"/>
          <w:smallCaps w:val="0"/>
          <w:noProof/>
          <w:sz w:val="22"/>
          <w:szCs w:val="22"/>
          <w:lang w:val="en-GB" w:eastAsia="en-GB" w:bidi="ar-SA"/>
        </w:rPr>
      </w:pPr>
      <w:hyperlink w:anchor="_Toc432765136" w:history="1">
        <w:r>
          <w:rPr>
            <w:rStyle w:val="Hyperlink"/>
            <w:noProof/>
          </w:rPr>
          <w:t>2.3.</w:t>
        </w:r>
        <w:r>
          <w:rPr>
            <w:rFonts w:asciiTheme="minorHAnsi" w:eastAsiaTheme="minorEastAsia" w:hAnsiTheme="minorHAnsi" w:cstheme="minorBidi"/>
            <w:smallCaps w:val="0"/>
            <w:noProof/>
            <w:sz w:val="22"/>
            <w:szCs w:val="22"/>
            <w:lang w:val="en-GB" w:eastAsia="en-GB" w:bidi="ar-SA"/>
          </w:rPr>
          <w:tab/>
        </w:r>
        <w:r>
          <w:rPr>
            <w:rStyle w:val="Hyperlink"/>
            <w:noProof/>
          </w:rPr>
          <w:t>Други приходи</w:t>
        </w:r>
        <w:r>
          <w:rPr>
            <w:noProof/>
            <w:webHidden/>
          </w:rPr>
          <w:tab/>
        </w:r>
        <w:r>
          <w:rPr>
            <w:noProof/>
            <w:webHidden/>
          </w:rPr>
          <w:fldChar w:fldCharType="begin"/>
        </w:r>
        <w:r>
          <w:rPr>
            <w:noProof/>
            <w:webHidden/>
          </w:rPr>
          <w:instrText xml:space="preserve"> PAGEREF _Toc432765136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960"/>
          <w:tab w:val="right" w:leader="dot" w:pos="9061"/>
        </w:tabs>
        <w:rPr>
          <w:rFonts w:asciiTheme="minorHAnsi" w:eastAsiaTheme="minorEastAsia" w:hAnsiTheme="minorHAnsi" w:cstheme="minorBidi"/>
          <w:smallCaps w:val="0"/>
          <w:noProof/>
          <w:sz w:val="22"/>
          <w:szCs w:val="22"/>
          <w:lang w:val="en-GB" w:eastAsia="en-GB" w:bidi="ar-SA"/>
        </w:rPr>
      </w:pPr>
      <w:hyperlink w:anchor="_Toc432765137" w:history="1">
        <w:r>
          <w:rPr>
            <w:rStyle w:val="Hyperlink"/>
            <w:noProof/>
          </w:rPr>
          <w:t>2.4.</w:t>
        </w:r>
        <w:r>
          <w:rPr>
            <w:rFonts w:asciiTheme="minorHAnsi" w:eastAsiaTheme="minorEastAsia" w:hAnsiTheme="minorHAnsi" w:cstheme="minorBidi"/>
            <w:smallCaps w:val="0"/>
            <w:noProof/>
            <w:sz w:val="22"/>
            <w:szCs w:val="22"/>
            <w:lang w:val="en-GB" w:eastAsia="en-GB" w:bidi="ar-SA"/>
          </w:rPr>
          <w:tab/>
        </w:r>
        <w:r>
          <w:rPr>
            <w:rStyle w:val="Hyperlink"/>
            <w:noProof/>
          </w:rPr>
          <w:t>Вноски собствени ресурси от БНД</w:t>
        </w:r>
        <w:r>
          <w:rPr>
            <w:noProof/>
            <w:webHidden/>
          </w:rPr>
          <w:tab/>
        </w:r>
        <w:r>
          <w:rPr>
            <w:noProof/>
            <w:webHidden/>
          </w:rPr>
          <w:fldChar w:fldCharType="begin"/>
        </w:r>
        <w:r>
          <w:rPr>
            <w:noProof/>
            <w:webHidden/>
          </w:rPr>
          <w:instrText xml:space="preserve"> PAGEREF _Toc432765137 \h </w:instrText>
        </w:r>
        <w:r>
          <w:rPr>
            <w:noProof/>
            <w:webHidden/>
          </w:rPr>
        </w:r>
        <w:r>
          <w:rPr>
            <w:noProof/>
            <w:webHidden/>
          </w:rPr>
          <w:fldChar w:fldCharType="separate"/>
        </w:r>
        <w:r>
          <w:rPr>
            <w:noProof/>
            <w:webHidden/>
          </w:rPr>
          <w:t>6</w:t>
        </w:r>
        <w:r>
          <w:rPr>
            <w:noProof/>
            <w:webHidden/>
          </w:rPr>
          <w:fldChar w:fldCharType="end"/>
        </w:r>
      </w:hyperlink>
    </w:p>
    <w:p>
      <w:pPr>
        <w:pStyle w:val="TOC1"/>
        <w:tabs>
          <w:tab w:val="left" w:pos="480"/>
          <w:tab w:val="right" w:leader="dot" w:pos="9061"/>
        </w:tabs>
        <w:rPr>
          <w:rFonts w:asciiTheme="minorHAnsi" w:eastAsiaTheme="minorEastAsia" w:hAnsiTheme="minorHAnsi" w:cstheme="minorBidi"/>
          <w:b w:val="0"/>
          <w:bCs w:val="0"/>
          <w:caps w:val="0"/>
          <w:noProof/>
          <w:sz w:val="22"/>
          <w:szCs w:val="22"/>
          <w:lang w:val="en-GB" w:eastAsia="en-GB" w:bidi="ar-SA"/>
        </w:rPr>
      </w:pPr>
      <w:hyperlink w:anchor="_Toc432765138" w:history="1">
        <w:r>
          <w:rPr>
            <w:rStyle w:val="Hyperlink"/>
            <w:noProof/>
          </w:rPr>
          <w:t>3.</w:t>
        </w:r>
        <w:r>
          <w:rPr>
            <w:rFonts w:asciiTheme="minorHAnsi" w:eastAsiaTheme="minorEastAsia" w:hAnsiTheme="minorHAnsi" w:cstheme="minorBidi"/>
            <w:b w:val="0"/>
            <w:bCs w:val="0"/>
            <w:caps w:val="0"/>
            <w:noProof/>
            <w:sz w:val="22"/>
            <w:szCs w:val="22"/>
            <w:lang w:val="en-GB" w:eastAsia="en-GB" w:bidi="ar-SA"/>
          </w:rPr>
          <w:tab/>
        </w:r>
        <w:r>
          <w:rPr>
            <w:rStyle w:val="Hyperlink"/>
            <w:noProof/>
          </w:rPr>
          <w:t>Европейски надзорен орган по защита на данните (раздел IX)</w:t>
        </w:r>
        <w:r>
          <w:rPr>
            <w:noProof/>
            <w:webHidden/>
          </w:rPr>
          <w:tab/>
        </w:r>
        <w:r>
          <w:rPr>
            <w:noProof/>
            <w:webHidden/>
          </w:rPr>
          <w:fldChar w:fldCharType="begin"/>
        </w:r>
        <w:r>
          <w:rPr>
            <w:noProof/>
            <w:webHidden/>
          </w:rPr>
          <w:instrText xml:space="preserve"> PAGEREF _Toc432765138 \h </w:instrText>
        </w:r>
        <w:r>
          <w:rPr>
            <w:noProof/>
            <w:webHidden/>
          </w:rPr>
        </w:r>
        <w:r>
          <w:rPr>
            <w:noProof/>
            <w:webHidden/>
          </w:rPr>
          <w:fldChar w:fldCharType="separate"/>
        </w:r>
        <w:r>
          <w:rPr>
            <w:noProof/>
            <w:webHidden/>
          </w:rPr>
          <w:t>6</w:t>
        </w:r>
        <w:r>
          <w:rPr>
            <w:noProof/>
            <w:webHidden/>
          </w:rPr>
          <w:fldChar w:fldCharType="end"/>
        </w:r>
      </w:hyperlink>
    </w:p>
    <w:p>
      <w:pPr>
        <w:pStyle w:val="TOC1"/>
        <w:tabs>
          <w:tab w:val="left" w:pos="480"/>
          <w:tab w:val="right" w:leader="dot" w:pos="9061"/>
        </w:tabs>
        <w:rPr>
          <w:rFonts w:asciiTheme="minorHAnsi" w:eastAsiaTheme="minorEastAsia" w:hAnsiTheme="minorHAnsi" w:cstheme="minorBidi"/>
          <w:b w:val="0"/>
          <w:bCs w:val="0"/>
          <w:caps w:val="0"/>
          <w:noProof/>
          <w:sz w:val="22"/>
          <w:szCs w:val="22"/>
        </w:rPr>
      </w:pPr>
      <w:r>
        <w:rPr>
          <w:noProof/>
        </w:rPr>
        <w:fldChar w:fldCharType="end"/>
      </w:r>
    </w:p>
    <w:p>
      <w:pPr>
        <w:rPr>
          <w:noProof/>
        </w:rPr>
        <w:sectPr>
          <w:headerReference w:type="even" r:id="rId23"/>
          <w:headerReference w:type="default" r:id="rId24"/>
          <w:footerReference w:type="even" r:id="rId25"/>
          <w:footerReference w:type="default" r:id="rId26"/>
          <w:headerReference w:type="first" r:id="rId27"/>
          <w:footerReference w:type="first" r:id="rId28"/>
          <w:pgSz w:w="11907" w:h="16839"/>
          <w:pgMar w:top="1418" w:right="1418" w:bottom="1418" w:left="1418" w:header="709" w:footer="709" w:gutter="0"/>
          <w:cols w:space="720"/>
        </w:sectPr>
      </w:pPr>
    </w:p>
    <w:p>
      <w:pPr>
        <w:pStyle w:val="ManualHeading1"/>
        <w:spacing w:before="240"/>
        <w:ind w:left="851" w:hanging="851"/>
        <w:rPr>
          <w:noProof/>
        </w:rPr>
      </w:pPr>
      <w:bookmarkStart w:id="8" w:name="_Toc385506031"/>
      <w:bookmarkStart w:id="9" w:name="_Toc432150794"/>
      <w:bookmarkStart w:id="10" w:name="_Toc432765132"/>
      <w:bookmarkStart w:id="11" w:name="_Toc351469332"/>
      <w:bookmarkStart w:id="12" w:name="_Toc361649879"/>
      <w:r>
        <w:rPr>
          <w:noProof/>
        </w:rPr>
        <w:t>1.</w:t>
      </w:r>
      <w:r>
        <w:rPr>
          <w:noProof/>
        </w:rPr>
        <w:tab/>
        <w:t>Въведение</w:t>
      </w:r>
      <w:bookmarkEnd w:id="8"/>
      <w:bookmarkEnd w:id="9"/>
      <w:bookmarkEnd w:id="10"/>
    </w:p>
    <w:p>
      <w:pPr>
        <w:spacing w:before="120" w:after="120"/>
        <w:jc w:val="both"/>
        <w:rPr>
          <w:noProof/>
        </w:rPr>
      </w:pPr>
      <w:r>
        <w:rPr>
          <w:noProof/>
        </w:rPr>
        <w:t>Проект на коригиращ бюджет (ПКБ) № 8 за 2015 г. се отнася до следното:</w:t>
      </w:r>
    </w:p>
    <w:p>
      <w:pPr>
        <w:pStyle w:val="ListDash"/>
        <w:rPr>
          <w:noProof/>
        </w:rPr>
      </w:pPr>
      <w:r>
        <w:rPr>
          <w:noProof/>
        </w:rPr>
        <w:t>преразглеждане на прогнозата за традиционните собствени ресурси (мита);</w:t>
      </w:r>
    </w:p>
    <w:p>
      <w:pPr>
        <w:pStyle w:val="ListDash"/>
        <w:rPr>
          <w:noProof/>
        </w:rPr>
      </w:pPr>
      <w:r>
        <w:rPr>
          <w:noProof/>
        </w:rPr>
        <w:t>включване в бюджета на остатъка от салдата на собствените ресурси от ДДС и от БНД за 2014 г.;</w:t>
      </w:r>
    </w:p>
    <w:p>
      <w:pPr>
        <w:pStyle w:val="ListDash"/>
        <w:rPr>
          <w:noProof/>
        </w:rPr>
      </w:pPr>
      <w:r>
        <w:rPr>
          <w:noProof/>
        </w:rPr>
        <w:t>включване в бюджета на салдата на собствените ресурси от ДДС и от БНД за 2015 г.;</w:t>
      </w:r>
    </w:p>
    <w:p>
      <w:pPr>
        <w:pStyle w:val="ListDash"/>
        <w:rPr>
          <w:noProof/>
        </w:rPr>
      </w:pPr>
      <w:r>
        <w:rPr>
          <w:noProof/>
        </w:rPr>
        <w:t>актуализиране на прогнозата за другите приходи;</w:t>
      </w:r>
    </w:p>
    <w:p>
      <w:pPr>
        <w:pStyle w:val="ListDash"/>
        <w:rPr>
          <w:noProof/>
        </w:rPr>
      </w:pPr>
      <w:r>
        <w:rPr>
          <w:noProof/>
        </w:rPr>
        <w:t>намаление със 123 474 EUR както на бюджетните кредити за поети задължения, така и на бюджетните кредити за плащания в бюджета на Европейския надзорен орган по защита на данните.</w:t>
      </w:r>
    </w:p>
    <w:p>
      <w:pPr>
        <w:pStyle w:val="ListDash"/>
        <w:numPr>
          <w:ilvl w:val="0"/>
          <w:numId w:val="0"/>
        </w:numPr>
        <w:rPr>
          <w:noProof/>
        </w:rPr>
      </w:pPr>
      <w:r>
        <w:rPr>
          <w:noProof/>
        </w:rPr>
        <w:t>Общото отражение от гледна точка на приходите е намаление на вноската на база БНД в размер на 9,4 млрд. EUR.</w:t>
      </w:r>
    </w:p>
    <w:p>
      <w:pPr>
        <w:pStyle w:val="ManualHeading1"/>
        <w:spacing w:before="240"/>
        <w:ind w:left="851" w:hanging="851"/>
        <w:rPr>
          <w:noProof/>
        </w:rPr>
      </w:pPr>
      <w:bookmarkStart w:id="13" w:name="_Toc358885558"/>
      <w:bookmarkStart w:id="14" w:name="_Toc399926619"/>
      <w:bookmarkStart w:id="15" w:name="_Toc432150795"/>
      <w:bookmarkStart w:id="16" w:name="_Toc432765133"/>
      <w:bookmarkStart w:id="17" w:name="_Toc294673190"/>
      <w:bookmarkStart w:id="18" w:name="_Toc326922986"/>
      <w:r>
        <w:rPr>
          <w:noProof/>
        </w:rPr>
        <w:t>2.</w:t>
      </w:r>
      <w:r>
        <w:rPr>
          <w:noProof/>
        </w:rPr>
        <w:tab/>
        <w:t>Собствени ресурси</w:t>
      </w:r>
      <w:bookmarkEnd w:id="13"/>
      <w:bookmarkEnd w:id="14"/>
      <w:bookmarkEnd w:id="15"/>
      <w:bookmarkEnd w:id="16"/>
    </w:p>
    <w:p>
      <w:pPr>
        <w:spacing w:before="120" w:after="120"/>
        <w:jc w:val="both"/>
        <w:rPr>
          <w:noProof/>
        </w:rPr>
      </w:pPr>
      <w:r>
        <w:rPr>
          <w:noProof/>
        </w:rPr>
        <w:t>В съответствие с член 16 от Регламент (ЕО, Евратом) № 1150/2000 на Съвета от 22 май 2000 г.</w:t>
      </w:r>
      <w:r>
        <w:rPr>
          <w:noProof/>
          <w:vertAlign w:val="superscript"/>
        </w:rPr>
        <w:footnoteReference w:id="11"/>
      </w:r>
      <w:r>
        <w:rPr>
          <w:noProof/>
        </w:rPr>
        <w:t xml:space="preserve"> Комисията преразгледа прогнозите за собствените ресурси. Това преразглеждане се отнася по-специално до традиционните собствени ресурси и до салдата по ДДС (данък върху добавената стойност) и по БНД (брутен национален доход).</w:t>
      </w:r>
    </w:p>
    <w:p>
      <w:pPr>
        <w:pStyle w:val="ManualHeading2"/>
        <w:rPr>
          <w:noProof/>
        </w:rPr>
      </w:pPr>
      <w:bookmarkStart w:id="19" w:name="_Toc399926620"/>
      <w:bookmarkStart w:id="20" w:name="_Toc432150796"/>
      <w:bookmarkStart w:id="21" w:name="_Toc432765134"/>
      <w:r>
        <w:rPr>
          <w:noProof/>
        </w:rPr>
        <w:t>2.1.</w:t>
      </w:r>
      <w:r>
        <w:rPr>
          <w:noProof/>
        </w:rPr>
        <w:tab/>
        <w:t>Традиционни собствени ресурси</w:t>
      </w:r>
      <w:bookmarkEnd w:id="19"/>
      <w:bookmarkEnd w:id="20"/>
      <w:bookmarkEnd w:id="21"/>
      <w:r>
        <w:rPr>
          <w:noProof/>
        </w:rPr>
        <w:t xml:space="preserve"> </w:t>
      </w:r>
    </w:p>
    <w:p>
      <w:pPr>
        <w:spacing w:before="120" w:after="120"/>
        <w:jc w:val="both"/>
        <w:rPr>
          <w:noProof/>
        </w:rPr>
      </w:pPr>
      <w:r>
        <w:rPr>
          <w:noProof/>
        </w:rPr>
        <w:t>Комисията предлага традиционните собствени ресурси (ТСР) в глава 12 от приходната част на бюджета да се увеличат с 800 млн. EUR, за да се отрази тенденцията по отношение на митата, предоставени на бюджета до този момент. Ако новите данни за последното тримесечие на годината доведат до съществени промени в тази оценка, е възможно в хода на бюджетната процедура Комисията да промени представените от нея стойности.</w:t>
      </w:r>
    </w:p>
    <w:p>
      <w:pPr>
        <w:pStyle w:val="ManualHeading2"/>
        <w:rPr>
          <w:noProof/>
        </w:rPr>
      </w:pPr>
      <w:bookmarkStart w:id="22" w:name="_Toc399926621"/>
      <w:bookmarkStart w:id="23" w:name="_Toc432150797"/>
      <w:bookmarkStart w:id="24" w:name="_Toc432765135"/>
      <w:r>
        <w:rPr>
          <w:noProof/>
        </w:rPr>
        <w:t>2.2.</w:t>
      </w:r>
      <w:r>
        <w:rPr>
          <w:noProof/>
        </w:rPr>
        <w:tab/>
        <w:t>Салда на собствените ресурси от ДДС и от БНД</w:t>
      </w:r>
      <w:bookmarkEnd w:id="22"/>
      <w:bookmarkEnd w:id="23"/>
      <w:bookmarkEnd w:id="24"/>
    </w:p>
    <w:p>
      <w:pPr>
        <w:spacing w:before="120" w:after="120"/>
        <w:rPr>
          <w:i/>
          <w:noProof/>
        </w:rPr>
      </w:pPr>
      <w:r>
        <w:rPr>
          <w:i/>
          <w:noProof/>
        </w:rPr>
        <w:t>Оставаща част от салдата по ДДС и по БНД за 2014 г.</w:t>
      </w:r>
    </w:p>
    <w:p>
      <w:pPr>
        <w:spacing w:before="120" w:after="120"/>
        <w:jc w:val="both"/>
        <w:rPr>
          <w:noProof/>
        </w:rPr>
      </w:pPr>
      <w:r>
        <w:rPr>
          <w:noProof/>
        </w:rPr>
        <w:t>През ноември 2014 г. Комисията изчисли салдата по ДДС и по БНД за 2013 г. и за предходни години. По принцип тези салда трябваше да бъдат записани в сметката за собствените ресурси на първия работен ден на декември 2014 г. Тъй като тези салда бяха изключително големи по размер (9,5 млрд. EUR), въз основа на предложението на Комисията на 18 декември 2014 г. Съветът прие Регламент (ЕС, Евратом) № 1377/2014</w:t>
      </w:r>
      <w:r>
        <w:rPr>
          <w:rStyle w:val="FootnoteReference"/>
          <w:noProof/>
        </w:rPr>
        <w:footnoteReference w:id="12"/>
      </w:r>
      <w:r>
        <w:rPr>
          <w:noProof/>
        </w:rPr>
        <w:t>, който позволи със задна дата държавите членки при определени условия да отсрочат предоставянето на салдата по ДДС и по БНД до първия работен ден на септември 2015 г.</w:t>
      </w:r>
    </w:p>
    <w:p>
      <w:pPr>
        <w:spacing w:before="120" w:after="120"/>
        <w:jc w:val="both"/>
        <w:rPr>
          <w:noProof/>
        </w:rPr>
      </w:pPr>
      <w:r>
        <w:rPr>
          <w:noProof/>
        </w:rPr>
        <w:t>Държавите членки, които искат да ползват отсрочено предоставяне на средствата, изпратиха на Комисията преди първия работен ден на декември 2014 г. официално искане с график на плащанията. По този начин 6 държави членки отсрочиха плащанията си до 2015 г.</w:t>
      </w:r>
    </w:p>
    <w:p>
      <w:pPr>
        <w:spacing w:before="120" w:after="120"/>
        <w:jc w:val="both"/>
        <w:rPr>
          <w:noProof/>
        </w:rPr>
      </w:pPr>
      <w:r>
        <w:rPr>
          <w:noProof/>
        </w:rPr>
        <w:t>На 17 декември 2014 г. Европейският парламент и Съветът приеха КБ5/2014</w:t>
      </w:r>
      <w:r>
        <w:rPr>
          <w:rStyle w:val="FootnoteReference"/>
          <w:noProof/>
        </w:rPr>
        <w:footnoteReference w:id="13"/>
      </w:r>
      <w:r>
        <w:rPr>
          <w:noProof/>
        </w:rPr>
        <w:t>, който включва салдата по ДДС и по БНД, предоставени през 2014 г., в бюджета за 2014 г. Тези салда са в размер на общо около 4 млрд. EUR.</w:t>
      </w:r>
    </w:p>
    <w:p>
      <w:pPr>
        <w:spacing w:before="120" w:after="120"/>
        <w:jc w:val="both"/>
        <w:rPr>
          <w:noProof/>
        </w:rPr>
      </w:pPr>
      <w:r>
        <w:rPr>
          <w:noProof/>
        </w:rPr>
        <w:t>До 1 септември 2015 г. бяха извършени всички отсрочени плащания на салдата по ДДС и по БНД. Поради това Комисията предлага да се впишат 5 723,9 млн. EUR (отрицателна сума от 211 млн. EUR за салдата по ДДС в глава 31 и положителна сума от 5 934,9 млн. EUR за салдата по БНД в глава 32).</w:t>
      </w:r>
    </w:p>
    <w:p>
      <w:pPr>
        <w:tabs>
          <w:tab w:val="left" w:pos="993"/>
        </w:tabs>
        <w:spacing w:before="120" w:after="120"/>
        <w:jc w:val="both"/>
        <w:rPr>
          <w:i/>
          <w:noProof/>
        </w:rPr>
      </w:pPr>
    </w:p>
    <w:p>
      <w:pPr>
        <w:tabs>
          <w:tab w:val="left" w:pos="993"/>
        </w:tabs>
        <w:spacing w:before="120" w:after="120"/>
        <w:jc w:val="both"/>
        <w:rPr>
          <w:i/>
          <w:noProof/>
        </w:rPr>
      </w:pPr>
      <w:r>
        <w:rPr>
          <w:i/>
          <w:noProof/>
        </w:rPr>
        <w:t>Салда по ДДС и по БНД за 2015 г.</w:t>
      </w:r>
    </w:p>
    <w:p>
      <w:pPr>
        <w:spacing w:before="120" w:after="120"/>
        <w:jc w:val="both"/>
        <w:rPr>
          <w:noProof/>
        </w:rPr>
      </w:pPr>
      <w:r>
        <w:rPr>
          <w:noProof/>
        </w:rPr>
        <w:t>На първия работен ден на декември 2015 г. държавите членки трябва да предоставят салдата на собствените ресурси от ДДС и от БНД за 2014 г. и за предходни години. Що се отнася до салдата на собствените ресурси от ДДС и от БНД за предходни години, въз основа на наличната информация Комисията предлага да се впишат 18,2 млн. EUR за салдата по ДДС и 1 391,2 млн. EUR за салдата по БНД (с общо отражение в размер на 1 409,4 млн. EUR), което води до съответно намаление на вноските по БНД на държавите членки</w:t>
      </w:r>
      <w:r>
        <w:rPr>
          <w:rStyle w:val="FootnoteReference"/>
          <w:noProof/>
        </w:rPr>
        <w:footnoteReference w:id="14"/>
      </w:r>
      <w:r>
        <w:rPr>
          <w:noProof/>
        </w:rPr>
        <w:t>. Тази положителна сума е свързана с глави 31</w:t>
      </w:r>
      <w:r>
        <w:rPr>
          <w:noProof/>
          <w:vertAlign w:val="superscript"/>
        </w:rPr>
        <w:footnoteReference w:id="15"/>
      </w:r>
      <w:r>
        <w:rPr>
          <w:noProof/>
        </w:rPr>
        <w:t xml:space="preserve"> и 32</w:t>
      </w:r>
      <w:r>
        <w:rPr>
          <w:noProof/>
          <w:vertAlign w:val="superscript"/>
        </w:rPr>
        <w:footnoteReference w:id="16"/>
      </w:r>
      <w:r>
        <w:rPr>
          <w:noProof/>
        </w:rPr>
        <w:t xml:space="preserve"> от приходната част на бюджета.</w:t>
      </w:r>
    </w:p>
    <w:p>
      <w:pPr>
        <w:spacing w:before="120" w:after="120"/>
        <w:jc w:val="both"/>
        <w:rPr>
          <w:noProof/>
        </w:rPr>
      </w:pPr>
      <w:r>
        <w:rPr>
          <w:noProof/>
        </w:rPr>
        <w:t>На този етап изчисленията на салдата на държавите членки не са окончателни поради все още продължаващата проверка на данните за ДДС и за БНД. Вследствие на това може да се наложи Комисията да промени стойностите в хода на процедурата за настоящия ПКБ.</w:t>
      </w:r>
    </w:p>
    <w:p>
      <w:pPr>
        <w:pStyle w:val="ManualHeading2"/>
        <w:rPr>
          <w:noProof/>
        </w:rPr>
      </w:pPr>
      <w:bookmarkStart w:id="25" w:name="_Toc432150798"/>
      <w:bookmarkStart w:id="26" w:name="_Toc432765136"/>
      <w:r>
        <w:rPr>
          <w:noProof/>
        </w:rPr>
        <w:t>2.3.</w:t>
      </w:r>
      <w:r>
        <w:rPr>
          <w:noProof/>
        </w:rPr>
        <w:tab/>
        <w:t>Други приходи</w:t>
      </w:r>
      <w:bookmarkEnd w:id="25"/>
      <w:bookmarkEnd w:id="26"/>
    </w:p>
    <w:p>
      <w:pPr>
        <w:autoSpaceDE w:val="0"/>
        <w:autoSpaceDN w:val="0"/>
        <w:adjustRightInd w:val="0"/>
        <w:spacing w:after="120"/>
        <w:rPr>
          <w:noProof/>
        </w:rPr>
      </w:pPr>
      <w:r>
        <w:rPr>
          <w:noProof/>
        </w:rPr>
        <w:t>Като се вземат предвид сумите, които на този етап от годината са получени или вероятно ще бъдат получени, се предлага първоначалните прогнози да се увеличат с нетна сума от 1 470 млн. EUR. Подробностите за всеки бюджетен ред са представени в таблицата по-долу.</w:t>
      </w:r>
    </w:p>
    <w:tbl>
      <w:tblPr>
        <w:tblW w:w="9994" w:type="dxa"/>
        <w:tblInd w:w="94" w:type="dxa"/>
        <w:tblLook w:val="04A0" w:firstRow="1" w:lastRow="0" w:firstColumn="1" w:lastColumn="0" w:noHBand="0" w:noVBand="1"/>
      </w:tblPr>
      <w:tblGrid>
        <w:gridCol w:w="5294"/>
        <w:gridCol w:w="1440"/>
        <w:gridCol w:w="1640"/>
        <w:gridCol w:w="1620"/>
      </w:tblGrid>
      <w:tr>
        <w:trPr>
          <w:trHeight w:val="405"/>
        </w:trPr>
        <w:tc>
          <w:tcPr>
            <w:tcW w:w="5294" w:type="dxa"/>
            <w:tcBorders>
              <w:top w:val="single" w:sz="8" w:space="0" w:color="auto"/>
              <w:left w:val="single" w:sz="8" w:space="0" w:color="auto"/>
              <w:bottom w:val="single" w:sz="8" w:space="0" w:color="auto"/>
              <w:right w:val="single" w:sz="8" w:space="0" w:color="auto"/>
            </w:tcBorders>
            <w:shd w:val="clear" w:color="auto" w:fill="E0E0E0"/>
            <w:noWrap/>
            <w:vAlign w:val="center"/>
            <w:hideMark/>
          </w:tcPr>
          <w:p>
            <w:pPr>
              <w:spacing w:before="60" w:after="60"/>
              <w:jc w:val="center"/>
              <w:rPr>
                <w:b/>
                <w:noProof/>
                <w:sz w:val="20"/>
                <w:szCs w:val="20"/>
              </w:rPr>
            </w:pPr>
            <w:r>
              <w:rPr>
                <w:noProof/>
              </w:rPr>
              <w:br w:type="page"/>
            </w:r>
            <w:r>
              <w:rPr>
                <w:b/>
                <w:noProof/>
                <w:sz w:val="20"/>
              </w:rPr>
              <w:t>Приходни бюджетни редове</w:t>
            </w:r>
          </w:p>
        </w:tc>
        <w:tc>
          <w:tcPr>
            <w:tcW w:w="1440" w:type="dxa"/>
            <w:tcBorders>
              <w:top w:val="single" w:sz="8" w:space="0" w:color="auto"/>
              <w:left w:val="nil"/>
              <w:bottom w:val="single" w:sz="8" w:space="0" w:color="auto"/>
              <w:right w:val="single" w:sz="8" w:space="0" w:color="auto"/>
            </w:tcBorders>
            <w:shd w:val="clear" w:color="auto" w:fill="E0E0E0"/>
            <w:vAlign w:val="center"/>
            <w:hideMark/>
          </w:tcPr>
          <w:p>
            <w:pPr>
              <w:spacing w:before="60" w:after="60"/>
              <w:jc w:val="center"/>
              <w:rPr>
                <w:b/>
                <w:noProof/>
                <w:sz w:val="20"/>
                <w:szCs w:val="20"/>
              </w:rPr>
            </w:pPr>
            <w:r>
              <w:rPr>
                <w:b/>
                <w:noProof/>
                <w:sz w:val="20"/>
              </w:rPr>
              <w:t>Бюджет за 2015 г.</w:t>
            </w:r>
          </w:p>
        </w:tc>
        <w:tc>
          <w:tcPr>
            <w:tcW w:w="1640" w:type="dxa"/>
            <w:tcBorders>
              <w:top w:val="single" w:sz="8" w:space="0" w:color="auto"/>
              <w:left w:val="nil"/>
              <w:bottom w:val="single" w:sz="8" w:space="0" w:color="auto"/>
              <w:right w:val="single" w:sz="8" w:space="0" w:color="auto"/>
            </w:tcBorders>
            <w:shd w:val="clear" w:color="auto" w:fill="E0E0E0"/>
            <w:vAlign w:val="center"/>
            <w:hideMark/>
          </w:tcPr>
          <w:p>
            <w:pPr>
              <w:spacing w:before="60" w:after="60"/>
              <w:jc w:val="center"/>
              <w:rPr>
                <w:b/>
                <w:noProof/>
                <w:sz w:val="20"/>
                <w:szCs w:val="20"/>
              </w:rPr>
            </w:pPr>
            <w:r>
              <w:rPr>
                <w:b/>
                <w:noProof/>
                <w:sz w:val="20"/>
              </w:rPr>
              <w:t>ПКБ 8/2015</w:t>
            </w:r>
          </w:p>
        </w:tc>
        <w:tc>
          <w:tcPr>
            <w:tcW w:w="1620" w:type="dxa"/>
            <w:tcBorders>
              <w:top w:val="single" w:sz="8" w:space="0" w:color="auto"/>
              <w:left w:val="nil"/>
              <w:bottom w:val="single" w:sz="8" w:space="0" w:color="auto"/>
              <w:right w:val="single" w:sz="8" w:space="0" w:color="auto"/>
            </w:tcBorders>
            <w:shd w:val="clear" w:color="auto" w:fill="E0E0E0"/>
            <w:vAlign w:val="center"/>
            <w:hideMark/>
          </w:tcPr>
          <w:p>
            <w:pPr>
              <w:spacing w:before="60" w:after="60"/>
              <w:jc w:val="center"/>
              <w:rPr>
                <w:b/>
                <w:noProof/>
                <w:sz w:val="20"/>
                <w:szCs w:val="20"/>
              </w:rPr>
            </w:pPr>
            <w:r>
              <w:rPr>
                <w:b/>
                <w:noProof/>
                <w:sz w:val="20"/>
              </w:rPr>
              <w:t>Нова сума</w:t>
            </w:r>
          </w:p>
        </w:tc>
      </w:tr>
      <w:tr>
        <w:trPr>
          <w:trHeight w:val="20"/>
        </w:trPr>
        <w:tc>
          <w:tcPr>
            <w:tcW w:w="5294" w:type="dxa"/>
            <w:tcBorders>
              <w:top w:val="nil"/>
              <w:left w:val="single" w:sz="8" w:space="0" w:color="auto"/>
              <w:bottom w:val="single" w:sz="8" w:space="0" w:color="auto"/>
              <w:right w:val="single" w:sz="8" w:space="0" w:color="auto"/>
            </w:tcBorders>
            <w:noWrap/>
            <w:vAlign w:val="center"/>
          </w:tcPr>
          <w:p>
            <w:pPr>
              <w:spacing w:before="60" w:after="60"/>
              <w:jc w:val="both"/>
              <w:rPr>
                <w:noProof/>
                <w:sz w:val="20"/>
                <w:szCs w:val="20"/>
              </w:rPr>
            </w:pPr>
            <w:r>
              <w:rPr>
                <w:noProof/>
                <w:sz w:val="20"/>
              </w:rPr>
              <w:t>5 2 1 — Приходи от инвестиции или отпуснати заеми, банкови и други лихви по сметки на организации, получаващи субсидии, и прехвърлени на Комисията</w:t>
            </w:r>
          </w:p>
        </w:tc>
        <w:tc>
          <w:tcPr>
            <w:tcW w:w="1440" w:type="dxa"/>
            <w:tcBorders>
              <w:top w:val="nil"/>
              <w:left w:val="nil"/>
              <w:bottom w:val="single" w:sz="8" w:space="0" w:color="auto"/>
              <w:right w:val="single" w:sz="8" w:space="0" w:color="auto"/>
            </w:tcBorders>
          </w:tcPr>
          <w:p>
            <w:pPr>
              <w:spacing w:before="60" w:after="60"/>
              <w:jc w:val="right"/>
              <w:rPr>
                <w:noProof/>
                <w:sz w:val="20"/>
                <w:szCs w:val="20"/>
              </w:rPr>
            </w:pPr>
            <w:r>
              <w:rPr>
                <w:noProof/>
                <w:sz w:val="20"/>
              </w:rPr>
              <w:t>10 000 000</w:t>
            </w:r>
          </w:p>
        </w:tc>
        <w:tc>
          <w:tcPr>
            <w:tcW w:w="1640" w:type="dxa"/>
            <w:tcBorders>
              <w:top w:val="nil"/>
              <w:left w:val="nil"/>
              <w:bottom w:val="single" w:sz="8" w:space="0" w:color="auto"/>
              <w:right w:val="single" w:sz="8" w:space="0" w:color="auto"/>
            </w:tcBorders>
          </w:tcPr>
          <w:p>
            <w:pPr>
              <w:spacing w:before="60" w:after="60"/>
              <w:jc w:val="right"/>
              <w:rPr>
                <w:noProof/>
                <w:sz w:val="20"/>
                <w:szCs w:val="20"/>
              </w:rPr>
            </w:pPr>
            <w:r>
              <w:rPr>
                <w:noProof/>
                <w:sz w:val="20"/>
              </w:rPr>
              <w:t>40 000 000</w:t>
            </w:r>
          </w:p>
        </w:tc>
        <w:tc>
          <w:tcPr>
            <w:tcW w:w="1620" w:type="dxa"/>
            <w:tcBorders>
              <w:top w:val="nil"/>
              <w:left w:val="nil"/>
              <w:bottom w:val="single" w:sz="8" w:space="0" w:color="auto"/>
              <w:right w:val="single" w:sz="8" w:space="0" w:color="auto"/>
            </w:tcBorders>
          </w:tcPr>
          <w:p>
            <w:pPr>
              <w:spacing w:before="60" w:after="60"/>
              <w:jc w:val="right"/>
              <w:rPr>
                <w:noProof/>
                <w:sz w:val="20"/>
                <w:szCs w:val="20"/>
              </w:rPr>
            </w:pPr>
            <w:r>
              <w:rPr>
                <w:noProof/>
                <w:sz w:val="20"/>
              </w:rPr>
              <w:t>50 000 000</w:t>
            </w:r>
          </w:p>
          <w:p>
            <w:pPr>
              <w:spacing w:before="60" w:after="60"/>
              <w:jc w:val="right"/>
              <w:rPr>
                <w:noProof/>
                <w:sz w:val="20"/>
                <w:szCs w:val="20"/>
              </w:rPr>
            </w:pPr>
          </w:p>
        </w:tc>
      </w:tr>
      <w:tr>
        <w:trPr>
          <w:trHeight w:val="20"/>
        </w:trPr>
        <w:tc>
          <w:tcPr>
            <w:tcW w:w="5294" w:type="dxa"/>
            <w:tcBorders>
              <w:top w:val="nil"/>
              <w:left w:val="single" w:sz="8" w:space="0" w:color="auto"/>
              <w:bottom w:val="single" w:sz="8" w:space="0" w:color="auto"/>
              <w:right w:val="single" w:sz="8" w:space="0" w:color="auto"/>
            </w:tcBorders>
            <w:noWrap/>
            <w:vAlign w:val="center"/>
            <w:hideMark/>
          </w:tcPr>
          <w:p>
            <w:pPr>
              <w:spacing w:before="60" w:after="60"/>
              <w:jc w:val="both"/>
              <w:rPr>
                <w:noProof/>
                <w:sz w:val="20"/>
                <w:szCs w:val="20"/>
              </w:rPr>
            </w:pPr>
            <w:r>
              <w:rPr>
                <w:noProof/>
                <w:sz w:val="20"/>
              </w:rPr>
              <w:t>7 0 0 0 — Дължими лихви за закъснели плащания по сметките към националните хазни на държавите членки</w:t>
            </w:r>
          </w:p>
        </w:tc>
        <w:tc>
          <w:tcPr>
            <w:tcW w:w="1440" w:type="dxa"/>
            <w:tcBorders>
              <w:top w:val="nil"/>
              <w:left w:val="nil"/>
              <w:bottom w:val="single" w:sz="8" w:space="0" w:color="auto"/>
              <w:right w:val="single" w:sz="8" w:space="0" w:color="auto"/>
            </w:tcBorders>
            <w:hideMark/>
          </w:tcPr>
          <w:p>
            <w:pPr>
              <w:spacing w:before="60" w:after="60"/>
              <w:jc w:val="right"/>
              <w:rPr>
                <w:noProof/>
                <w:sz w:val="20"/>
                <w:szCs w:val="20"/>
              </w:rPr>
            </w:pPr>
            <w:r>
              <w:rPr>
                <w:noProof/>
                <w:sz w:val="20"/>
              </w:rPr>
              <w:t xml:space="preserve">5 000 000 </w:t>
            </w:r>
          </w:p>
        </w:tc>
        <w:tc>
          <w:tcPr>
            <w:tcW w:w="1640" w:type="dxa"/>
            <w:tcBorders>
              <w:top w:val="nil"/>
              <w:left w:val="nil"/>
              <w:bottom w:val="single" w:sz="8" w:space="0" w:color="auto"/>
              <w:right w:val="single" w:sz="8" w:space="0" w:color="auto"/>
            </w:tcBorders>
          </w:tcPr>
          <w:p>
            <w:pPr>
              <w:spacing w:before="60" w:after="60"/>
              <w:jc w:val="right"/>
              <w:rPr>
                <w:noProof/>
                <w:sz w:val="20"/>
                <w:szCs w:val="20"/>
              </w:rPr>
            </w:pPr>
            <w:r>
              <w:rPr>
                <w:noProof/>
                <w:sz w:val="20"/>
              </w:rPr>
              <w:t>5 000 000</w:t>
            </w:r>
          </w:p>
        </w:tc>
        <w:tc>
          <w:tcPr>
            <w:tcW w:w="1620" w:type="dxa"/>
            <w:tcBorders>
              <w:top w:val="nil"/>
              <w:left w:val="nil"/>
              <w:bottom w:val="single" w:sz="8" w:space="0" w:color="auto"/>
              <w:right w:val="single" w:sz="8" w:space="0" w:color="auto"/>
            </w:tcBorders>
          </w:tcPr>
          <w:p>
            <w:pPr>
              <w:spacing w:before="60" w:after="60"/>
              <w:jc w:val="right"/>
              <w:rPr>
                <w:noProof/>
                <w:sz w:val="20"/>
                <w:szCs w:val="20"/>
              </w:rPr>
            </w:pPr>
            <w:r>
              <w:rPr>
                <w:noProof/>
                <w:sz w:val="20"/>
              </w:rPr>
              <w:t>10 000 000</w:t>
            </w:r>
          </w:p>
        </w:tc>
      </w:tr>
      <w:tr>
        <w:trPr>
          <w:trHeight w:val="20"/>
        </w:trPr>
        <w:tc>
          <w:tcPr>
            <w:tcW w:w="5294" w:type="dxa"/>
            <w:tcBorders>
              <w:top w:val="nil"/>
              <w:left w:val="single" w:sz="8" w:space="0" w:color="auto"/>
              <w:bottom w:val="single" w:sz="8" w:space="0" w:color="auto"/>
              <w:right w:val="single" w:sz="8" w:space="0" w:color="auto"/>
            </w:tcBorders>
            <w:vAlign w:val="center"/>
            <w:hideMark/>
          </w:tcPr>
          <w:p>
            <w:pPr>
              <w:spacing w:before="60" w:after="60"/>
              <w:jc w:val="both"/>
              <w:rPr>
                <w:noProof/>
                <w:sz w:val="20"/>
                <w:szCs w:val="20"/>
              </w:rPr>
            </w:pPr>
            <w:r>
              <w:rPr>
                <w:noProof/>
                <w:sz w:val="20"/>
              </w:rPr>
              <w:t>7 0 1 — Лихви за закъснели плащания и други лихви върху глоби</w:t>
            </w:r>
          </w:p>
        </w:tc>
        <w:tc>
          <w:tcPr>
            <w:tcW w:w="1440" w:type="dxa"/>
            <w:tcBorders>
              <w:top w:val="nil"/>
              <w:left w:val="nil"/>
              <w:bottom w:val="single" w:sz="8" w:space="0" w:color="auto"/>
              <w:right w:val="single" w:sz="8" w:space="0" w:color="auto"/>
            </w:tcBorders>
            <w:hideMark/>
          </w:tcPr>
          <w:p>
            <w:pPr>
              <w:spacing w:before="60" w:after="60"/>
              <w:jc w:val="right"/>
              <w:rPr>
                <w:noProof/>
                <w:sz w:val="20"/>
                <w:szCs w:val="20"/>
              </w:rPr>
            </w:pPr>
            <w:r>
              <w:rPr>
                <w:noProof/>
                <w:sz w:val="20"/>
              </w:rPr>
              <w:t xml:space="preserve">15 000 000 </w:t>
            </w:r>
          </w:p>
        </w:tc>
        <w:tc>
          <w:tcPr>
            <w:tcW w:w="1640" w:type="dxa"/>
            <w:tcBorders>
              <w:top w:val="nil"/>
              <w:left w:val="nil"/>
              <w:bottom w:val="single" w:sz="8" w:space="0" w:color="auto"/>
              <w:right w:val="single" w:sz="8" w:space="0" w:color="auto"/>
            </w:tcBorders>
          </w:tcPr>
          <w:p>
            <w:pPr>
              <w:spacing w:before="60" w:after="60"/>
              <w:jc w:val="right"/>
              <w:rPr>
                <w:noProof/>
                <w:sz w:val="20"/>
                <w:szCs w:val="20"/>
              </w:rPr>
            </w:pPr>
            <w:r>
              <w:rPr>
                <w:noProof/>
                <w:sz w:val="20"/>
              </w:rPr>
              <w:t>30 000 000</w:t>
            </w:r>
          </w:p>
        </w:tc>
        <w:tc>
          <w:tcPr>
            <w:tcW w:w="1620" w:type="dxa"/>
            <w:tcBorders>
              <w:top w:val="nil"/>
              <w:left w:val="nil"/>
              <w:bottom w:val="single" w:sz="8" w:space="0" w:color="auto"/>
              <w:right w:val="single" w:sz="8" w:space="0" w:color="auto"/>
            </w:tcBorders>
          </w:tcPr>
          <w:p>
            <w:pPr>
              <w:spacing w:before="60" w:after="60"/>
              <w:jc w:val="right"/>
              <w:rPr>
                <w:noProof/>
                <w:sz w:val="20"/>
                <w:szCs w:val="20"/>
              </w:rPr>
            </w:pPr>
            <w:r>
              <w:rPr>
                <w:noProof/>
                <w:sz w:val="20"/>
              </w:rPr>
              <w:t>45 000 000</w:t>
            </w:r>
          </w:p>
        </w:tc>
      </w:tr>
      <w:tr>
        <w:trPr>
          <w:trHeight w:val="20"/>
        </w:trPr>
        <w:tc>
          <w:tcPr>
            <w:tcW w:w="5294" w:type="dxa"/>
            <w:tcBorders>
              <w:top w:val="nil"/>
              <w:left w:val="single" w:sz="8" w:space="0" w:color="auto"/>
              <w:bottom w:val="single" w:sz="8" w:space="0" w:color="auto"/>
              <w:right w:val="single" w:sz="8" w:space="0" w:color="auto"/>
            </w:tcBorders>
            <w:vAlign w:val="center"/>
            <w:hideMark/>
          </w:tcPr>
          <w:p>
            <w:pPr>
              <w:spacing w:before="60" w:after="60"/>
              <w:jc w:val="both"/>
              <w:rPr>
                <w:noProof/>
                <w:sz w:val="20"/>
                <w:szCs w:val="20"/>
              </w:rPr>
            </w:pPr>
            <w:r>
              <w:rPr>
                <w:noProof/>
                <w:sz w:val="20"/>
              </w:rPr>
              <w:t>7 1 0 — Глоби, периодични наказателни плащания и други наказания</w:t>
            </w:r>
          </w:p>
        </w:tc>
        <w:tc>
          <w:tcPr>
            <w:tcW w:w="1440" w:type="dxa"/>
            <w:tcBorders>
              <w:top w:val="nil"/>
              <w:left w:val="nil"/>
              <w:bottom w:val="single" w:sz="8" w:space="0" w:color="auto"/>
              <w:right w:val="single" w:sz="8" w:space="0" w:color="auto"/>
            </w:tcBorders>
            <w:hideMark/>
          </w:tcPr>
          <w:p>
            <w:pPr>
              <w:spacing w:before="60" w:after="60"/>
              <w:jc w:val="right"/>
              <w:rPr>
                <w:noProof/>
                <w:sz w:val="20"/>
                <w:szCs w:val="20"/>
              </w:rPr>
            </w:pPr>
            <w:r>
              <w:rPr>
                <w:noProof/>
                <w:sz w:val="20"/>
              </w:rPr>
              <w:t xml:space="preserve">100 000 000 </w:t>
            </w:r>
          </w:p>
        </w:tc>
        <w:tc>
          <w:tcPr>
            <w:tcW w:w="1640" w:type="dxa"/>
            <w:tcBorders>
              <w:top w:val="nil"/>
              <w:left w:val="nil"/>
              <w:bottom w:val="single" w:sz="8" w:space="0" w:color="auto"/>
              <w:right w:val="single" w:sz="8" w:space="0" w:color="auto"/>
            </w:tcBorders>
          </w:tcPr>
          <w:p>
            <w:pPr>
              <w:spacing w:before="60" w:after="60"/>
              <w:jc w:val="right"/>
              <w:rPr>
                <w:noProof/>
                <w:sz w:val="20"/>
                <w:szCs w:val="20"/>
              </w:rPr>
            </w:pPr>
            <w:r>
              <w:rPr>
                <w:noProof/>
                <w:sz w:val="20"/>
              </w:rPr>
              <w:t>1 315 000 000</w:t>
            </w:r>
          </w:p>
        </w:tc>
        <w:tc>
          <w:tcPr>
            <w:tcW w:w="1620" w:type="dxa"/>
            <w:tcBorders>
              <w:top w:val="nil"/>
              <w:left w:val="nil"/>
              <w:bottom w:val="single" w:sz="8" w:space="0" w:color="auto"/>
              <w:right w:val="single" w:sz="8" w:space="0" w:color="auto"/>
            </w:tcBorders>
          </w:tcPr>
          <w:p>
            <w:pPr>
              <w:spacing w:before="60" w:after="60"/>
              <w:jc w:val="right"/>
              <w:rPr>
                <w:noProof/>
                <w:sz w:val="20"/>
                <w:szCs w:val="20"/>
              </w:rPr>
            </w:pPr>
            <w:r>
              <w:rPr>
                <w:noProof/>
                <w:sz w:val="20"/>
              </w:rPr>
              <w:t>1 415 000 000</w:t>
            </w:r>
          </w:p>
        </w:tc>
      </w:tr>
      <w:tr>
        <w:trPr>
          <w:trHeight w:val="20"/>
        </w:trPr>
        <w:tc>
          <w:tcPr>
            <w:tcW w:w="5294" w:type="dxa"/>
            <w:tcBorders>
              <w:top w:val="nil"/>
              <w:left w:val="single" w:sz="8" w:space="0" w:color="auto"/>
              <w:bottom w:val="single" w:sz="8" w:space="0" w:color="auto"/>
              <w:right w:val="single" w:sz="8" w:space="0" w:color="auto"/>
            </w:tcBorders>
            <w:vAlign w:val="center"/>
          </w:tcPr>
          <w:p>
            <w:pPr>
              <w:spacing w:before="60" w:after="60"/>
              <w:jc w:val="both"/>
              <w:rPr>
                <w:noProof/>
                <w:sz w:val="20"/>
                <w:szCs w:val="20"/>
              </w:rPr>
            </w:pPr>
            <w:r>
              <w:rPr>
                <w:noProof/>
                <w:sz w:val="20"/>
              </w:rPr>
              <w:t>7 1 2 — Наказателни плащания и еднократно платими суми, наложени на държава членка поради неспазване на решение на Съда на Европейския съюз относно неизпълнение на задължение по Договора</w:t>
            </w:r>
          </w:p>
        </w:tc>
        <w:tc>
          <w:tcPr>
            <w:tcW w:w="1440" w:type="dxa"/>
            <w:tcBorders>
              <w:top w:val="nil"/>
              <w:left w:val="nil"/>
              <w:bottom w:val="single" w:sz="8" w:space="0" w:color="auto"/>
              <w:right w:val="single" w:sz="8" w:space="0" w:color="auto"/>
            </w:tcBorders>
          </w:tcPr>
          <w:p>
            <w:pPr>
              <w:spacing w:before="60" w:after="60"/>
              <w:jc w:val="right"/>
              <w:rPr>
                <w:noProof/>
                <w:sz w:val="20"/>
                <w:szCs w:val="20"/>
              </w:rPr>
            </w:pPr>
            <w:r>
              <w:rPr>
                <w:noProof/>
                <w:sz w:val="20"/>
              </w:rPr>
              <w:t>p.m.</w:t>
            </w:r>
          </w:p>
        </w:tc>
        <w:tc>
          <w:tcPr>
            <w:tcW w:w="1640" w:type="dxa"/>
            <w:tcBorders>
              <w:top w:val="nil"/>
              <w:left w:val="nil"/>
              <w:bottom w:val="single" w:sz="8" w:space="0" w:color="auto"/>
              <w:right w:val="single" w:sz="8" w:space="0" w:color="auto"/>
            </w:tcBorders>
          </w:tcPr>
          <w:p>
            <w:pPr>
              <w:spacing w:before="60" w:after="60"/>
              <w:jc w:val="right"/>
              <w:rPr>
                <w:noProof/>
                <w:sz w:val="20"/>
                <w:szCs w:val="20"/>
              </w:rPr>
            </w:pPr>
            <w:r>
              <w:rPr>
                <w:noProof/>
                <w:sz w:val="20"/>
              </w:rPr>
              <w:t xml:space="preserve">50 000 000 </w:t>
            </w:r>
          </w:p>
        </w:tc>
        <w:tc>
          <w:tcPr>
            <w:tcW w:w="1620" w:type="dxa"/>
            <w:tcBorders>
              <w:top w:val="nil"/>
              <w:left w:val="nil"/>
              <w:bottom w:val="single" w:sz="8" w:space="0" w:color="auto"/>
              <w:right w:val="single" w:sz="8" w:space="0" w:color="auto"/>
            </w:tcBorders>
          </w:tcPr>
          <w:p>
            <w:pPr>
              <w:spacing w:before="60" w:after="60"/>
              <w:jc w:val="right"/>
              <w:rPr>
                <w:noProof/>
                <w:sz w:val="20"/>
                <w:szCs w:val="20"/>
              </w:rPr>
            </w:pPr>
            <w:r>
              <w:rPr>
                <w:noProof/>
                <w:sz w:val="20"/>
              </w:rPr>
              <w:t>50 000 000</w:t>
            </w:r>
          </w:p>
        </w:tc>
      </w:tr>
      <w:tr>
        <w:trPr>
          <w:trHeight w:val="20"/>
        </w:trPr>
        <w:tc>
          <w:tcPr>
            <w:tcW w:w="5294" w:type="dxa"/>
            <w:tcBorders>
              <w:top w:val="nil"/>
              <w:left w:val="single" w:sz="8" w:space="0" w:color="auto"/>
              <w:bottom w:val="single" w:sz="8" w:space="0" w:color="auto"/>
              <w:right w:val="single" w:sz="8" w:space="0" w:color="auto"/>
            </w:tcBorders>
            <w:vAlign w:val="center"/>
          </w:tcPr>
          <w:p>
            <w:pPr>
              <w:spacing w:before="60" w:after="60"/>
              <w:jc w:val="both"/>
              <w:rPr>
                <w:noProof/>
                <w:sz w:val="20"/>
                <w:szCs w:val="20"/>
              </w:rPr>
            </w:pPr>
            <w:r>
              <w:rPr>
                <w:noProof/>
                <w:sz w:val="20"/>
              </w:rPr>
              <w:t>8 1 0 — Изплащане на главници и лихви във връзка със специални заеми и рисков капитал, отпуснати в рамките на финансовото сътрудничество със средиземноморски трети държави</w:t>
            </w:r>
          </w:p>
        </w:tc>
        <w:tc>
          <w:tcPr>
            <w:tcW w:w="1440" w:type="dxa"/>
            <w:tcBorders>
              <w:top w:val="nil"/>
              <w:left w:val="nil"/>
              <w:bottom w:val="single" w:sz="8" w:space="0" w:color="auto"/>
              <w:right w:val="single" w:sz="8" w:space="0" w:color="auto"/>
            </w:tcBorders>
          </w:tcPr>
          <w:p>
            <w:pPr>
              <w:spacing w:before="60" w:after="60"/>
              <w:jc w:val="right"/>
              <w:rPr>
                <w:noProof/>
                <w:sz w:val="20"/>
                <w:szCs w:val="20"/>
              </w:rPr>
            </w:pPr>
            <w:r>
              <w:rPr>
                <w:noProof/>
                <w:sz w:val="20"/>
              </w:rPr>
              <w:t>p.m.</w:t>
            </w:r>
          </w:p>
        </w:tc>
        <w:tc>
          <w:tcPr>
            <w:tcW w:w="1640" w:type="dxa"/>
            <w:tcBorders>
              <w:top w:val="nil"/>
              <w:left w:val="nil"/>
              <w:bottom w:val="single" w:sz="8" w:space="0" w:color="auto"/>
              <w:right w:val="single" w:sz="8" w:space="0" w:color="auto"/>
            </w:tcBorders>
          </w:tcPr>
          <w:p>
            <w:pPr>
              <w:spacing w:before="60" w:after="60"/>
              <w:jc w:val="right"/>
              <w:rPr>
                <w:noProof/>
                <w:sz w:val="20"/>
                <w:szCs w:val="20"/>
              </w:rPr>
            </w:pPr>
            <w:r>
              <w:rPr>
                <w:noProof/>
                <w:sz w:val="20"/>
              </w:rPr>
              <w:t>30 000 000</w:t>
            </w:r>
          </w:p>
        </w:tc>
        <w:tc>
          <w:tcPr>
            <w:tcW w:w="1620" w:type="dxa"/>
            <w:tcBorders>
              <w:top w:val="nil"/>
              <w:left w:val="nil"/>
              <w:bottom w:val="single" w:sz="8" w:space="0" w:color="auto"/>
              <w:right w:val="single" w:sz="8" w:space="0" w:color="auto"/>
            </w:tcBorders>
          </w:tcPr>
          <w:p>
            <w:pPr>
              <w:spacing w:before="60" w:after="60"/>
              <w:jc w:val="right"/>
              <w:rPr>
                <w:noProof/>
                <w:sz w:val="20"/>
                <w:szCs w:val="20"/>
              </w:rPr>
            </w:pPr>
            <w:r>
              <w:rPr>
                <w:noProof/>
                <w:sz w:val="20"/>
              </w:rPr>
              <w:t>30 000 000</w:t>
            </w:r>
          </w:p>
        </w:tc>
      </w:tr>
      <w:tr>
        <w:trPr>
          <w:trHeight w:val="20"/>
        </w:trPr>
        <w:tc>
          <w:tcPr>
            <w:tcW w:w="5294" w:type="dxa"/>
            <w:tcBorders>
              <w:top w:val="single" w:sz="8" w:space="0" w:color="auto"/>
              <w:left w:val="single" w:sz="8" w:space="0" w:color="auto"/>
              <w:bottom w:val="single" w:sz="8" w:space="0" w:color="auto"/>
              <w:right w:val="nil"/>
            </w:tcBorders>
            <w:noWrap/>
            <w:vAlign w:val="center"/>
            <w:hideMark/>
          </w:tcPr>
          <w:p>
            <w:pPr>
              <w:spacing w:before="60" w:after="60"/>
              <w:jc w:val="right"/>
              <w:rPr>
                <w:b/>
                <w:bCs/>
                <w:noProof/>
              </w:rPr>
            </w:pPr>
            <w:r>
              <w:rPr>
                <w:b/>
                <w:noProof/>
              </w:rPr>
              <w:t>Общо</w:t>
            </w:r>
          </w:p>
        </w:tc>
        <w:tc>
          <w:tcPr>
            <w:tcW w:w="1440" w:type="dxa"/>
            <w:tcBorders>
              <w:top w:val="single" w:sz="8" w:space="0" w:color="auto"/>
              <w:left w:val="single" w:sz="8" w:space="0" w:color="auto"/>
              <w:bottom w:val="single" w:sz="8" w:space="0" w:color="auto"/>
              <w:right w:val="single" w:sz="8" w:space="0" w:color="auto"/>
            </w:tcBorders>
            <w:noWrap/>
            <w:hideMark/>
          </w:tcPr>
          <w:p>
            <w:pPr>
              <w:spacing w:before="60" w:after="60"/>
              <w:jc w:val="right"/>
              <w:rPr>
                <w:noProof/>
                <w:sz w:val="20"/>
                <w:szCs w:val="20"/>
              </w:rPr>
            </w:pPr>
            <w:r>
              <w:rPr>
                <w:noProof/>
                <w:sz w:val="20"/>
              </w:rPr>
              <w:t>130 000 000</w:t>
            </w:r>
          </w:p>
        </w:tc>
        <w:tc>
          <w:tcPr>
            <w:tcW w:w="1640" w:type="dxa"/>
            <w:tcBorders>
              <w:top w:val="single" w:sz="8" w:space="0" w:color="auto"/>
              <w:left w:val="nil"/>
              <w:bottom w:val="single" w:sz="8" w:space="0" w:color="auto"/>
              <w:right w:val="single" w:sz="8" w:space="0" w:color="auto"/>
            </w:tcBorders>
            <w:noWrap/>
          </w:tcPr>
          <w:p>
            <w:pPr>
              <w:spacing w:before="60" w:after="60"/>
              <w:jc w:val="right"/>
              <w:rPr>
                <w:noProof/>
                <w:sz w:val="20"/>
                <w:szCs w:val="20"/>
              </w:rPr>
            </w:pPr>
            <w:r>
              <w:rPr>
                <w:noProof/>
                <w:sz w:val="20"/>
              </w:rPr>
              <w:t>1 470 000 000</w:t>
            </w:r>
          </w:p>
        </w:tc>
        <w:tc>
          <w:tcPr>
            <w:tcW w:w="1620" w:type="dxa"/>
            <w:tcBorders>
              <w:top w:val="single" w:sz="8" w:space="0" w:color="auto"/>
              <w:left w:val="nil"/>
              <w:bottom w:val="single" w:sz="8" w:space="0" w:color="auto"/>
              <w:right w:val="single" w:sz="8" w:space="0" w:color="auto"/>
            </w:tcBorders>
            <w:noWrap/>
          </w:tcPr>
          <w:p>
            <w:pPr>
              <w:spacing w:before="60" w:after="60"/>
              <w:jc w:val="right"/>
              <w:rPr>
                <w:noProof/>
                <w:sz w:val="20"/>
                <w:szCs w:val="20"/>
              </w:rPr>
            </w:pPr>
            <w:r>
              <w:rPr>
                <w:noProof/>
                <w:sz w:val="20"/>
              </w:rPr>
              <w:t>1 600 000 000</w:t>
            </w:r>
          </w:p>
        </w:tc>
      </w:tr>
    </w:tbl>
    <w:p>
      <w:pPr>
        <w:rPr>
          <w:noProof/>
        </w:rPr>
      </w:pPr>
      <w:bookmarkStart w:id="27" w:name="_Toc399926622"/>
      <w:r>
        <w:rPr>
          <w:noProof/>
        </w:rPr>
        <w:br w:type="page"/>
      </w:r>
    </w:p>
    <w:p>
      <w:pPr>
        <w:pStyle w:val="ManualHeading2"/>
        <w:rPr>
          <w:noProof/>
        </w:rPr>
      </w:pPr>
      <w:bookmarkStart w:id="28" w:name="_Toc432150799"/>
      <w:bookmarkStart w:id="29" w:name="_Toc432765137"/>
      <w:r>
        <w:rPr>
          <w:noProof/>
        </w:rPr>
        <w:t>2.4.</w:t>
      </w:r>
      <w:r>
        <w:rPr>
          <w:noProof/>
        </w:rPr>
        <w:tab/>
        <w:t>Вноски собствени ресурси от БНД</w:t>
      </w:r>
      <w:bookmarkEnd w:id="27"/>
      <w:bookmarkEnd w:id="28"/>
      <w:bookmarkEnd w:id="29"/>
    </w:p>
    <w:p>
      <w:pPr>
        <w:spacing w:before="120" w:after="120"/>
        <w:jc w:val="both"/>
        <w:rPr>
          <w:noProof/>
          <w:spacing w:val="-12"/>
        </w:rPr>
      </w:pPr>
      <w:r>
        <w:rPr>
          <w:noProof/>
          <w:spacing w:val="-12"/>
        </w:rPr>
        <w:t>Като се имат предвид посочените по-горе преразгледани прогнози за традиционните собствени ресурси, салдата по ДДС и по БНД и увеличените други приходи, както и намалените бюджетни кредити за плащания за Европейския надзорен орган по защита на данните, общото отражение на настоящия ПКБ 8/2015 върху вноските на държавите членки по БНД представлява намаление в размер на 9 403,4 млн. EUR.</w:t>
      </w:r>
    </w:p>
    <w:tbl>
      <w:tblPr>
        <w:tblW w:w="6046" w:type="dxa"/>
        <w:jc w:val="center"/>
        <w:tblInd w:w="93" w:type="dxa"/>
        <w:tblLayout w:type="fixed"/>
        <w:tblLook w:val="04A0" w:firstRow="1" w:lastRow="0" w:firstColumn="1" w:lastColumn="0" w:noHBand="0" w:noVBand="1"/>
      </w:tblPr>
      <w:tblGrid>
        <w:gridCol w:w="1777"/>
        <w:gridCol w:w="1389"/>
        <w:gridCol w:w="1440"/>
        <w:gridCol w:w="1440"/>
      </w:tblGrid>
      <w:tr>
        <w:trPr>
          <w:trHeight w:val="450"/>
          <w:jc w:val="center"/>
        </w:trPr>
        <w:tc>
          <w:tcPr>
            <w:tcW w:w="1777" w:type="dxa"/>
            <w:tcBorders>
              <w:top w:val="single" w:sz="8" w:space="0" w:color="auto"/>
              <w:left w:val="single" w:sz="8" w:space="0" w:color="auto"/>
              <w:bottom w:val="single" w:sz="8" w:space="0" w:color="auto"/>
              <w:right w:val="single" w:sz="8" w:space="0" w:color="auto"/>
            </w:tcBorders>
            <w:shd w:val="clear" w:color="auto" w:fill="auto"/>
            <w:vAlign w:val="center"/>
            <w:hideMark/>
          </w:tcPr>
          <w:p>
            <w:pPr>
              <w:jc w:val="center"/>
              <w:rPr>
                <w:noProof/>
                <w:color w:val="000000"/>
                <w:sz w:val="16"/>
                <w:szCs w:val="16"/>
              </w:rPr>
            </w:pPr>
            <w:r>
              <w:rPr>
                <w:noProof/>
                <w:color w:val="000000"/>
                <w:sz w:val="16"/>
              </w:rPr>
              <w:t>Държава членка</w:t>
            </w:r>
          </w:p>
        </w:tc>
        <w:tc>
          <w:tcPr>
            <w:tcW w:w="1389" w:type="dxa"/>
            <w:tcBorders>
              <w:top w:val="single" w:sz="8" w:space="0" w:color="auto"/>
              <w:left w:val="nil"/>
              <w:bottom w:val="single" w:sz="8" w:space="0" w:color="auto"/>
              <w:right w:val="single" w:sz="8" w:space="0" w:color="auto"/>
            </w:tcBorders>
            <w:shd w:val="clear" w:color="auto" w:fill="auto"/>
            <w:vAlign w:val="center"/>
            <w:hideMark/>
          </w:tcPr>
          <w:p>
            <w:pPr>
              <w:jc w:val="center"/>
              <w:rPr>
                <w:noProof/>
                <w:color w:val="000000"/>
                <w:sz w:val="16"/>
                <w:szCs w:val="16"/>
              </w:rPr>
            </w:pPr>
            <w:r>
              <w:rPr>
                <w:noProof/>
                <w:color w:val="000000"/>
                <w:sz w:val="16"/>
              </w:rPr>
              <w:t>Коригиращ бюджет № 6/2015</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pPr>
              <w:jc w:val="center"/>
              <w:rPr>
                <w:noProof/>
                <w:color w:val="000000"/>
                <w:sz w:val="16"/>
                <w:szCs w:val="16"/>
              </w:rPr>
            </w:pPr>
            <w:r>
              <w:rPr>
                <w:noProof/>
                <w:color w:val="000000"/>
                <w:sz w:val="16"/>
              </w:rPr>
              <w:t>Проект на коригиращ бюджет № 8/2015</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pPr>
              <w:jc w:val="center"/>
              <w:rPr>
                <w:noProof/>
                <w:color w:val="000000"/>
                <w:sz w:val="16"/>
                <w:szCs w:val="16"/>
              </w:rPr>
            </w:pPr>
            <w:r>
              <w:rPr>
                <w:noProof/>
                <w:color w:val="000000"/>
                <w:sz w:val="16"/>
              </w:rPr>
              <w:t>Нова сума</w:t>
            </w:r>
          </w:p>
        </w:tc>
      </w:tr>
      <w:tr>
        <w:trPr>
          <w:trHeight w:val="251"/>
          <w:jc w:val="center"/>
        </w:trPr>
        <w:tc>
          <w:tcPr>
            <w:tcW w:w="1777"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rPr>
              <w:t>Белгия</w:t>
            </w:r>
          </w:p>
        </w:tc>
        <w:tc>
          <w:tcPr>
            <w:tcW w:w="1389"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2 948 138 218</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- 271 023 955</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2 677 114 263</w:t>
            </w:r>
          </w:p>
        </w:tc>
      </w:tr>
      <w:tr>
        <w:trPr>
          <w:trHeight w:val="251"/>
          <w:jc w:val="center"/>
        </w:trPr>
        <w:tc>
          <w:tcPr>
            <w:tcW w:w="1777"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rPr>
              <w:t>България</w:t>
            </w:r>
          </w:p>
        </w:tc>
        <w:tc>
          <w:tcPr>
            <w:tcW w:w="1389"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xml:space="preserve"> 300 569 728</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- 27 631 539</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xml:space="preserve"> 272 938 189</w:t>
            </w:r>
          </w:p>
        </w:tc>
      </w:tr>
      <w:tr>
        <w:trPr>
          <w:trHeight w:val="251"/>
          <w:jc w:val="center"/>
        </w:trPr>
        <w:tc>
          <w:tcPr>
            <w:tcW w:w="1777"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rPr>
              <w:t>Чешка република</w:t>
            </w:r>
          </w:p>
        </w:tc>
        <w:tc>
          <w:tcPr>
            <w:tcW w:w="1389"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1 042 222 019</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- 95 812 038</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xml:space="preserve"> 946 409 981</w:t>
            </w:r>
          </w:p>
        </w:tc>
      </w:tr>
      <w:tr>
        <w:trPr>
          <w:trHeight w:val="251"/>
          <w:jc w:val="center"/>
        </w:trPr>
        <w:tc>
          <w:tcPr>
            <w:tcW w:w="1777"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rPr>
              <w:t>Дания</w:t>
            </w:r>
          </w:p>
        </w:tc>
        <w:tc>
          <w:tcPr>
            <w:tcW w:w="1389"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1 961 742 240</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- 180 344 034</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1 781 398 206</w:t>
            </w:r>
          </w:p>
        </w:tc>
      </w:tr>
      <w:tr>
        <w:trPr>
          <w:trHeight w:val="251"/>
          <w:jc w:val="center"/>
        </w:trPr>
        <w:tc>
          <w:tcPr>
            <w:tcW w:w="1777"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rPr>
              <w:t>Германия</w:t>
            </w:r>
          </w:p>
        </w:tc>
        <w:tc>
          <w:tcPr>
            <w:tcW w:w="1389"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21 864 405 229</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-2 010 006 699</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19 854 398 530</w:t>
            </w:r>
          </w:p>
        </w:tc>
      </w:tr>
      <w:tr>
        <w:trPr>
          <w:trHeight w:val="251"/>
          <w:jc w:val="center"/>
        </w:trPr>
        <w:tc>
          <w:tcPr>
            <w:tcW w:w="1777"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rPr>
              <w:t>Естония</w:t>
            </w:r>
          </w:p>
        </w:tc>
        <w:tc>
          <w:tcPr>
            <w:tcW w:w="1389"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xml:space="preserve"> 142 812 302</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- 13 128 812</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xml:space="preserve"> 129 683 490</w:t>
            </w:r>
          </w:p>
        </w:tc>
      </w:tr>
      <w:tr>
        <w:trPr>
          <w:trHeight w:val="251"/>
          <w:jc w:val="center"/>
        </w:trPr>
        <w:tc>
          <w:tcPr>
            <w:tcW w:w="1777"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rPr>
              <w:t>Ирландия</w:t>
            </w:r>
          </w:p>
        </w:tc>
        <w:tc>
          <w:tcPr>
            <w:tcW w:w="1389"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1 170 159 800</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- 107 573 428</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1 062 586 372</w:t>
            </w:r>
          </w:p>
        </w:tc>
      </w:tr>
      <w:tr>
        <w:trPr>
          <w:trHeight w:val="251"/>
          <w:jc w:val="center"/>
        </w:trPr>
        <w:tc>
          <w:tcPr>
            <w:tcW w:w="1777"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rPr>
              <w:t>Гърция</w:t>
            </w:r>
          </w:p>
        </w:tc>
        <w:tc>
          <w:tcPr>
            <w:tcW w:w="1389"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1 281 873 093</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- 117 843 293</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1 164 029 800</w:t>
            </w:r>
          </w:p>
        </w:tc>
      </w:tr>
      <w:tr>
        <w:trPr>
          <w:trHeight w:val="251"/>
          <w:jc w:val="center"/>
        </w:trPr>
        <w:tc>
          <w:tcPr>
            <w:tcW w:w="1777"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rPr>
              <w:t>Испания</w:t>
            </w:r>
          </w:p>
        </w:tc>
        <w:tc>
          <w:tcPr>
            <w:tcW w:w="1389"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7 815 907 916</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- 718 520 678</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7 097 387 238</w:t>
            </w:r>
          </w:p>
        </w:tc>
      </w:tr>
      <w:tr>
        <w:trPr>
          <w:trHeight w:val="251"/>
          <w:jc w:val="center"/>
        </w:trPr>
        <w:tc>
          <w:tcPr>
            <w:tcW w:w="1777"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rPr>
              <w:t>Франция</w:t>
            </w:r>
          </w:p>
        </w:tc>
        <w:tc>
          <w:tcPr>
            <w:tcW w:w="1389"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15 814 431 821</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-1 453 829 344</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14 360 602 477</w:t>
            </w:r>
          </w:p>
        </w:tc>
      </w:tr>
      <w:tr>
        <w:trPr>
          <w:trHeight w:val="251"/>
          <w:jc w:val="center"/>
        </w:trPr>
        <w:tc>
          <w:tcPr>
            <w:tcW w:w="1777"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rPr>
              <w:t>Хърватия</w:t>
            </w:r>
          </w:p>
        </w:tc>
        <w:tc>
          <w:tcPr>
            <w:tcW w:w="1389"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xml:space="preserve"> 302 256 027</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- 27 786 561</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xml:space="preserve"> 274 469 466</w:t>
            </w:r>
          </w:p>
        </w:tc>
      </w:tr>
      <w:tr>
        <w:trPr>
          <w:trHeight w:val="251"/>
          <w:jc w:val="center"/>
        </w:trPr>
        <w:tc>
          <w:tcPr>
            <w:tcW w:w="1777"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rPr>
              <w:t>Италия</w:t>
            </w:r>
          </w:p>
        </w:tc>
        <w:tc>
          <w:tcPr>
            <w:tcW w:w="1389"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11 502 867 468</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-1 057 464 881</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10 445 402 587</w:t>
            </w:r>
          </w:p>
        </w:tc>
      </w:tr>
      <w:tr>
        <w:trPr>
          <w:trHeight w:val="251"/>
          <w:jc w:val="center"/>
        </w:trPr>
        <w:tc>
          <w:tcPr>
            <w:tcW w:w="1777"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rPr>
              <w:t>Кипър</w:t>
            </w:r>
          </w:p>
        </w:tc>
        <w:tc>
          <w:tcPr>
            <w:tcW w:w="1389"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xml:space="preserve"> 118 108 966</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- 10 857 822</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xml:space="preserve"> 107 251 144</w:t>
            </w:r>
          </w:p>
        </w:tc>
      </w:tr>
      <w:tr>
        <w:trPr>
          <w:trHeight w:val="251"/>
          <w:jc w:val="center"/>
        </w:trPr>
        <w:tc>
          <w:tcPr>
            <w:tcW w:w="1777"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rPr>
              <w:t>Латвия</w:t>
            </w:r>
          </w:p>
        </w:tc>
        <w:tc>
          <w:tcPr>
            <w:tcW w:w="1389"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xml:space="preserve"> 179 251 974</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- 16 478 732</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xml:space="preserve"> 162 773 242</w:t>
            </w:r>
          </w:p>
        </w:tc>
      </w:tr>
      <w:tr>
        <w:trPr>
          <w:trHeight w:val="251"/>
          <w:jc w:val="center"/>
        </w:trPr>
        <w:tc>
          <w:tcPr>
            <w:tcW w:w="1777"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rPr>
              <w:t>Литва</w:t>
            </w:r>
          </w:p>
        </w:tc>
        <w:tc>
          <w:tcPr>
            <w:tcW w:w="1389"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xml:space="preserve"> 265 124 885</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- 24 373 075</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xml:space="preserve"> 240 751 810</w:t>
            </w:r>
          </w:p>
        </w:tc>
      </w:tr>
      <w:tr>
        <w:trPr>
          <w:trHeight w:val="251"/>
          <w:jc w:val="center"/>
        </w:trPr>
        <w:tc>
          <w:tcPr>
            <w:tcW w:w="1777"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rPr>
              <w:t>Люксембург</w:t>
            </w:r>
          </w:p>
        </w:tc>
        <w:tc>
          <w:tcPr>
            <w:tcW w:w="1389"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xml:space="preserve"> 220 672 982</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- 20 286 587</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xml:space="preserve"> 200 386 395</w:t>
            </w:r>
          </w:p>
        </w:tc>
      </w:tr>
      <w:tr>
        <w:trPr>
          <w:trHeight w:val="251"/>
          <w:jc w:val="center"/>
        </w:trPr>
        <w:tc>
          <w:tcPr>
            <w:tcW w:w="1777"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rPr>
              <w:t>Унгария</w:t>
            </w:r>
          </w:p>
        </w:tc>
        <w:tc>
          <w:tcPr>
            <w:tcW w:w="1389"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xml:space="preserve"> 749 838 714</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- 68 933 082</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xml:space="preserve"> 680 905 632</w:t>
            </w:r>
          </w:p>
        </w:tc>
      </w:tr>
      <w:tr>
        <w:trPr>
          <w:trHeight w:val="251"/>
          <w:jc w:val="center"/>
        </w:trPr>
        <w:tc>
          <w:tcPr>
            <w:tcW w:w="1777"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rPr>
              <w:t>Малта</w:t>
            </w:r>
          </w:p>
        </w:tc>
        <w:tc>
          <w:tcPr>
            <w:tcW w:w="1389"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xml:space="preserve"> 57 924 570</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- 5 325 038</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xml:space="preserve"> 52 599 532</w:t>
            </w:r>
          </w:p>
        </w:tc>
      </w:tr>
      <w:tr>
        <w:trPr>
          <w:trHeight w:val="251"/>
          <w:jc w:val="center"/>
        </w:trPr>
        <w:tc>
          <w:tcPr>
            <w:tcW w:w="1777"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rPr>
              <w:t>Нидерландия</w:t>
            </w:r>
          </w:p>
        </w:tc>
        <w:tc>
          <w:tcPr>
            <w:tcW w:w="1389"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4 802 411 377</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- 441 488 298</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4 360 923 079</w:t>
            </w:r>
          </w:p>
        </w:tc>
      </w:tr>
      <w:tr>
        <w:trPr>
          <w:trHeight w:val="251"/>
          <w:jc w:val="center"/>
        </w:trPr>
        <w:tc>
          <w:tcPr>
            <w:tcW w:w="1777"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rPr>
              <w:t>Австрия</w:t>
            </w:r>
          </w:p>
        </w:tc>
        <w:tc>
          <w:tcPr>
            <w:tcW w:w="1389"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2 333 565 332</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- 214 525 934</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2 119 039 398</w:t>
            </w:r>
          </w:p>
        </w:tc>
      </w:tr>
      <w:tr>
        <w:trPr>
          <w:trHeight w:val="251"/>
          <w:jc w:val="center"/>
        </w:trPr>
        <w:tc>
          <w:tcPr>
            <w:tcW w:w="1777"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rPr>
              <w:t>Полша</w:t>
            </w:r>
          </w:p>
        </w:tc>
        <w:tc>
          <w:tcPr>
            <w:tcW w:w="1389"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2 913 421 073</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- 267 832 388</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2 645 588 685</w:t>
            </w:r>
          </w:p>
        </w:tc>
      </w:tr>
      <w:tr>
        <w:trPr>
          <w:trHeight w:val="251"/>
          <w:jc w:val="center"/>
        </w:trPr>
        <w:tc>
          <w:tcPr>
            <w:tcW w:w="1777"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rPr>
              <w:t>Португалия</w:t>
            </w:r>
          </w:p>
        </w:tc>
        <w:tc>
          <w:tcPr>
            <w:tcW w:w="1389"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1 245 527 807</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- 114 502 050</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1 131 025 757</w:t>
            </w:r>
          </w:p>
        </w:tc>
      </w:tr>
      <w:tr>
        <w:trPr>
          <w:trHeight w:val="251"/>
          <w:jc w:val="center"/>
        </w:trPr>
        <w:tc>
          <w:tcPr>
            <w:tcW w:w="1777"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rPr>
              <w:t>Румъния</w:t>
            </w:r>
          </w:p>
        </w:tc>
        <w:tc>
          <w:tcPr>
            <w:tcW w:w="1389"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1 106 037 387</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- 101 678 620</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1 004 358 767</w:t>
            </w:r>
          </w:p>
        </w:tc>
      </w:tr>
      <w:tr>
        <w:trPr>
          <w:trHeight w:val="251"/>
          <w:jc w:val="center"/>
        </w:trPr>
        <w:tc>
          <w:tcPr>
            <w:tcW w:w="1777"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rPr>
              <w:t>Словения</w:t>
            </w:r>
          </w:p>
        </w:tc>
        <w:tc>
          <w:tcPr>
            <w:tcW w:w="1389"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xml:space="preserve"> 267 427 364</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- 24 584 744</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xml:space="preserve"> 242 842 620</w:t>
            </w:r>
          </w:p>
        </w:tc>
      </w:tr>
      <w:tr>
        <w:trPr>
          <w:trHeight w:val="251"/>
          <w:jc w:val="center"/>
        </w:trPr>
        <w:tc>
          <w:tcPr>
            <w:tcW w:w="1777"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rPr>
              <w:t>Словакия</w:t>
            </w:r>
          </w:p>
        </w:tc>
        <w:tc>
          <w:tcPr>
            <w:tcW w:w="1389"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xml:space="preserve"> 537 365 257</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- 49 400 281</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xml:space="preserve"> 487 964 976</w:t>
            </w:r>
          </w:p>
        </w:tc>
      </w:tr>
      <w:tr>
        <w:trPr>
          <w:trHeight w:val="251"/>
          <w:jc w:val="center"/>
        </w:trPr>
        <w:tc>
          <w:tcPr>
            <w:tcW w:w="1777"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rPr>
              <w:t>Финландия</w:t>
            </w:r>
          </w:p>
        </w:tc>
        <w:tc>
          <w:tcPr>
            <w:tcW w:w="1389"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1 452 033 370</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- 133 486 220</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1 318 547 150</w:t>
            </w:r>
          </w:p>
        </w:tc>
      </w:tr>
      <w:tr>
        <w:trPr>
          <w:trHeight w:val="251"/>
          <w:jc w:val="center"/>
        </w:trPr>
        <w:tc>
          <w:tcPr>
            <w:tcW w:w="1777"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rPr>
              <w:t>Швеция</w:t>
            </w:r>
          </w:p>
        </w:tc>
        <w:tc>
          <w:tcPr>
            <w:tcW w:w="1389"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3 135 321 563</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- 288 231 821</w:t>
            </w:r>
          </w:p>
        </w:tc>
        <w:tc>
          <w:tcPr>
            <w:tcW w:w="1440" w:type="dxa"/>
            <w:tcBorders>
              <w:top w:val="nil"/>
              <w:left w:val="nil"/>
              <w:bottom w:val="nil"/>
              <w:right w:val="single" w:sz="8" w:space="0" w:color="auto"/>
            </w:tcBorders>
            <w:shd w:val="clear" w:color="auto" w:fill="auto"/>
            <w:vAlign w:val="bottom"/>
          </w:tcPr>
          <w:p>
            <w:pPr>
              <w:jc w:val="right"/>
              <w:rPr>
                <w:noProof/>
                <w:color w:val="000000"/>
                <w:sz w:val="16"/>
                <w:szCs w:val="16"/>
              </w:rPr>
            </w:pPr>
            <w:r>
              <w:rPr>
                <w:noProof/>
                <w:sz w:val="16"/>
              </w:rPr>
              <w:t>2 847 089 742</w:t>
            </w:r>
          </w:p>
        </w:tc>
      </w:tr>
      <w:tr>
        <w:trPr>
          <w:trHeight w:val="262"/>
          <w:jc w:val="center"/>
        </w:trPr>
        <w:tc>
          <w:tcPr>
            <w:tcW w:w="1777" w:type="dxa"/>
            <w:tcBorders>
              <w:top w:val="nil"/>
              <w:left w:val="single" w:sz="8" w:space="0" w:color="auto"/>
              <w:bottom w:val="nil"/>
              <w:right w:val="single" w:sz="8" w:space="0" w:color="auto"/>
            </w:tcBorders>
            <w:shd w:val="clear" w:color="auto" w:fill="auto"/>
            <w:vAlign w:val="center"/>
            <w:hideMark/>
          </w:tcPr>
          <w:p>
            <w:pPr>
              <w:rPr>
                <w:noProof/>
                <w:color w:val="000000"/>
                <w:sz w:val="16"/>
                <w:szCs w:val="16"/>
              </w:rPr>
            </w:pPr>
            <w:r>
              <w:rPr>
                <w:noProof/>
                <w:color w:val="000000"/>
                <w:sz w:val="16"/>
              </w:rPr>
              <w:t>Обединено кралство</w:t>
            </w:r>
          </w:p>
        </w:tc>
        <w:tc>
          <w:tcPr>
            <w:tcW w:w="1389" w:type="dxa"/>
            <w:tcBorders>
              <w:top w:val="nil"/>
              <w:left w:val="nil"/>
              <w:bottom w:val="single" w:sz="8" w:space="0" w:color="auto"/>
              <w:right w:val="single" w:sz="8" w:space="0" w:color="auto"/>
            </w:tcBorders>
            <w:shd w:val="clear" w:color="auto" w:fill="auto"/>
            <w:vAlign w:val="bottom"/>
          </w:tcPr>
          <w:p>
            <w:pPr>
              <w:jc w:val="right"/>
              <w:rPr>
                <w:noProof/>
                <w:color w:val="000000"/>
                <w:sz w:val="16"/>
                <w:szCs w:val="16"/>
              </w:rPr>
            </w:pPr>
            <w:r>
              <w:rPr>
                <w:noProof/>
                <w:sz w:val="16"/>
              </w:rPr>
              <w:t>16 756 318 720</w:t>
            </w:r>
          </w:p>
        </w:tc>
        <w:tc>
          <w:tcPr>
            <w:tcW w:w="1440" w:type="dxa"/>
            <w:tcBorders>
              <w:top w:val="nil"/>
              <w:left w:val="nil"/>
              <w:bottom w:val="single" w:sz="8" w:space="0" w:color="auto"/>
              <w:right w:val="single" w:sz="8" w:space="0" w:color="auto"/>
            </w:tcBorders>
            <w:shd w:val="clear" w:color="auto" w:fill="auto"/>
            <w:vAlign w:val="bottom"/>
          </w:tcPr>
          <w:p>
            <w:pPr>
              <w:jc w:val="right"/>
              <w:rPr>
                <w:noProof/>
                <w:color w:val="000000"/>
                <w:sz w:val="16"/>
                <w:szCs w:val="16"/>
              </w:rPr>
            </w:pPr>
            <w:r>
              <w:rPr>
                <w:noProof/>
                <w:sz w:val="16"/>
              </w:rPr>
              <w:t>-1 540 417 520</w:t>
            </w:r>
          </w:p>
        </w:tc>
        <w:tc>
          <w:tcPr>
            <w:tcW w:w="1440" w:type="dxa"/>
            <w:tcBorders>
              <w:top w:val="nil"/>
              <w:left w:val="nil"/>
              <w:bottom w:val="single" w:sz="8" w:space="0" w:color="auto"/>
              <w:right w:val="single" w:sz="8" w:space="0" w:color="auto"/>
            </w:tcBorders>
            <w:shd w:val="clear" w:color="auto" w:fill="auto"/>
            <w:vAlign w:val="bottom"/>
          </w:tcPr>
          <w:p>
            <w:pPr>
              <w:jc w:val="right"/>
              <w:rPr>
                <w:noProof/>
                <w:color w:val="000000"/>
                <w:sz w:val="16"/>
                <w:szCs w:val="16"/>
              </w:rPr>
            </w:pPr>
            <w:r>
              <w:rPr>
                <w:noProof/>
                <w:sz w:val="16"/>
              </w:rPr>
              <w:t>15 215 901 200</w:t>
            </w:r>
          </w:p>
        </w:tc>
      </w:tr>
      <w:tr>
        <w:trPr>
          <w:trHeight w:val="262"/>
          <w:jc w:val="center"/>
        </w:trPr>
        <w:tc>
          <w:tcPr>
            <w:tcW w:w="1777" w:type="dxa"/>
            <w:tcBorders>
              <w:top w:val="nil"/>
              <w:left w:val="single" w:sz="8" w:space="0" w:color="auto"/>
              <w:bottom w:val="single" w:sz="8" w:space="0" w:color="auto"/>
              <w:right w:val="single" w:sz="8" w:space="0" w:color="auto"/>
            </w:tcBorders>
            <w:shd w:val="clear" w:color="auto" w:fill="auto"/>
            <w:vAlign w:val="center"/>
            <w:hideMark/>
          </w:tcPr>
          <w:p>
            <w:pPr>
              <w:jc w:val="right"/>
              <w:rPr>
                <w:noProof/>
                <w:color w:val="000000"/>
                <w:sz w:val="16"/>
                <w:szCs w:val="16"/>
              </w:rPr>
            </w:pPr>
            <w:r>
              <w:rPr>
                <w:noProof/>
                <w:color w:val="000000"/>
                <w:sz w:val="16"/>
              </w:rPr>
              <w:t xml:space="preserve"> Статия 1 4 0 — Общо </w:t>
            </w:r>
          </w:p>
        </w:tc>
        <w:tc>
          <w:tcPr>
            <w:tcW w:w="1389" w:type="dxa"/>
            <w:tcBorders>
              <w:top w:val="nil"/>
              <w:left w:val="nil"/>
              <w:bottom w:val="single" w:sz="8" w:space="0" w:color="auto"/>
              <w:right w:val="single" w:sz="8" w:space="0" w:color="auto"/>
            </w:tcBorders>
            <w:shd w:val="clear" w:color="auto" w:fill="auto"/>
            <w:vAlign w:val="bottom"/>
          </w:tcPr>
          <w:p>
            <w:pPr>
              <w:jc w:val="right"/>
              <w:rPr>
                <w:noProof/>
                <w:color w:val="000000"/>
                <w:sz w:val="16"/>
                <w:szCs w:val="16"/>
              </w:rPr>
            </w:pPr>
            <w:r>
              <w:rPr>
                <w:noProof/>
                <w:sz w:val="16"/>
              </w:rPr>
              <w:t>102 287 737 202</w:t>
            </w:r>
          </w:p>
        </w:tc>
        <w:tc>
          <w:tcPr>
            <w:tcW w:w="1440" w:type="dxa"/>
            <w:tcBorders>
              <w:top w:val="nil"/>
              <w:left w:val="nil"/>
              <w:bottom w:val="single" w:sz="8" w:space="0" w:color="auto"/>
              <w:right w:val="single" w:sz="8" w:space="0" w:color="auto"/>
            </w:tcBorders>
            <w:shd w:val="clear" w:color="auto" w:fill="auto"/>
            <w:vAlign w:val="bottom"/>
          </w:tcPr>
          <w:p>
            <w:pPr>
              <w:jc w:val="right"/>
              <w:rPr>
                <w:noProof/>
                <w:color w:val="000000"/>
                <w:sz w:val="16"/>
                <w:szCs w:val="16"/>
              </w:rPr>
            </w:pPr>
            <w:r>
              <w:rPr>
                <w:noProof/>
                <w:sz w:val="16"/>
              </w:rPr>
              <w:t>-9 403 367 474</w:t>
            </w:r>
          </w:p>
        </w:tc>
        <w:tc>
          <w:tcPr>
            <w:tcW w:w="1440" w:type="dxa"/>
            <w:tcBorders>
              <w:top w:val="nil"/>
              <w:left w:val="nil"/>
              <w:bottom w:val="single" w:sz="8" w:space="0" w:color="auto"/>
              <w:right w:val="single" w:sz="8" w:space="0" w:color="auto"/>
            </w:tcBorders>
            <w:shd w:val="clear" w:color="auto" w:fill="auto"/>
            <w:vAlign w:val="bottom"/>
          </w:tcPr>
          <w:p>
            <w:pPr>
              <w:jc w:val="right"/>
              <w:rPr>
                <w:noProof/>
                <w:color w:val="000000"/>
                <w:sz w:val="16"/>
                <w:szCs w:val="16"/>
              </w:rPr>
            </w:pPr>
            <w:r>
              <w:rPr>
                <w:noProof/>
                <w:sz w:val="16"/>
              </w:rPr>
              <w:t>92 884 369 728</w:t>
            </w:r>
          </w:p>
        </w:tc>
      </w:tr>
    </w:tbl>
    <w:p>
      <w:pPr>
        <w:pStyle w:val="ManualHeading1"/>
        <w:spacing w:before="240"/>
        <w:ind w:left="851" w:hanging="851"/>
        <w:rPr>
          <w:noProof/>
        </w:rPr>
      </w:pPr>
      <w:bookmarkStart w:id="30" w:name="_Toc432150800"/>
      <w:bookmarkStart w:id="31" w:name="_Toc432765138"/>
      <w:bookmarkEnd w:id="17"/>
      <w:bookmarkEnd w:id="18"/>
      <w:r>
        <w:rPr>
          <w:noProof/>
        </w:rPr>
        <w:t>3.</w:t>
      </w:r>
      <w:r>
        <w:rPr>
          <w:noProof/>
        </w:rPr>
        <w:tab/>
        <w:t>Европейски надзорен орган по защита на данните (раздел IX)</w:t>
      </w:r>
      <w:bookmarkEnd w:id="30"/>
      <w:bookmarkEnd w:id="31"/>
    </w:p>
    <w:p>
      <w:pPr>
        <w:spacing w:before="120" w:after="120"/>
        <w:jc w:val="both"/>
        <w:rPr>
          <w:noProof/>
        </w:rPr>
      </w:pPr>
      <w:r>
        <w:rPr>
          <w:noProof/>
        </w:rPr>
        <w:t>В съответствие с член 41, параграф 2 от Финансовия регламент Европейският надзорен орган по защита на данните (ЕНОЗД) поиска Комисията да представи проект на коригиращ бюджет от негово име. Целта е да се намалят със 123 474 EUR както бюджетните кредити за поети задължения, така и бюджетните кредити за плащания (едногодишни разходи).</w:t>
      </w:r>
    </w:p>
    <w:p>
      <w:pPr>
        <w:spacing w:before="120" w:after="120"/>
        <w:jc w:val="both"/>
        <w:rPr>
          <w:noProof/>
          <w:spacing w:val="-2"/>
        </w:rPr>
      </w:pPr>
      <w:r>
        <w:rPr>
          <w:noProof/>
          <w:spacing w:val="-2"/>
        </w:rPr>
        <w:t>Процедурата за избор на новия Европейски надзорен орган по защита на данните и на помощника не бе приключила към момента на изготвяне на проектобюджета за 2015 финансова година. Поради това бе решено да бъде възприет предпазлив подход и да бъдат поискани необходимите бюджетни кредити за покриване на най-скъпия сценарий, т.е. замяна и на двамата членове на ЕНОЗД. В крайна сметка за нов ЕНОЗД бе назначен бившият помощник на ЕНОЗД, в резултат на което част от временните надбавки няма да бъдат усвоени (56 160 EUR).</w:t>
      </w:r>
    </w:p>
    <w:p>
      <w:pPr>
        <w:spacing w:before="120" w:after="120"/>
        <w:jc w:val="both"/>
        <w:rPr>
          <w:noProof/>
          <w:spacing w:val="-6"/>
        </w:rPr>
      </w:pPr>
      <w:r>
        <w:rPr>
          <w:noProof/>
          <w:spacing w:val="-6"/>
        </w:rPr>
        <w:t>В допълнение към коригиращите бюджети, приети от управителния съвет на Центъра за преводи, през тази година на ЕНОЗД бяха възстановени общо 67 314 EUR. Тези допълнителни целеви приходи не бяха предвидени в прогнозите за Органа и ще доведат до съответно по размер намаление на нужните нови бюджетни кредити. По тази причина въз основа на принципа на доброто финансово управление ЕНОЗД счита, че тези средства следва да бъдат върнати на общия бюджет на ЕС.</w:t>
      </w:r>
      <w:bookmarkEnd w:id="2"/>
      <w:bookmarkEnd w:id="3"/>
      <w:bookmarkEnd w:id="4"/>
      <w:bookmarkEnd w:id="5"/>
      <w:bookmarkEnd w:id="6"/>
      <w:bookmarkEnd w:id="7"/>
      <w:bookmarkEnd w:id="11"/>
      <w:bookmarkEnd w:id="12"/>
    </w:p>
    <w:sectPr>
      <w:headerReference w:type="even" r:id="rId29"/>
      <w:headerReference w:type="default" r:id="rId30"/>
      <w:footerReference w:type="even" r:id="rId31"/>
      <w:footerReference w:type="default" r:id="rId32"/>
      <w:headerReference w:type="first" r:id="rId33"/>
      <w:footerReference w:type="first" r:id="rId34"/>
      <w:pgSz w:w="11907" w:h="1683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DOCPROPERTY "Classification" \* MERGEFORMAT </w:instrText>
    </w:r>
    <w:r>
      <w:fldChar w:fldCharType="separate"/>
    </w:r>
    <w:r>
      <w:t xml:space="preserve"> </w:t>
    </w:r>
    <w:r>
      <w:fldChar w:fldCharType="end"/>
    </w: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tab/>
    </w:r>
    <w:r>
      <w:fldChar w:fldCharType="begin"/>
    </w:r>
    <w:r>
      <w:instrText xml:space="preserve"> PAGE  \* MERGEFORMAT </w:instrText>
    </w:r>
    <w:r>
      <w:fldChar w:fldCharType="separate"/>
    </w:r>
    <w:r>
      <w:rPr>
        <w:noProof/>
      </w:rPr>
      <w:t>2</w:t>
    </w:r>
    <w:r>
      <w:fldChar w:fldCharType="end"/>
    </w:r>
    <w:r>
      <w:tab/>
    </w:r>
    <w:r>
      <w:fldChar w:fldCharType="begin"/>
    </w:r>
    <w:r>
      <w:instrText xml:space="preserve"> DOCPROPERTY "Classification" \* MERGEFORMAT </w:instrText>
    </w:r>
    <w:r>
      <w:fldChar w:fldCharType="separate"/>
    </w:r>
    <w:r>
      <w:t xml:space="preserve"> </w:t>
    </w:r>
    <w:r>
      <w:fldChar w:fldCharType="end"/>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tab/>
    </w:r>
    <w:r>
      <w:fldChar w:fldCharType="begin"/>
    </w:r>
    <w:r>
      <w:instrText xml:space="preserve"> PAGE  \* MERGEFORMAT </w:instrText>
    </w:r>
    <w:r>
      <w:fldChar w:fldCharType="separate"/>
    </w:r>
    <w:r>
      <w:rPr>
        <w:noProof/>
      </w:rPr>
      <w:t>3</w:t>
    </w:r>
    <w:r>
      <w:fldChar w:fldCharType="end"/>
    </w:r>
    <w:r>
      <w:tab/>
    </w:r>
    <w:r>
      <w:fldChar w:fldCharType="begin"/>
    </w:r>
    <w:r>
      <w:instrText xml:space="preserve"> DOCPROPERTY "Classification" \* MERGEFORMAT </w:instrText>
    </w:r>
    <w:r>
      <w:fldChar w:fldCharType="separate"/>
    </w:r>
    <w:r>
      <w:t xml:space="preserve"> </w:t>
    </w:r>
    <w:r>
      <w:fldChar w:fldCharType="end"/>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lang w:val="pl-PL"/>
        </w:rPr>
      </w:pPr>
      <w:r>
        <w:rPr>
          <w:rStyle w:val="FootnoteReference"/>
        </w:rPr>
        <w:footnoteRef/>
      </w:r>
      <w:r>
        <w:tab/>
      </w:r>
      <w:r>
        <w:rPr>
          <w:sz w:val="18"/>
        </w:rPr>
        <w:t>ОВ L 298, 26.10.2012 г., стр. 1.</w:t>
      </w:r>
    </w:p>
  </w:footnote>
  <w:footnote w:id="3">
    <w:p>
      <w:pPr>
        <w:pStyle w:val="FootnoteText"/>
        <w:rPr>
          <w:lang w:val="pl-PL"/>
        </w:rPr>
      </w:pPr>
      <w:r>
        <w:rPr>
          <w:rStyle w:val="FootnoteReference"/>
        </w:rPr>
        <w:footnoteRef/>
      </w:r>
      <w:r>
        <w:tab/>
      </w:r>
      <w:r>
        <w:rPr>
          <w:sz w:val="18"/>
        </w:rPr>
        <w:t>ОВ L 69, 13.3.2015 г., стр. 1.</w:t>
      </w:r>
    </w:p>
  </w:footnote>
  <w:footnote w:id="4">
    <w:p>
      <w:pPr>
        <w:pStyle w:val="FootnoteText"/>
        <w:rPr>
          <w:sz w:val="18"/>
          <w:szCs w:val="18"/>
          <w:lang w:val="pl-PL"/>
        </w:rPr>
      </w:pPr>
      <w:r>
        <w:rPr>
          <w:rStyle w:val="FootnoteReference"/>
          <w:sz w:val="18"/>
        </w:rPr>
        <w:footnoteRef/>
      </w:r>
      <w:r>
        <w:rPr>
          <w:sz w:val="18"/>
        </w:rPr>
        <w:t xml:space="preserve"> </w:t>
      </w:r>
      <w:r>
        <w:tab/>
      </w:r>
      <w:r>
        <w:rPr>
          <w:sz w:val="18"/>
        </w:rPr>
        <w:t>OВ L 189, 17.7.2015 г.</w:t>
      </w:r>
    </w:p>
  </w:footnote>
  <w:footnote w:id="5">
    <w:p>
      <w:pPr>
        <w:pStyle w:val="FootnoteText"/>
        <w:rPr>
          <w:sz w:val="18"/>
          <w:szCs w:val="18"/>
          <w:lang w:val="pl-PL"/>
        </w:rPr>
      </w:pPr>
      <w:r>
        <w:rPr>
          <w:rStyle w:val="FootnoteReference"/>
          <w:sz w:val="18"/>
        </w:rPr>
        <w:footnoteRef/>
      </w:r>
      <w:r>
        <w:rPr>
          <w:sz w:val="18"/>
        </w:rPr>
        <w:t xml:space="preserve"> </w:t>
      </w:r>
      <w:r>
        <w:tab/>
      </w:r>
      <w:r>
        <w:rPr>
          <w:sz w:val="18"/>
        </w:rPr>
        <w:t>OВ L 261, 7.10.2015 г.</w:t>
      </w:r>
    </w:p>
  </w:footnote>
  <w:footnote w:id="6">
    <w:p>
      <w:pPr>
        <w:pStyle w:val="FootnoteText"/>
        <w:rPr>
          <w:sz w:val="18"/>
          <w:szCs w:val="18"/>
          <w:lang w:val="pl-PL"/>
        </w:rPr>
      </w:pPr>
      <w:r>
        <w:rPr>
          <w:rStyle w:val="FootnoteReference"/>
          <w:sz w:val="18"/>
        </w:rPr>
        <w:footnoteRef/>
      </w:r>
      <w:r>
        <w:rPr>
          <w:sz w:val="18"/>
        </w:rPr>
        <w:t xml:space="preserve"> </w:t>
      </w:r>
      <w:r>
        <w:tab/>
      </w:r>
      <w:r>
        <w:rPr>
          <w:sz w:val="18"/>
        </w:rPr>
        <w:t>OВ L 261, 7.10.2015 г.</w:t>
      </w:r>
    </w:p>
  </w:footnote>
  <w:footnote w:id="7">
    <w:p>
      <w:pPr>
        <w:pStyle w:val="FootnoteText"/>
        <w:rPr>
          <w:sz w:val="18"/>
          <w:szCs w:val="18"/>
          <w:lang w:val="pl-PL"/>
        </w:rPr>
      </w:pPr>
      <w:r>
        <w:rPr>
          <w:rStyle w:val="FootnoteReference"/>
          <w:sz w:val="18"/>
        </w:rPr>
        <w:footnoteRef/>
      </w:r>
      <w:r>
        <w:rPr>
          <w:sz w:val="18"/>
        </w:rPr>
        <w:t xml:space="preserve"> </w:t>
      </w:r>
      <w:r>
        <w:tab/>
      </w:r>
      <w:r>
        <w:rPr>
          <w:sz w:val="18"/>
        </w:rPr>
        <w:t>OВ L 261, 7.10.2015 г.</w:t>
      </w:r>
    </w:p>
  </w:footnote>
  <w:footnote w:id="8">
    <w:p>
      <w:pPr>
        <w:pStyle w:val="FootnoteText"/>
        <w:rPr>
          <w:sz w:val="18"/>
          <w:szCs w:val="18"/>
          <w:lang w:val="pl-PL"/>
        </w:rPr>
      </w:pPr>
      <w:r>
        <w:rPr>
          <w:rStyle w:val="FootnoteReference"/>
          <w:sz w:val="18"/>
        </w:rPr>
        <w:footnoteRef/>
      </w:r>
      <w:r>
        <w:rPr>
          <w:sz w:val="18"/>
        </w:rPr>
        <w:t xml:space="preserve"> </w:t>
      </w:r>
      <w:r>
        <w:tab/>
      </w:r>
      <w:r>
        <w:rPr>
          <w:sz w:val="18"/>
        </w:rPr>
        <w:t>OВ L 261, 7.10.2015 г.</w:t>
      </w:r>
    </w:p>
  </w:footnote>
  <w:footnote w:id="9">
    <w:p>
      <w:pPr>
        <w:pStyle w:val="FootnoteText"/>
        <w:rPr>
          <w:lang w:val="pl-PL"/>
        </w:rPr>
      </w:pPr>
      <w:r>
        <w:rPr>
          <w:rStyle w:val="FootnoteReference"/>
          <w:sz w:val="18"/>
        </w:rPr>
        <w:footnoteRef/>
      </w:r>
      <w:r>
        <w:rPr>
          <w:sz w:val="18"/>
        </w:rPr>
        <w:t xml:space="preserve"> </w:t>
      </w:r>
      <w:r>
        <w:tab/>
        <w:t>ОВ L XXX, XX.XX.XXX г.</w:t>
      </w:r>
    </w:p>
  </w:footnote>
  <w:footnote w:id="10">
    <w:p>
      <w:pPr>
        <w:pStyle w:val="FootnoteText"/>
        <w:rPr>
          <w:sz w:val="18"/>
          <w:szCs w:val="18"/>
          <w:lang w:val="pl-PL"/>
        </w:rPr>
      </w:pPr>
      <w:r>
        <w:rPr>
          <w:rStyle w:val="FootnoteReference"/>
          <w:sz w:val="18"/>
        </w:rPr>
        <w:footnoteRef/>
      </w:r>
      <w:r>
        <w:rPr>
          <w:sz w:val="18"/>
        </w:rPr>
        <w:t xml:space="preserve"> </w:t>
      </w:r>
      <w:r>
        <w:tab/>
      </w:r>
      <w:r>
        <w:rPr>
          <w:sz w:val="18"/>
        </w:rPr>
        <w:t>ОВ L XXX, XX.XX.XXX г.</w:t>
      </w:r>
    </w:p>
  </w:footnote>
  <w:footnote w:id="11">
    <w:p>
      <w:pPr>
        <w:pStyle w:val="FootnoteText"/>
        <w:rPr>
          <w:sz w:val="18"/>
          <w:szCs w:val="18"/>
          <w:lang w:val="pl-PL"/>
        </w:rPr>
      </w:pPr>
      <w:r>
        <w:rPr>
          <w:rStyle w:val="FootnoteReference"/>
          <w:sz w:val="18"/>
        </w:rPr>
        <w:footnoteRef/>
      </w:r>
      <w:r>
        <w:rPr>
          <w:sz w:val="18"/>
        </w:rPr>
        <w:t xml:space="preserve"> </w:t>
      </w:r>
      <w:r>
        <w:tab/>
      </w:r>
      <w:r>
        <w:rPr>
          <w:sz w:val="18"/>
        </w:rPr>
        <w:t>ОВ L 130, 31.5.2000 г., стр. 1.</w:t>
      </w:r>
    </w:p>
  </w:footnote>
  <w:footnote w:id="12">
    <w:p>
      <w:pPr>
        <w:pStyle w:val="FootnoteText"/>
        <w:rPr>
          <w:sz w:val="18"/>
          <w:szCs w:val="18"/>
          <w:lang w:val="pl-PL"/>
        </w:rPr>
      </w:pPr>
      <w:r>
        <w:rPr>
          <w:rStyle w:val="FootnoteReference"/>
        </w:rPr>
        <w:footnoteRef/>
      </w:r>
      <w:r>
        <w:t xml:space="preserve"> </w:t>
      </w:r>
      <w:r>
        <w:tab/>
      </w:r>
      <w:r>
        <w:rPr>
          <w:sz w:val="18"/>
        </w:rPr>
        <w:t>ОВ L 367, 23.12.2014 г., стр. 14.</w:t>
      </w:r>
    </w:p>
  </w:footnote>
  <w:footnote w:id="13">
    <w:p>
      <w:pPr>
        <w:pStyle w:val="FootnoteText"/>
        <w:rPr>
          <w:lang w:val="pl-PL"/>
        </w:rPr>
      </w:pPr>
      <w:r>
        <w:rPr>
          <w:rStyle w:val="FootnoteReference"/>
        </w:rPr>
        <w:footnoteRef/>
      </w:r>
      <w:r>
        <w:rPr>
          <w:sz w:val="18"/>
        </w:rPr>
        <w:t xml:space="preserve"> </w:t>
      </w:r>
      <w:r>
        <w:tab/>
      </w:r>
      <w:r>
        <w:rPr>
          <w:sz w:val="18"/>
        </w:rPr>
        <w:t>ОВ L 73, 17.3.2015 г., стр. 468.</w:t>
      </w:r>
    </w:p>
  </w:footnote>
  <w:footnote w:id="14">
    <w:p>
      <w:pPr>
        <w:pStyle w:val="FootnoteText"/>
        <w:rPr>
          <w:sz w:val="18"/>
          <w:szCs w:val="18"/>
        </w:rPr>
      </w:pPr>
      <w:r>
        <w:rPr>
          <w:rStyle w:val="FootnoteReference"/>
        </w:rPr>
        <w:footnoteRef/>
      </w:r>
      <w:r>
        <w:t xml:space="preserve"> </w:t>
      </w:r>
      <w:r>
        <w:tab/>
      </w:r>
      <w:r>
        <w:rPr>
          <w:sz w:val="18"/>
        </w:rPr>
        <w:t>Вписването на тази сума в бюджета има за цел да неутрализира финансовото отражение за държавите членки по отношение на салдата по ДДС и по БНД, които те трябва да предоставят на първия работен ден на декември 2015 г.</w:t>
      </w:r>
    </w:p>
  </w:footnote>
  <w:footnote w:id="15">
    <w:p>
      <w:pPr>
        <w:pStyle w:val="FootnoteText"/>
        <w:rPr>
          <w:sz w:val="18"/>
          <w:szCs w:val="18"/>
        </w:rPr>
      </w:pPr>
      <w:r>
        <w:rPr>
          <w:rStyle w:val="FootnoteReference"/>
          <w:sz w:val="18"/>
        </w:rPr>
        <w:footnoteRef/>
      </w:r>
      <w:r>
        <w:rPr>
          <w:sz w:val="18"/>
        </w:rPr>
        <w:t xml:space="preserve"> </w:t>
      </w:r>
      <w:r>
        <w:tab/>
      </w:r>
      <w:r>
        <w:rPr>
          <w:sz w:val="18"/>
        </w:rPr>
        <w:t>Салда и корекции на салдата на база ДДС за предходните финансови години вследствие на прилагането на член 10, параграфи 4, 5 и 8 от Регламент (ЕО, Евратом) № 1150/2000.</w:t>
      </w:r>
    </w:p>
  </w:footnote>
  <w:footnote w:id="16">
    <w:p>
      <w:pPr>
        <w:pStyle w:val="FootnoteText"/>
        <w:rPr>
          <w:sz w:val="18"/>
          <w:szCs w:val="18"/>
        </w:rPr>
      </w:pPr>
      <w:r>
        <w:rPr>
          <w:rStyle w:val="FootnoteReference"/>
          <w:sz w:val="18"/>
        </w:rPr>
        <w:footnoteRef/>
      </w:r>
      <w:r>
        <w:rPr>
          <w:sz w:val="18"/>
        </w:rPr>
        <w:t xml:space="preserve"> </w:t>
      </w:r>
      <w:r>
        <w:tab/>
      </w:r>
      <w:r>
        <w:rPr>
          <w:sz w:val="18"/>
        </w:rPr>
        <w:t>Салда и корекции на салдата на база брутния национален доход/продукт за предходните финансови години вследствие на прилагането на член 10, параграфи 6—8 от Регламент (ЕО, Евратом) № 1150/2000.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4448C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9ED833C0"/>
    <w:lvl w:ilvl="0">
      <w:start w:val="1"/>
      <w:numFmt w:val="decimal"/>
      <w:lvlText w:val="%1."/>
      <w:lvlJc w:val="left"/>
      <w:pPr>
        <w:tabs>
          <w:tab w:val="num" w:pos="360"/>
        </w:tabs>
        <w:ind w:left="360" w:hanging="360"/>
      </w:pPr>
    </w:lvl>
  </w:abstractNum>
  <w:abstractNum w:abstractNumId="2">
    <w:nsid w:val="00A856D4"/>
    <w:multiLevelType w:val="hybridMultilevel"/>
    <w:tmpl w:val="B07CF3C4"/>
    <w:lvl w:ilvl="0" w:tplc="3D900F3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354526B"/>
    <w:multiLevelType w:val="hybridMultilevel"/>
    <w:tmpl w:val="18D88870"/>
    <w:lvl w:ilvl="0" w:tplc="8A36BA8C">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401886"/>
    <w:multiLevelType w:val="hybridMultilevel"/>
    <w:tmpl w:val="FBA0B950"/>
    <w:lvl w:ilvl="0" w:tplc="D1CAE414">
      <w:numFmt w:val="bullet"/>
      <w:lvlText w:val="-"/>
      <w:lvlJc w:val="left"/>
      <w:pPr>
        <w:tabs>
          <w:tab w:val="num" w:pos="810"/>
        </w:tabs>
        <w:ind w:left="810" w:hanging="45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F20AC0"/>
    <w:multiLevelType w:val="hybridMultilevel"/>
    <w:tmpl w:val="32B0E5D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A2403CB"/>
    <w:multiLevelType w:val="hybridMultilevel"/>
    <w:tmpl w:val="8B06DF60"/>
    <w:lvl w:ilvl="0" w:tplc="0FE4063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7936C33"/>
    <w:multiLevelType w:val="hybridMultilevel"/>
    <w:tmpl w:val="4036C0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8284234"/>
    <w:multiLevelType w:val="hybridMultilevel"/>
    <w:tmpl w:val="B1B622D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8795CFC"/>
    <w:multiLevelType w:val="hybridMultilevel"/>
    <w:tmpl w:val="D988CAFC"/>
    <w:lvl w:ilvl="0" w:tplc="040C000F">
      <w:start w:val="1"/>
      <w:numFmt w:val="decimal"/>
      <w:lvlText w:val="%1."/>
      <w:lvlJc w:val="left"/>
      <w:pPr>
        <w:tabs>
          <w:tab w:val="num" w:pos="720"/>
        </w:tabs>
        <w:ind w:left="720" w:hanging="360"/>
      </w:pPr>
    </w:lvl>
    <w:lvl w:ilvl="1" w:tplc="94027E84">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2AAA725C"/>
    <w:multiLevelType w:val="hybridMultilevel"/>
    <w:tmpl w:val="1C9E4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3">
    <w:nsid w:val="2F6F6245"/>
    <w:multiLevelType w:val="hybridMultilevel"/>
    <w:tmpl w:val="8842EE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F78565E"/>
    <w:multiLevelType w:val="hybridMultilevel"/>
    <w:tmpl w:val="3F76E56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nsid w:val="31246D7F"/>
    <w:multiLevelType w:val="hybridMultilevel"/>
    <w:tmpl w:val="E1EA8208"/>
    <w:lvl w:ilvl="0" w:tplc="94027E84">
      <w:start w:val="1"/>
      <w:numFmt w:val="bullet"/>
      <w:lvlText w:val=""/>
      <w:lvlJc w:val="left"/>
      <w:pPr>
        <w:tabs>
          <w:tab w:val="num" w:pos="1437"/>
        </w:tabs>
        <w:ind w:left="1437"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7">
    <w:nsid w:val="33BE45BD"/>
    <w:multiLevelType w:val="hybridMultilevel"/>
    <w:tmpl w:val="6D2219A0"/>
    <w:lvl w:ilvl="0" w:tplc="08090001">
      <w:start w:val="1"/>
      <w:numFmt w:val="bullet"/>
      <w:lvlText w:val=""/>
      <w:lvlJc w:val="left"/>
      <w:pPr>
        <w:tabs>
          <w:tab w:val="num" w:pos="720"/>
        </w:tabs>
        <w:ind w:left="720" w:hanging="360"/>
      </w:pPr>
      <w:rPr>
        <w:rFonts w:ascii="Symbol" w:hAnsi="Symbol" w:hint="default"/>
      </w:rPr>
    </w:lvl>
    <w:lvl w:ilvl="1" w:tplc="94027E84">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nsid w:val="34EA3932"/>
    <w:multiLevelType w:val="hybridMultilevel"/>
    <w:tmpl w:val="FA52BE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0">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21">
    <w:nsid w:val="438628B4"/>
    <w:multiLevelType w:val="hybridMultilevel"/>
    <w:tmpl w:val="7706A2BE"/>
    <w:lvl w:ilvl="0" w:tplc="3D900F36">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nsid w:val="4AF131E8"/>
    <w:multiLevelType w:val="hybridMultilevel"/>
    <w:tmpl w:val="7EE22C9C"/>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50F627D1"/>
    <w:multiLevelType w:val="hybridMultilevel"/>
    <w:tmpl w:val="9D3462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39E2343"/>
    <w:multiLevelType w:val="hybridMultilevel"/>
    <w:tmpl w:val="D89C5EF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nsid w:val="54FB55F2"/>
    <w:multiLevelType w:val="hybridMultilevel"/>
    <w:tmpl w:val="63DED26E"/>
    <w:lvl w:ilvl="0" w:tplc="34DC57B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8D36DEC"/>
    <w:multiLevelType w:val="hybridMultilevel"/>
    <w:tmpl w:val="79644CE6"/>
    <w:lvl w:ilvl="0" w:tplc="8A36BA8C">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nsid w:val="6D2B5511"/>
    <w:multiLevelType w:val="singleLevel"/>
    <w:tmpl w:val="74A09970"/>
    <w:name w:val="Heading__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30">
    <w:nsid w:val="6D38527D"/>
    <w:multiLevelType w:val="hybridMultilevel"/>
    <w:tmpl w:val="C0B8F2B8"/>
    <w:lvl w:ilvl="0" w:tplc="EB1C0EE4">
      <w:start w:val="4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123216D"/>
    <w:multiLevelType w:val="hybridMultilevel"/>
    <w:tmpl w:val="F648ECEA"/>
    <w:lvl w:ilvl="0" w:tplc="5810F3C8">
      <w:start w:val="1"/>
      <w:numFmt w:val="bullet"/>
      <w:lvlText w:val=""/>
      <w:lvlJc w:val="left"/>
      <w:pPr>
        <w:tabs>
          <w:tab w:val="num" w:pos="720"/>
        </w:tabs>
        <w:ind w:left="720" w:hanging="360"/>
      </w:pPr>
      <w:rPr>
        <w:rFonts w:ascii="Symbol" w:hAnsi="Symbol" w:hint="default"/>
      </w:rPr>
    </w:lvl>
    <w:lvl w:ilvl="1" w:tplc="E45E7B3C" w:tentative="1">
      <w:start w:val="1"/>
      <w:numFmt w:val="bullet"/>
      <w:lvlText w:val="o"/>
      <w:lvlJc w:val="left"/>
      <w:pPr>
        <w:tabs>
          <w:tab w:val="num" w:pos="1440"/>
        </w:tabs>
        <w:ind w:left="1440" w:hanging="360"/>
      </w:pPr>
      <w:rPr>
        <w:rFonts w:ascii="Courier New" w:hAnsi="Courier New" w:cs="Courier New" w:hint="default"/>
      </w:rPr>
    </w:lvl>
    <w:lvl w:ilvl="2" w:tplc="46941928" w:tentative="1">
      <w:start w:val="1"/>
      <w:numFmt w:val="bullet"/>
      <w:lvlText w:val=""/>
      <w:lvlJc w:val="left"/>
      <w:pPr>
        <w:tabs>
          <w:tab w:val="num" w:pos="2160"/>
        </w:tabs>
        <w:ind w:left="2160" w:hanging="360"/>
      </w:pPr>
      <w:rPr>
        <w:rFonts w:ascii="Wingdings" w:hAnsi="Wingdings" w:hint="default"/>
      </w:rPr>
    </w:lvl>
    <w:lvl w:ilvl="3" w:tplc="9906EA66" w:tentative="1">
      <w:start w:val="1"/>
      <w:numFmt w:val="bullet"/>
      <w:lvlText w:val=""/>
      <w:lvlJc w:val="left"/>
      <w:pPr>
        <w:tabs>
          <w:tab w:val="num" w:pos="2880"/>
        </w:tabs>
        <w:ind w:left="2880" w:hanging="360"/>
      </w:pPr>
      <w:rPr>
        <w:rFonts w:ascii="Symbol" w:hAnsi="Symbol" w:hint="default"/>
      </w:rPr>
    </w:lvl>
    <w:lvl w:ilvl="4" w:tplc="F54297AE" w:tentative="1">
      <w:start w:val="1"/>
      <w:numFmt w:val="bullet"/>
      <w:lvlText w:val="o"/>
      <w:lvlJc w:val="left"/>
      <w:pPr>
        <w:tabs>
          <w:tab w:val="num" w:pos="3600"/>
        </w:tabs>
        <w:ind w:left="3600" w:hanging="360"/>
      </w:pPr>
      <w:rPr>
        <w:rFonts w:ascii="Courier New" w:hAnsi="Courier New" w:cs="Courier New" w:hint="default"/>
      </w:rPr>
    </w:lvl>
    <w:lvl w:ilvl="5" w:tplc="878EFA52" w:tentative="1">
      <w:start w:val="1"/>
      <w:numFmt w:val="bullet"/>
      <w:lvlText w:val=""/>
      <w:lvlJc w:val="left"/>
      <w:pPr>
        <w:tabs>
          <w:tab w:val="num" w:pos="4320"/>
        </w:tabs>
        <w:ind w:left="4320" w:hanging="360"/>
      </w:pPr>
      <w:rPr>
        <w:rFonts w:ascii="Wingdings" w:hAnsi="Wingdings" w:hint="default"/>
      </w:rPr>
    </w:lvl>
    <w:lvl w:ilvl="6" w:tplc="B0DEB76A" w:tentative="1">
      <w:start w:val="1"/>
      <w:numFmt w:val="bullet"/>
      <w:lvlText w:val=""/>
      <w:lvlJc w:val="left"/>
      <w:pPr>
        <w:tabs>
          <w:tab w:val="num" w:pos="5040"/>
        </w:tabs>
        <w:ind w:left="5040" w:hanging="360"/>
      </w:pPr>
      <w:rPr>
        <w:rFonts w:ascii="Symbol" w:hAnsi="Symbol" w:hint="default"/>
      </w:rPr>
    </w:lvl>
    <w:lvl w:ilvl="7" w:tplc="F0B2655E" w:tentative="1">
      <w:start w:val="1"/>
      <w:numFmt w:val="bullet"/>
      <w:lvlText w:val="o"/>
      <w:lvlJc w:val="left"/>
      <w:pPr>
        <w:tabs>
          <w:tab w:val="num" w:pos="5760"/>
        </w:tabs>
        <w:ind w:left="5760" w:hanging="360"/>
      </w:pPr>
      <w:rPr>
        <w:rFonts w:ascii="Courier New" w:hAnsi="Courier New" w:cs="Courier New" w:hint="default"/>
      </w:rPr>
    </w:lvl>
    <w:lvl w:ilvl="8" w:tplc="41F24686"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0"/>
  </w:num>
  <w:num w:numId="3">
    <w:abstractNumId w:val="2"/>
  </w:num>
  <w:num w:numId="4">
    <w:abstractNumId w:val="20"/>
  </w:num>
  <w:num w:numId="5">
    <w:abstractNumId w:val="31"/>
  </w:num>
  <w:num w:numId="6">
    <w:abstractNumId w:val="20"/>
  </w:num>
  <w:num w:numId="7">
    <w:abstractNumId w:val="29"/>
  </w:num>
  <w:num w:numId="8">
    <w:abstractNumId w:val="19"/>
  </w:num>
  <w:num w:numId="9">
    <w:abstractNumId w:val="10"/>
  </w:num>
  <w:num w:numId="10">
    <w:abstractNumId w:val="17"/>
  </w:num>
  <w:num w:numId="11">
    <w:abstractNumId w:val="18"/>
  </w:num>
  <w:num w:numId="12">
    <w:abstractNumId w:val="5"/>
  </w:num>
  <w:num w:numId="13">
    <w:abstractNumId w:val="8"/>
  </w:num>
  <w:num w:numId="14">
    <w:abstractNumId w:val="12"/>
  </w:num>
  <w:num w:numId="15">
    <w:abstractNumId w:val="15"/>
  </w:num>
  <w:num w:numId="16">
    <w:abstractNumId w:val="21"/>
  </w:num>
  <w:num w:numId="17">
    <w:abstractNumId w:val="20"/>
  </w:num>
  <w:num w:numId="18">
    <w:abstractNumId w:val="27"/>
  </w:num>
  <w:num w:numId="19">
    <w:abstractNumId w:val="4"/>
  </w:num>
  <w:num w:numId="20">
    <w:abstractNumId w:val="14"/>
  </w:num>
  <w:num w:numId="21">
    <w:abstractNumId w:val="20"/>
  </w:num>
  <w:num w:numId="22">
    <w:abstractNumId w:val="20"/>
  </w:num>
  <w:num w:numId="23">
    <w:abstractNumId w:val="3"/>
  </w:num>
  <w:num w:numId="24">
    <w:abstractNumId w:val="30"/>
  </w:num>
  <w:num w:numId="25">
    <w:abstractNumId w:val="26"/>
  </w:num>
  <w:num w:numId="26">
    <w:abstractNumId w:val="0"/>
  </w:num>
  <w:num w:numId="27">
    <w:abstractNumId w:val="24"/>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7"/>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28"/>
  </w:num>
  <w:num w:numId="39">
    <w:abstractNumId w:val="2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num>
  <w:num w:numId="44">
    <w:abstractNumId w:val="13"/>
  </w:num>
  <w:num w:numId="45">
    <w:abstractNumId w:val="22"/>
  </w:num>
  <w:num w:numId="46">
    <w:abstractNumId w:val="6"/>
  </w:num>
  <w:num w:numId="47">
    <w:abstractNumId w:val="25"/>
  </w:num>
  <w:num w:numId="48">
    <w:abstractNumId w:val="23"/>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930CB94BC4F24CDEB73623F4159F26A3"/>
    <w:docVar w:name="LW_CROSSREFERENCE" w:val="&lt;UNUSED&gt;"/>
    <w:docVar w:name="LW_DocType" w:val="NORMAL"/>
    <w:docVar w:name="LW_EMISSION" w:val="19.10.2015"/>
    <w:docVar w:name="LW_EMISSION_ISODATE" w:val="2015-10-19"/>
    <w:docVar w:name="LW_EMISSION_LOCATION" w:val="BRX"/>
    <w:docVar w:name="LW_EMISSION_PREFIX" w:val="Брюксел, "/>
    <w:docVar w:name="LW_EMISSION_SUFFIX" w:val=" \u1075?."/>
    <w:docVar w:name="LW_ID_DOCTYPE_NONLW" w:val="CP-03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545"/>
    <w:docVar w:name="LW_REF.INTERNE" w:val="&lt;UNUSED&gt;"/>
    <w:docVar w:name="LW_SOUS.TITRE.OBJ.CP" w:val="&lt;UNUSED&gt;"/>
    <w:docVar w:name="LW_SUPERTITRE" w:val="&lt;UNUSED&gt;"/>
    <w:docVar w:name="LW_TITRE.OBJ.CP" w:val="\u1057?\u1054?\u1041?\u1057?\u1058?\u1042?\u1045?\u1053?\u1048? \u1056?\u1045?\u1057?\u1059?\u1056?\u1057?\u1048?_x000b_\u1045?\u1042?\u1056?\u1054?\u1055?\u1045?\u1049?\u1057?\u1050?\u1048? \u1053?\u1040?\u1044?\u1047?\u1054?\u1056?\u1045?\u1053? \u1054?\u1056?\u1043?\u1040?\u1053? \u1055?\u1054? \u1047?\u1040?\u1065?\u1048?\u1058?\u1040? \u1053?\u1040? \u1044?\u1040?\u1053?\u1053?\u1048?\u1058?\u1045?"/>
    <w:docVar w:name="LW_TITRE.OBJ.CP_PREVIOUS" w:val="&lt;UNUSED&gt;"/>
    <w:docVar w:name="LW_TYPE.DOC.CP" w:val="\u1055?\u1056?\u1054?\u1045?\u1050?\u1058? \u1053?\u1040? \u1050?\u1054?\u1056?\u1048?\u1043?\u1048?\u1056?\u1040?\u1065? \u1041?\u1070?\u1044?\u1046?\u1045?\u1058? \u8470? 8_x000b_\u1050?\u1066?\u1052? \u1054?\u1041?\u1065?\u1048?\u1071? \u1041?\u1070?\u1044?\u1046?\u1045?\u1058? \u1047?\u1040? 2015 \u1043?."/>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autoRedefine/>
    <w:qFormat/>
    <w:pPr>
      <w:keepNext/>
      <w:spacing w:before="240" w:after="120"/>
      <w:outlineLvl w:val="0"/>
    </w:pPr>
    <w:rPr>
      <w:rFonts w:ascii="Arial" w:hAnsi="Arial" w:cs="Arial"/>
      <w:b/>
      <w:bCs/>
      <w:kern w:val="32"/>
      <w:sz w:val="32"/>
      <w:szCs w:val="32"/>
    </w:rPr>
  </w:style>
  <w:style w:type="paragraph" w:styleId="Heading2">
    <w:name w:val="heading 2"/>
    <w:basedOn w:val="Normal"/>
    <w:next w:val="Normal"/>
    <w:autoRedefine/>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autoRedefine/>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qFormat/>
    <w:pPr>
      <w:keepNext/>
      <w:numPr>
        <w:ilvl w:val="3"/>
      </w:numPr>
      <w:tabs>
        <w:tab w:val="num" w:pos="1030"/>
      </w:tabs>
      <w:spacing w:before="120" w:after="120"/>
      <w:ind w:left="1030" w:hanging="850"/>
      <w:jc w:val="both"/>
      <w:outlineLvl w:val="3"/>
    </w:pPr>
    <w:rPr>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5"/>
        <w:tab w:val="right" w:pos="9071"/>
        <w:tab w:val="right" w:pos="9921"/>
      </w:tabs>
      <w:spacing w:before="360"/>
      <w:ind w:left="-850" w:right="-850"/>
    </w:pPr>
  </w:style>
  <w:style w:type="paragraph" w:styleId="FootnoteText">
    <w:name w:val="footnote text"/>
    <w:basedOn w:val="Normal"/>
    <w:link w:val="FootnoteTextChar"/>
    <w:pPr>
      <w:ind w:left="720" w:hanging="720"/>
      <w:jc w:val="both"/>
    </w:pPr>
    <w:rPr>
      <w:sz w:val="20"/>
      <w:szCs w:val="20"/>
    </w:rPr>
  </w:style>
  <w:style w:type="paragraph" w:styleId="TOC1">
    <w:name w:val="toc 1"/>
    <w:basedOn w:val="Normal"/>
    <w:next w:val="Normal"/>
    <w:uiPriority w:val="39"/>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uiPriority w:val="99"/>
    <w:rPr>
      <w:vertAlign w:val="superscript"/>
    </w:rPr>
  </w:style>
  <w:style w:type="paragraph" w:customStyle="1" w:styleId="Text1">
    <w:name w:val="Text 1"/>
    <w:basedOn w:val="Normal"/>
    <w:pPr>
      <w:spacing w:before="120" w:after="120"/>
      <w:ind w:left="850"/>
      <w:jc w:val="both"/>
    </w:pPr>
  </w:style>
  <w:style w:type="paragraph" w:customStyle="1" w:styleId="Tiret0">
    <w:name w:val="Tiret 0"/>
    <w:basedOn w:val="Normal"/>
    <w:pPr>
      <w:numPr>
        <w:numId w:val="1"/>
      </w:numPr>
      <w:spacing w:before="120" w:after="120"/>
      <w:jc w:val="both"/>
    </w:p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rPr>
  </w:style>
  <w:style w:type="paragraph" w:customStyle="1" w:styleId="ManualHeading2">
    <w:name w:val="Manual Heading 2"/>
    <w:basedOn w:val="Normal"/>
    <w:next w:val="Normal"/>
    <w:pPr>
      <w:keepNext/>
      <w:tabs>
        <w:tab w:val="left" w:pos="850"/>
      </w:tabs>
      <w:spacing w:before="120" w:after="120"/>
      <w:ind w:left="850" w:hanging="850"/>
      <w:jc w:val="both"/>
      <w:outlineLvl w:val="1"/>
    </w:pPr>
    <w:rPr>
      <w:b/>
    </w:rPr>
  </w:style>
  <w:style w:type="paragraph" w:customStyle="1" w:styleId="ListDash">
    <w:name w:val="List Dash"/>
    <w:basedOn w:val="Normal"/>
    <w:link w:val="ListDashChar"/>
    <w:pPr>
      <w:numPr>
        <w:numId w:val="2"/>
      </w:numPr>
      <w:spacing w:before="120" w:after="120"/>
      <w:jc w:val="both"/>
    </w:pPr>
  </w:style>
  <w:style w:type="paragraph" w:styleId="TOCHeading">
    <w:name w:val="TOC Heading"/>
    <w:basedOn w:val="Normal"/>
    <w:next w:val="Normal"/>
    <w:uiPriority w:val="39"/>
    <w:qFormat/>
    <w:pPr>
      <w:spacing w:before="120" w:after="240"/>
      <w:jc w:val="center"/>
    </w:pPr>
    <w:rPr>
      <w:b/>
      <w:sz w:val="28"/>
    </w:r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pPr>
      <w:spacing w:before="360"/>
      <w:jc w:val="center"/>
    </w:pPr>
    <w:rPr>
      <w:b/>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style>
  <w:style w:type="paragraph" w:styleId="Header">
    <w:name w:val="header"/>
    <w:basedOn w:val="Normal"/>
    <w:pPr>
      <w:tabs>
        <w:tab w:val="center" w:pos="4536"/>
        <w:tab w:val="right" w:pos="9072"/>
      </w:tabs>
    </w:p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uiPriority w:val="39"/>
    <w:pPr>
      <w:ind w:left="240"/>
    </w:pPr>
    <w:rPr>
      <w:smallCaps/>
      <w:sz w:val="20"/>
      <w:szCs w:val="20"/>
    </w:rPr>
  </w:style>
  <w:style w:type="paragraph" w:styleId="TOC3">
    <w:name w:val="toc 3"/>
    <w:basedOn w:val="Normal"/>
    <w:next w:val="Normal"/>
    <w:autoRedefine/>
    <w:semiHidden/>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ListBullet">
    <w:name w:val="List Bullet"/>
    <w:basedOn w:val="Normal"/>
    <w:pPr>
      <w:numPr>
        <w:numId w:val="7"/>
      </w:numPr>
      <w:spacing w:before="120" w:after="120"/>
      <w:jc w:val="both"/>
    </w:pPr>
  </w:style>
  <w:style w:type="paragraph" w:customStyle="1" w:styleId="ListDash2">
    <w:name w:val="List Dash 2"/>
    <w:basedOn w:val="Normal"/>
    <w:pPr>
      <w:tabs>
        <w:tab w:val="num" w:pos="1134"/>
      </w:tabs>
      <w:spacing w:before="120" w:after="120"/>
      <w:ind w:left="1134" w:hanging="283"/>
      <w:jc w:val="both"/>
    </w:pPr>
  </w:style>
  <w:style w:type="paragraph" w:customStyle="1" w:styleId="ListBullet1">
    <w:name w:val="List Bullet 1"/>
    <w:basedOn w:val="Text1"/>
    <w:pPr>
      <w:numPr>
        <w:numId w:val="8"/>
      </w:numPr>
      <w:spacing w:before="0" w:after="240"/>
    </w:pPr>
    <w:rPr>
      <w:szCs w:val="20"/>
    </w:rPr>
  </w:style>
  <w:style w:type="paragraph" w:styleId="ListBullet2">
    <w:name w:val="List Bullet 2"/>
    <w:basedOn w:val="Normal"/>
    <w:pPr>
      <w:numPr>
        <w:numId w:val="14"/>
      </w:numPr>
      <w:spacing w:after="240"/>
      <w:jc w:val="both"/>
    </w:pPr>
    <w:rPr>
      <w:szCs w:val="2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jc w:val="center"/>
    </w:pPr>
    <w:rPr>
      <w:b/>
    </w:rPr>
  </w:style>
  <w:style w:type="paragraph" w:customStyle="1" w:styleId="Titreobjet">
    <w:name w:val="Titre objet"/>
    <w:basedOn w:val="Normal"/>
    <w:next w:val="Normal"/>
    <w:pPr>
      <w:spacing w:before="360" w:after="360"/>
      <w:jc w:val="center"/>
    </w:pPr>
    <w:rPr>
      <w:b/>
    </w:rPr>
  </w:style>
  <w:style w:type="character" w:styleId="Emphasis">
    <w:name w:val="Emphasis"/>
    <w:qFormat/>
    <w:rPr>
      <w:i/>
      <w:iCs/>
    </w:rPr>
  </w:style>
  <w:style w:type="paragraph" w:styleId="NormalWeb">
    <w:name w:val="Normal (Web)"/>
    <w:basedOn w:val="Normal"/>
    <w:pPr>
      <w:spacing w:before="100" w:beforeAutospacing="1" w:after="100" w:afterAutospacing="1"/>
    </w:pPr>
  </w:style>
  <w:style w:type="paragraph" w:customStyle="1" w:styleId="Text2">
    <w:name w:val="Text 2"/>
    <w:basedOn w:val="Normal"/>
    <w:pPr>
      <w:spacing w:before="120" w:after="120"/>
      <w:ind w:left="850"/>
      <w:jc w:val="both"/>
    </w:pPr>
  </w:style>
  <w:style w:type="paragraph" w:styleId="BalloonText">
    <w:name w:val="Balloon Text"/>
    <w:basedOn w:val="Normal"/>
    <w:semiHidden/>
    <w:rPr>
      <w:rFonts w:ascii="Tahoma" w:hAnsi="Tahoma" w:cs="Tahoma"/>
      <w:sz w:val="16"/>
      <w:szCs w:val="16"/>
    </w:rPr>
  </w:style>
  <w:style w:type="paragraph" w:styleId="ListNumber">
    <w:name w:val="List Number"/>
    <w:basedOn w:val="Normal"/>
    <w:pPr>
      <w:numPr>
        <w:numId w:val="18"/>
      </w:numPr>
      <w:spacing w:before="120" w:after="120"/>
      <w:jc w:val="both"/>
    </w:pPr>
  </w:style>
  <w:style w:type="paragraph" w:customStyle="1" w:styleId="ListNumberLevel2">
    <w:name w:val="List Number (Level 2)"/>
    <w:basedOn w:val="Normal"/>
    <w:pPr>
      <w:numPr>
        <w:ilvl w:val="1"/>
        <w:numId w:val="18"/>
      </w:numPr>
      <w:spacing w:before="120" w:after="120"/>
      <w:jc w:val="both"/>
    </w:pPr>
  </w:style>
  <w:style w:type="paragraph" w:customStyle="1" w:styleId="ListNumberLevel3">
    <w:name w:val="List Number (Level 3)"/>
    <w:basedOn w:val="Normal"/>
    <w:pPr>
      <w:numPr>
        <w:ilvl w:val="2"/>
        <w:numId w:val="18"/>
      </w:numPr>
      <w:spacing w:before="120" w:after="120"/>
      <w:jc w:val="both"/>
    </w:pPr>
  </w:style>
  <w:style w:type="paragraph" w:customStyle="1" w:styleId="ListNumberLevel4">
    <w:name w:val="List Number (Level 4)"/>
    <w:basedOn w:val="Normal"/>
    <w:pPr>
      <w:numPr>
        <w:ilvl w:val="3"/>
        <w:numId w:val="18"/>
      </w:numPr>
      <w:spacing w:before="120" w:after="120"/>
      <w:jc w:val="both"/>
    </w:pPr>
  </w:style>
  <w:style w:type="character" w:customStyle="1" w:styleId="ListDashChar">
    <w:name w:val="List Dash Char"/>
    <w:link w:val="ListDash"/>
    <w:rPr>
      <w:sz w:val="24"/>
      <w:szCs w:val="24"/>
      <w:lang w:eastAsia="bg-BG"/>
    </w:rPr>
  </w:style>
  <w:style w:type="paragraph" w:customStyle="1" w:styleId="StyleManualHeading2Italic">
    <w:name w:val="Style Manual Heading 2 + Italic"/>
    <w:basedOn w:val="ManualHeading2"/>
    <w:autoRedefine/>
    <w:pPr>
      <w:spacing w:before="160" w:after="160"/>
      <w:ind w:left="851" w:hanging="851"/>
    </w:pPr>
    <w:rPr>
      <w:bCs/>
      <w:i/>
      <w:iCs/>
    </w:rPr>
  </w:style>
  <w:style w:type="character" w:customStyle="1" w:styleId="FootnoteTextChar">
    <w:name w:val="Footnote Text Char"/>
    <w:link w:val="FootnoteText"/>
    <w:rPr>
      <w:lang w:eastAsia="bg-BG"/>
    </w:rPr>
  </w:style>
  <w:style w:type="paragraph" w:customStyle="1" w:styleId="NormalCentered">
    <w:name w:val="Normal Centered"/>
    <w:basedOn w:val="Normal"/>
    <w:uiPriority w:val="99"/>
    <w:pPr>
      <w:spacing w:before="120" w:after="120"/>
      <w:jc w:val="center"/>
    </w:pPr>
  </w:style>
  <w:style w:type="paragraph" w:customStyle="1" w:styleId="NormalRight">
    <w:name w:val="Normal Right"/>
    <w:basedOn w:val="Normal"/>
    <w:uiPriority w:val="99"/>
    <w:pPr>
      <w:spacing w:before="120" w:after="120"/>
      <w:jc w:val="right"/>
    </w:pPr>
  </w:style>
  <w:style w:type="paragraph" w:customStyle="1" w:styleId="NormalLeft">
    <w:name w:val="Normal Left"/>
    <w:basedOn w:val="Normal"/>
    <w:uiPriority w:val="99"/>
    <w:pPr>
      <w:spacing w:before="120" w:after="120"/>
    </w:pPr>
  </w:style>
  <w:style w:type="paragraph" w:styleId="Revision">
    <w:name w:val="Revision"/>
    <w:hidden/>
    <w:uiPriority w:val="99"/>
    <w:semiHidden/>
    <w:rPr>
      <w:sz w:val="24"/>
      <w:szCs w:val="24"/>
    </w:rPr>
  </w:style>
  <w:style w:type="paragraph" w:customStyle="1" w:styleId="Statut">
    <w:name w:val="Statut"/>
    <w:basedOn w:val="Normal"/>
    <w:next w:val="Typedudocument"/>
    <w:pPr>
      <w:spacing w:before="360"/>
      <w:jc w:val="center"/>
    </w:pPr>
    <w:rPr>
      <w:rFonts w:eastAsia="Calibri"/>
      <w:szCs w:val="22"/>
    </w:rPr>
  </w:style>
  <w:style w:type="paragraph" w:customStyle="1" w:styleId="Footnoter">
    <w:name w:val="Footnote r"/>
    <w:basedOn w:val="Normal"/>
    <w:pPr>
      <w:shd w:val="clear" w:color="auto" w:fill="F2F8FB"/>
      <w:spacing w:before="100" w:beforeAutospacing="1" w:after="100" w:afterAutospacing="1"/>
    </w:pPr>
    <w:rPr>
      <w:szCs w:val="22"/>
    </w:rPr>
  </w:style>
  <w:style w:type="character" w:customStyle="1" w:styleId="hps">
    <w:name w:val="hps"/>
  </w:style>
  <w:style w:type="paragraph" w:customStyle="1" w:styleId="Point0number">
    <w:name w:val="Point 0 (number)"/>
    <w:basedOn w:val="Normal"/>
    <w:pPr>
      <w:numPr>
        <w:numId w:val="35"/>
      </w:numPr>
      <w:spacing w:before="120" w:after="120"/>
      <w:jc w:val="both"/>
    </w:pPr>
    <w:rPr>
      <w:szCs w:val="22"/>
    </w:rPr>
  </w:style>
  <w:style w:type="paragraph" w:customStyle="1" w:styleId="Point1number">
    <w:name w:val="Point 1 (number)"/>
    <w:basedOn w:val="Normal"/>
    <w:pPr>
      <w:numPr>
        <w:ilvl w:val="2"/>
        <w:numId w:val="35"/>
      </w:numPr>
      <w:spacing w:before="120" w:after="120"/>
      <w:jc w:val="both"/>
    </w:pPr>
    <w:rPr>
      <w:szCs w:val="22"/>
    </w:rPr>
  </w:style>
  <w:style w:type="paragraph" w:customStyle="1" w:styleId="Point2number">
    <w:name w:val="Point 2 (number)"/>
    <w:basedOn w:val="Normal"/>
    <w:pPr>
      <w:numPr>
        <w:ilvl w:val="4"/>
        <w:numId w:val="35"/>
      </w:numPr>
      <w:spacing w:before="120" w:after="120"/>
      <w:jc w:val="both"/>
    </w:pPr>
    <w:rPr>
      <w:szCs w:val="22"/>
    </w:rPr>
  </w:style>
  <w:style w:type="paragraph" w:customStyle="1" w:styleId="Point3number">
    <w:name w:val="Point 3 (number)"/>
    <w:basedOn w:val="Normal"/>
    <w:pPr>
      <w:numPr>
        <w:ilvl w:val="6"/>
        <w:numId w:val="35"/>
      </w:numPr>
      <w:spacing w:before="120" w:after="120"/>
      <w:jc w:val="both"/>
    </w:pPr>
    <w:rPr>
      <w:szCs w:val="22"/>
    </w:rPr>
  </w:style>
  <w:style w:type="paragraph" w:customStyle="1" w:styleId="Point0letter">
    <w:name w:val="Point 0 (letter)"/>
    <w:basedOn w:val="Normal"/>
    <w:pPr>
      <w:numPr>
        <w:ilvl w:val="1"/>
        <w:numId w:val="35"/>
      </w:numPr>
      <w:spacing w:before="120" w:after="120"/>
      <w:jc w:val="both"/>
    </w:pPr>
    <w:rPr>
      <w:szCs w:val="22"/>
    </w:rPr>
  </w:style>
  <w:style w:type="paragraph" w:customStyle="1" w:styleId="Point1letter">
    <w:name w:val="Point 1 (letter)"/>
    <w:basedOn w:val="Normal"/>
    <w:pPr>
      <w:numPr>
        <w:ilvl w:val="3"/>
        <w:numId w:val="35"/>
      </w:numPr>
      <w:spacing w:before="120" w:after="120"/>
      <w:jc w:val="both"/>
    </w:pPr>
    <w:rPr>
      <w:szCs w:val="22"/>
    </w:rPr>
  </w:style>
  <w:style w:type="paragraph" w:customStyle="1" w:styleId="Point2letter">
    <w:name w:val="Point 2 (letter)"/>
    <w:basedOn w:val="Normal"/>
    <w:pPr>
      <w:numPr>
        <w:ilvl w:val="5"/>
        <w:numId w:val="35"/>
      </w:numPr>
      <w:spacing w:before="120" w:after="120"/>
      <w:jc w:val="both"/>
    </w:pPr>
    <w:rPr>
      <w:szCs w:val="22"/>
    </w:rPr>
  </w:style>
  <w:style w:type="paragraph" w:customStyle="1" w:styleId="Point3letter">
    <w:name w:val="Point 3 (letter)"/>
    <w:basedOn w:val="Normal"/>
    <w:pPr>
      <w:numPr>
        <w:ilvl w:val="7"/>
        <w:numId w:val="35"/>
      </w:numPr>
      <w:spacing w:before="120" w:after="120"/>
      <w:jc w:val="both"/>
    </w:pPr>
    <w:rPr>
      <w:szCs w:val="22"/>
    </w:rPr>
  </w:style>
  <w:style w:type="paragraph" w:customStyle="1" w:styleId="Point4letter">
    <w:name w:val="Point 4 (letter)"/>
    <w:basedOn w:val="Normal"/>
    <w:pPr>
      <w:numPr>
        <w:ilvl w:val="8"/>
        <w:numId w:val="35"/>
      </w:numPr>
      <w:spacing w:before="120" w:after="120"/>
      <w:jc w:val="both"/>
    </w:pPr>
    <w:rPr>
      <w:szCs w:val="22"/>
    </w:rPr>
  </w:style>
  <w:style w:type="paragraph" w:customStyle="1" w:styleId="Tiret2">
    <w:name w:val="Tiret 2"/>
    <w:basedOn w:val="Normal"/>
    <w:pPr>
      <w:numPr>
        <w:numId w:val="38"/>
      </w:numPr>
      <w:spacing w:before="120" w:after="120"/>
      <w:jc w:val="both"/>
    </w:pPr>
    <w:rPr>
      <w:szCs w:val="22"/>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spacing w:after="200" w:line="276" w:lineRule="auto"/>
      <w:ind w:left="720"/>
      <w:contextualSpacing/>
    </w:pPr>
    <w:rPr>
      <w:rFonts w:ascii="Calibri" w:eastAsia="MS Mincho" w:hAnsi="Calibri"/>
      <w:sz w:val="22"/>
      <w:szCs w:val="22"/>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Calibri" w:eastAsia="MS Mincho" w:hAnsi="Calibri"/>
      <w:sz w:val="22"/>
      <w:szCs w:val="22"/>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autoRedefine/>
    <w:qFormat/>
    <w:pPr>
      <w:keepNext/>
      <w:spacing w:before="240" w:after="120"/>
      <w:outlineLvl w:val="0"/>
    </w:pPr>
    <w:rPr>
      <w:rFonts w:ascii="Arial" w:hAnsi="Arial" w:cs="Arial"/>
      <w:b/>
      <w:bCs/>
      <w:kern w:val="32"/>
      <w:sz w:val="32"/>
      <w:szCs w:val="32"/>
    </w:rPr>
  </w:style>
  <w:style w:type="paragraph" w:styleId="Heading2">
    <w:name w:val="heading 2"/>
    <w:basedOn w:val="Normal"/>
    <w:next w:val="Normal"/>
    <w:autoRedefine/>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autoRedefine/>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qFormat/>
    <w:pPr>
      <w:keepNext/>
      <w:numPr>
        <w:ilvl w:val="3"/>
      </w:numPr>
      <w:tabs>
        <w:tab w:val="num" w:pos="1030"/>
      </w:tabs>
      <w:spacing w:before="120" w:after="120"/>
      <w:ind w:left="1030" w:hanging="850"/>
      <w:jc w:val="both"/>
      <w:outlineLvl w:val="3"/>
    </w:pPr>
    <w:rPr>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5"/>
        <w:tab w:val="right" w:pos="9071"/>
        <w:tab w:val="right" w:pos="9921"/>
      </w:tabs>
      <w:spacing w:before="360"/>
      <w:ind w:left="-850" w:right="-850"/>
    </w:pPr>
  </w:style>
  <w:style w:type="paragraph" w:styleId="FootnoteText">
    <w:name w:val="footnote text"/>
    <w:basedOn w:val="Normal"/>
    <w:link w:val="FootnoteTextChar"/>
    <w:pPr>
      <w:ind w:left="720" w:hanging="720"/>
      <w:jc w:val="both"/>
    </w:pPr>
    <w:rPr>
      <w:sz w:val="20"/>
      <w:szCs w:val="20"/>
    </w:rPr>
  </w:style>
  <w:style w:type="paragraph" w:styleId="TOC1">
    <w:name w:val="toc 1"/>
    <w:basedOn w:val="Normal"/>
    <w:next w:val="Normal"/>
    <w:uiPriority w:val="39"/>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uiPriority w:val="99"/>
    <w:rPr>
      <w:vertAlign w:val="superscript"/>
    </w:rPr>
  </w:style>
  <w:style w:type="paragraph" w:customStyle="1" w:styleId="Text1">
    <w:name w:val="Text 1"/>
    <w:basedOn w:val="Normal"/>
    <w:pPr>
      <w:spacing w:before="120" w:after="120"/>
      <w:ind w:left="850"/>
      <w:jc w:val="both"/>
    </w:pPr>
  </w:style>
  <w:style w:type="paragraph" w:customStyle="1" w:styleId="Tiret0">
    <w:name w:val="Tiret 0"/>
    <w:basedOn w:val="Normal"/>
    <w:pPr>
      <w:numPr>
        <w:numId w:val="1"/>
      </w:numPr>
      <w:spacing w:before="120" w:after="120"/>
      <w:jc w:val="both"/>
    </w:p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rPr>
  </w:style>
  <w:style w:type="paragraph" w:customStyle="1" w:styleId="ManualHeading2">
    <w:name w:val="Manual Heading 2"/>
    <w:basedOn w:val="Normal"/>
    <w:next w:val="Normal"/>
    <w:pPr>
      <w:keepNext/>
      <w:tabs>
        <w:tab w:val="left" w:pos="850"/>
      </w:tabs>
      <w:spacing w:before="120" w:after="120"/>
      <w:ind w:left="850" w:hanging="850"/>
      <w:jc w:val="both"/>
      <w:outlineLvl w:val="1"/>
    </w:pPr>
    <w:rPr>
      <w:b/>
    </w:rPr>
  </w:style>
  <w:style w:type="paragraph" w:customStyle="1" w:styleId="ListDash">
    <w:name w:val="List Dash"/>
    <w:basedOn w:val="Normal"/>
    <w:link w:val="ListDashChar"/>
    <w:pPr>
      <w:numPr>
        <w:numId w:val="2"/>
      </w:numPr>
      <w:spacing w:before="120" w:after="120"/>
      <w:jc w:val="both"/>
    </w:pPr>
  </w:style>
  <w:style w:type="paragraph" w:styleId="TOCHeading">
    <w:name w:val="TOC Heading"/>
    <w:basedOn w:val="Normal"/>
    <w:next w:val="Normal"/>
    <w:uiPriority w:val="39"/>
    <w:qFormat/>
    <w:pPr>
      <w:spacing w:before="120" w:after="240"/>
      <w:jc w:val="center"/>
    </w:pPr>
    <w:rPr>
      <w:b/>
      <w:sz w:val="28"/>
    </w:r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pPr>
      <w:spacing w:before="360"/>
      <w:jc w:val="center"/>
    </w:pPr>
    <w:rPr>
      <w:b/>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style>
  <w:style w:type="paragraph" w:styleId="Header">
    <w:name w:val="header"/>
    <w:basedOn w:val="Normal"/>
    <w:pPr>
      <w:tabs>
        <w:tab w:val="center" w:pos="4536"/>
        <w:tab w:val="right" w:pos="9072"/>
      </w:tabs>
    </w:p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uiPriority w:val="39"/>
    <w:pPr>
      <w:ind w:left="240"/>
    </w:pPr>
    <w:rPr>
      <w:smallCaps/>
      <w:sz w:val="20"/>
      <w:szCs w:val="20"/>
    </w:rPr>
  </w:style>
  <w:style w:type="paragraph" w:styleId="TOC3">
    <w:name w:val="toc 3"/>
    <w:basedOn w:val="Normal"/>
    <w:next w:val="Normal"/>
    <w:autoRedefine/>
    <w:semiHidden/>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ListBullet">
    <w:name w:val="List Bullet"/>
    <w:basedOn w:val="Normal"/>
    <w:pPr>
      <w:numPr>
        <w:numId w:val="7"/>
      </w:numPr>
      <w:spacing w:before="120" w:after="120"/>
      <w:jc w:val="both"/>
    </w:pPr>
  </w:style>
  <w:style w:type="paragraph" w:customStyle="1" w:styleId="ListDash2">
    <w:name w:val="List Dash 2"/>
    <w:basedOn w:val="Normal"/>
    <w:pPr>
      <w:tabs>
        <w:tab w:val="num" w:pos="1134"/>
      </w:tabs>
      <w:spacing w:before="120" w:after="120"/>
      <w:ind w:left="1134" w:hanging="283"/>
      <w:jc w:val="both"/>
    </w:pPr>
  </w:style>
  <w:style w:type="paragraph" w:customStyle="1" w:styleId="ListBullet1">
    <w:name w:val="List Bullet 1"/>
    <w:basedOn w:val="Text1"/>
    <w:pPr>
      <w:numPr>
        <w:numId w:val="8"/>
      </w:numPr>
      <w:spacing w:before="0" w:after="240"/>
    </w:pPr>
    <w:rPr>
      <w:szCs w:val="20"/>
    </w:rPr>
  </w:style>
  <w:style w:type="paragraph" w:styleId="ListBullet2">
    <w:name w:val="List Bullet 2"/>
    <w:basedOn w:val="Normal"/>
    <w:pPr>
      <w:numPr>
        <w:numId w:val="14"/>
      </w:numPr>
      <w:spacing w:after="240"/>
      <w:jc w:val="both"/>
    </w:pPr>
    <w:rPr>
      <w:szCs w:val="2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jc w:val="center"/>
    </w:pPr>
    <w:rPr>
      <w:b/>
    </w:rPr>
  </w:style>
  <w:style w:type="paragraph" w:customStyle="1" w:styleId="Titreobjet">
    <w:name w:val="Titre objet"/>
    <w:basedOn w:val="Normal"/>
    <w:next w:val="Normal"/>
    <w:pPr>
      <w:spacing w:before="360" w:after="360"/>
      <w:jc w:val="center"/>
    </w:pPr>
    <w:rPr>
      <w:b/>
    </w:rPr>
  </w:style>
  <w:style w:type="character" w:styleId="Emphasis">
    <w:name w:val="Emphasis"/>
    <w:qFormat/>
    <w:rPr>
      <w:i/>
      <w:iCs/>
    </w:rPr>
  </w:style>
  <w:style w:type="paragraph" w:styleId="NormalWeb">
    <w:name w:val="Normal (Web)"/>
    <w:basedOn w:val="Normal"/>
    <w:pPr>
      <w:spacing w:before="100" w:beforeAutospacing="1" w:after="100" w:afterAutospacing="1"/>
    </w:pPr>
  </w:style>
  <w:style w:type="paragraph" w:customStyle="1" w:styleId="Text2">
    <w:name w:val="Text 2"/>
    <w:basedOn w:val="Normal"/>
    <w:pPr>
      <w:spacing w:before="120" w:after="120"/>
      <w:ind w:left="850"/>
      <w:jc w:val="both"/>
    </w:pPr>
  </w:style>
  <w:style w:type="paragraph" w:styleId="BalloonText">
    <w:name w:val="Balloon Text"/>
    <w:basedOn w:val="Normal"/>
    <w:semiHidden/>
    <w:rPr>
      <w:rFonts w:ascii="Tahoma" w:hAnsi="Tahoma" w:cs="Tahoma"/>
      <w:sz w:val="16"/>
      <w:szCs w:val="16"/>
    </w:rPr>
  </w:style>
  <w:style w:type="paragraph" w:styleId="ListNumber">
    <w:name w:val="List Number"/>
    <w:basedOn w:val="Normal"/>
    <w:pPr>
      <w:numPr>
        <w:numId w:val="18"/>
      </w:numPr>
      <w:spacing w:before="120" w:after="120"/>
      <w:jc w:val="both"/>
    </w:pPr>
  </w:style>
  <w:style w:type="paragraph" w:customStyle="1" w:styleId="ListNumberLevel2">
    <w:name w:val="List Number (Level 2)"/>
    <w:basedOn w:val="Normal"/>
    <w:pPr>
      <w:numPr>
        <w:ilvl w:val="1"/>
        <w:numId w:val="18"/>
      </w:numPr>
      <w:spacing w:before="120" w:after="120"/>
      <w:jc w:val="both"/>
    </w:pPr>
  </w:style>
  <w:style w:type="paragraph" w:customStyle="1" w:styleId="ListNumberLevel3">
    <w:name w:val="List Number (Level 3)"/>
    <w:basedOn w:val="Normal"/>
    <w:pPr>
      <w:numPr>
        <w:ilvl w:val="2"/>
        <w:numId w:val="18"/>
      </w:numPr>
      <w:spacing w:before="120" w:after="120"/>
      <w:jc w:val="both"/>
    </w:pPr>
  </w:style>
  <w:style w:type="paragraph" w:customStyle="1" w:styleId="ListNumberLevel4">
    <w:name w:val="List Number (Level 4)"/>
    <w:basedOn w:val="Normal"/>
    <w:pPr>
      <w:numPr>
        <w:ilvl w:val="3"/>
        <w:numId w:val="18"/>
      </w:numPr>
      <w:spacing w:before="120" w:after="120"/>
      <w:jc w:val="both"/>
    </w:pPr>
  </w:style>
  <w:style w:type="character" w:customStyle="1" w:styleId="ListDashChar">
    <w:name w:val="List Dash Char"/>
    <w:link w:val="ListDash"/>
    <w:rPr>
      <w:sz w:val="24"/>
      <w:szCs w:val="24"/>
      <w:lang w:eastAsia="bg-BG"/>
    </w:rPr>
  </w:style>
  <w:style w:type="paragraph" w:customStyle="1" w:styleId="StyleManualHeading2Italic">
    <w:name w:val="Style Manual Heading 2 + Italic"/>
    <w:basedOn w:val="ManualHeading2"/>
    <w:autoRedefine/>
    <w:pPr>
      <w:spacing w:before="160" w:after="160"/>
      <w:ind w:left="851" w:hanging="851"/>
    </w:pPr>
    <w:rPr>
      <w:bCs/>
      <w:i/>
      <w:iCs/>
    </w:rPr>
  </w:style>
  <w:style w:type="character" w:customStyle="1" w:styleId="FootnoteTextChar">
    <w:name w:val="Footnote Text Char"/>
    <w:link w:val="FootnoteText"/>
    <w:rPr>
      <w:lang w:eastAsia="bg-BG"/>
    </w:rPr>
  </w:style>
  <w:style w:type="paragraph" w:customStyle="1" w:styleId="NormalCentered">
    <w:name w:val="Normal Centered"/>
    <w:basedOn w:val="Normal"/>
    <w:uiPriority w:val="99"/>
    <w:pPr>
      <w:spacing w:before="120" w:after="120"/>
      <w:jc w:val="center"/>
    </w:pPr>
  </w:style>
  <w:style w:type="paragraph" w:customStyle="1" w:styleId="NormalRight">
    <w:name w:val="Normal Right"/>
    <w:basedOn w:val="Normal"/>
    <w:uiPriority w:val="99"/>
    <w:pPr>
      <w:spacing w:before="120" w:after="120"/>
      <w:jc w:val="right"/>
    </w:pPr>
  </w:style>
  <w:style w:type="paragraph" w:customStyle="1" w:styleId="NormalLeft">
    <w:name w:val="Normal Left"/>
    <w:basedOn w:val="Normal"/>
    <w:uiPriority w:val="99"/>
    <w:pPr>
      <w:spacing w:before="120" w:after="120"/>
    </w:pPr>
  </w:style>
  <w:style w:type="paragraph" w:styleId="Revision">
    <w:name w:val="Revision"/>
    <w:hidden/>
    <w:uiPriority w:val="99"/>
    <w:semiHidden/>
    <w:rPr>
      <w:sz w:val="24"/>
      <w:szCs w:val="24"/>
    </w:rPr>
  </w:style>
  <w:style w:type="paragraph" w:customStyle="1" w:styleId="Statut">
    <w:name w:val="Statut"/>
    <w:basedOn w:val="Normal"/>
    <w:next w:val="Typedudocument"/>
    <w:pPr>
      <w:spacing w:before="360"/>
      <w:jc w:val="center"/>
    </w:pPr>
    <w:rPr>
      <w:rFonts w:eastAsia="Calibri"/>
      <w:szCs w:val="22"/>
    </w:rPr>
  </w:style>
  <w:style w:type="paragraph" w:customStyle="1" w:styleId="Footnoter">
    <w:name w:val="Footnote r"/>
    <w:basedOn w:val="Normal"/>
    <w:pPr>
      <w:shd w:val="clear" w:color="auto" w:fill="F2F8FB"/>
      <w:spacing w:before="100" w:beforeAutospacing="1" w:after="100" w:afterAutospacing="1"/>
    </w:pPr>
    <w:rPr>
      <w:szCs w:val="22"/>
    </w:rPr>
  </w:style>
  <w:style w:type="character" w:customStyle="1" w:styleId="hps">
    <w:name w:val="hps"/>
  </w:style>
  <w:style w:type="paragraph" w:customStyle="1" w:styleId="Point0number">
    <w:name w:val="Point 0 (number)"/>
    <w:basedOn w:val="Normal"/>
    <w:pPr>
      <w:numPr>
        <w:numId w:val="35"/>
      </w:numPr>
      <w:spacing w:before="120" w:after="120"/>
      <w:jc w:val="both"/>
    </w:pPr>
    <w:rPr>
      <w:szCs w:val="22"/>
    </w:rPr>
  </w:style>
  <w:style w:type="paragraph" w:customStyle="1" w:styleId="Point1number">
    <w:name w:val="Point 1 (number)"/>
    <w:basedOn w:val="Normal"/>
    <w:pPr>
      <w:numPr>
        <w:ilvl w:val="2"/>
        <w:numId w:val="35"/>
      </w:numPr>
      <w:spacing w:before="120" w:after="120"/>
      <w:jc w:val="both"/>
    </w:pPr>
    <w:rPr>
      <w:szCs w:val="22"/>
    </w:rPr>
  </w:style>
  <w:style w:type="paragraph" w:customStyle="1" w:styleId="Point2number">
    <w:name w:val="Point 2 (number)"/>
    <w:basedOn w:val="Normal"/>
    <w:pPr>
      <w:numPr>
        <w:ilvl w:val="4"/>
        <w:numId w:val="35"/>
      </w:numPr>
      <w:spacing w:before="120" w:after="120"/>
      <w:jc w:val="both"/>
    </w:pPr>
    <w:rPr>
      <w:szCs w:val="22"/>
    </w:rPr>
  </w:style>
  <w:style w:type="paragraph" w:customStyle="1" w:styleId="Point3number">
    <w:name w:val="Point 3 (number)"/>
    <w:basedOn w:val="Normal"/>
    <w:pPr>
      <w:numPr>
        <w:ilvl w:val="6"/>
        <w:numId w:val="35"/>
      </w:numPr>
      <w:spacing w:before="120" w:after="120"/>
      <w:jc w:val="both"/>
    </w:pPr>
    <w:rPr>
      <w:szCs w:val="22"/>
    </w:rPr>
  </w:style>
  <w:style w:type="paragraph" w:customStyle="1" w:styleId="Point0letter">
    <w:name w:val="Point 0 (letter)"/>
    <w:basedOn w:val="Normal"/>
    <w:pPr>
      <w:numPr>
        <w:ilvl w:val="1"/>
        <w:numId w:val="35"/>
      </w:numPr>
      <w:spacing w:before="120" w:after="120"/>
      <w:jc w:val="both"/>
    </w:pPr>
    <w:rPr>
      <w:szCs w:val="22"/>
    </w:rPr>
  </w:style>
  <w:style w:type="paragraph" w:customStyle="1" w:styleId="Point1letter">
    <w:name w:val="Point 1 (letter)"/>
    <w:basedOn w:val="Normal"/>
    <w:pPr>
      <w:numPr>
        <w:ilvl w:val="3"/>
        <w:numId w:val="35"/>
      </w:numPr>
      <w:spacing w:before="120" w:after="120"/>
      <w:jc w:val="both"/>
    </w:pPr>
    <w:rPr>
      <w:szCs w:val="22"/>
    </w:rPr>
  </w:style>
  <w:style w:type="paragraph" w:customStyle="1" w:styleId="Point2letter">
    <w:name w:val="Point 2 (letter)"/>
    <w:basedOn w:val="Normal"/>
    <w:pPr>
      <w:numPr>
        <w:ilvl w:val="5"/>
        <w:numId w:val="35"/>
      </w:numPr>
      <w:spacing w:before="120" w:after="120"/>
      <w:jc w:val="both"/>
    </w:pPr>
    <w:rPr>
      <w:szCs w:val="22"/>
    </w:rPr>
  </w:style>
  <w:style w:type="paragraph" w:customStyle="1" w:styleId="Point3letter">
    <w:name w:val="Point 3 (letter)"/>
    <w:basedOn w:val="Normal"/>
    <w:pPr>
      <w:numPr>
        <w:ilvl w:val="7"/>
        <w:numId w:val="35"/>
      </w:numPr>
      <w:spacing w:before="120" w:after="120"/>
      <w:jc w:val="both"/>
    </w:pPr>
    <w:rPr>
      <w:szCs w:val="22"/>
    </w:rPr>
  </w:style>
  <w:style w:type="paragraph" w:customStyle="1" w:styleId="Point4letter">
    <w:name w:val="Point 4 (letter)"/>
    <w:basedOn w:val="Normal"/>
    <w:pPr>
      <w:numPr>
        <w:ilvl w:val="8"/>
        <w:numId w:val="35"/>
      </w:numPr>
      <w:spacing w:before="120" w:after="120"/>
      <w:jc w:val="both"/>
    </w:pPr>
    <w:rPr>
      <w:szCs w:val="22"/>
    </w:rPr>
  </w:style>
  <w:style w:type="paragraph" w:customStyle="1" w:styleId="Tiret2">
    <w:name w:val="Tiret 2"/>
    <w:basedOn w:val="Normal"/>
    <w:pPr>
      <w:numPr>
        <w:numId w:val="38"/>
      </w:numPr>
      <w:spacing w:before="120" w:after="120"/>
      <w:jc w:val="both"/>
    </w:pPr>
    <w:rPr>
      <w:szCs w:val="22"/>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spacing w:after="200" w:line="276" w:lineRule="auto"/>
      <w:ind w:left="720"/>
      <w:contextualSpacing/>
    </w:pPr>
    <w:rPr>
      <w:rFonts w:ascii="Calibri" w:eastAsia="MS Mincho" w:hAnsi="Calibri"/>
      <w:sz w:val="22"/>
      <w:szCs w:val="22"/>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Calibri" w:eastAsia="MS Mincho" w:hAnsi="Calibri"/>
      <w:sz w:val="22"/>
      <w:szCs w:val="22"/>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86090">
      <w:bodyDiv w:val="1"/>
      <w:marLeft w:val="0"/>
      <w:marRight w:val="0"/>
      <w:marTop w:val="0"/>
      <w:marBottom w:val="0"/>
      <w:divBdr>
        <w:top w:val="none" w:sz="0" w:space="0" w:color="auto"/>
        <w:left w:val="none" w:sz="0" w:space="0" w:color="auto"/>
        <w:bottom w:val="none" w:sz="0" w:space="0" w:color="auto"/>
        <w:right w:val="none" w:sz="0" w:space="0" w:color="auto"/>
      </w:divBdr>
      <w:divsChild>
        <w:div w:id="1952855758">
          <w:marLeft w:val="0"/>
          <w:marRight w:val="0"/>
          <w:marTop w:val="0"/>
          <w:marBottom w:val="0"/>
          <w:divBdr>
            <w:top w:val="none" w:sz="0" w:space="0" w:color="auto"/>
            <w:left w:val="none" w:sz="0" w:space="0" w:color="auto"/>
            <w:bottom w:val="none" w:sz="0" w:space="0" w:color="auto"/>
            <w:right w:val="none" w:sz="0" w:space="0" w:color="auto"/>
          </w:divBdr>
          <w:divsChild>
            <w:div w:id="1936203364">
              <w:marLeft w:val="0"/>
              <w:marRight w:val="0"/>
              <w:marTop w:val="0"/>
              <w:marBottom w:val="0"/>
              <w:divBdr>
                <w:top w:val="none" w:sz="0" w:space="0" w:color="auto"/>
                <w:left w:val="none" w:sz="0" w:space="0" w:color="auto"/>
                <w:bottom w:val="none" w:sz="0" w:space="0" w:color="auto"/>
                <w:right w:val="none" w:sz="0" w:space="0" w:color="auto"/>
              </w:divBdr>
              <w:divsChild>
                <w:div w:id="1099984863">
                  <w:marLeft w:val="0"/>
                  <w:marRight w:val="0"/>
                  <w:marTop w:val="0"/>
                  <w:marBottom w:val="0"/>
                  <w:divBdr>
                    <w:top w:val="none" w:sz="0" w:space="0" w:color="auto"/>
                    <w:left w:val="none" w:sz="0" w:space="0" w:color="auto"/>
                    <w:bottom w:val="none" w:sz="0" w:space="0" w:color="auto"/>
                    <w:right w:val="none" w:sz="0" w:space="0" w:color="auto"/>
                  </w:divBdr>
                  <w:divsChild>
                    <w:div w:id="1203328141">
                      <w:marLeft w:val="1"/>
                      <w:marRight w:val="1"/>
                      <w:marTop w:val="0"/>
                      <w:marBottom w:val="0"/>
                      <w:divBdr>
                        <w:top w:val="none" w:sz="0" w:space="0" w:color="auto"/>
                        <w:left w:val="none" w:sz="0" w:space="0" w:color="auto"/>
                        <w:bottom w:val="none" w:sz="0" w:space="0" w:color="auto"/>
                        <w:right w:val="none" w:sz="0" w:space="0" w:color="auto"/>
                      </w:divBdr>
                      <w:divsChild>
                        <w:div w:id="1936546657">
                          <w:marLeft w:val="0"/>
                          <w:marRight w:val="0"/>
                          <w:marTop w:val="0"/>
                          <w:marBottom w:val="0"/>
                          <w:divBdr>
                            <w:top w:val="none" w:sz="0" w:space="0" w:color="auto"/>
                            <w:left w:val="none" w:sz="0" w:space="0" w:color="auto"/>
                            <w:bottom w:val="none" w:sz="0" w:space="0" w:color="auto"/>
                            <w:right w:val="none" w:sz="0" w:space="0" w:color="auto"/>
                          </w:divBdr>
                          <w:divsChild>
                            <w:div w:id="1022240160">
                              <w:marLeft w:val="0"/>
                              <w:marRight w:val="0"/>
                              <w:marTop w:val="0"/>
                              <w:marBottom w:val="360"/>
                              <w:divBdr>
                                <w:top w:val="none" w:sz="0" w:space="0" w:color="auto"/>
                                <w:left w:val="none" w:sz="0" w:space="0" w:color="auto"/>
                                <w:bottom w:val="none" w:sz="0" w:space="0" w:color="auto"/>
                                <w:right w:val="none" w:sz="0" w:space="0" w:color="auto"/>
                              </w:divBdr>
                              <w:divsChild>
                                <w:div w:id="1375350455">
                                  <w:marLeft w:val="0"/>
                                  <w:marRight w:val="0"/>
                                  <w:marTop w:val="0"/>
                                  <w:marBottom w:val="0"/>
                                  <w:divBdr>
                                    <w:top w:val="none" w:sz="0" w:space="0" w:color="auto"/>
                                    <w:left w:val="none" w:sz="0" w:space="0" w:color="auto"/>
                                    <w:bottom w:val="none" w:sz="0" w:space="0" w:color="auto"/>
                                    <w:right w:val="none" w:sz="0" w:space="0" w:color="auto"/>
                                  </w:divBdr>
                                  <w:divsChild>
                                    <w:div w:id="154732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623949">
      <w:bodyDiv w:val="1"/>
      <w:marLeft w:val="0"/>
      <w:marRight w:val="0"/>
      <w:marTop w:val="0"/>
      <w:marBottom w:val="0"/>
      <w:divBdr>
        <w:top w:val="none" w:sz="0" w:space="0" w:color="auto"/>
        <w:left w:val="none" w:sz="0" w:space="0" w:color="auto"/>
        <w:bottom w:val="none" w:sz="0" w:space="0" w:color="auto"/>
        <w:right w:val="none" w:sz="0" w:space="0" w:color="auto"/>
      </w:divBdr>
    </w:div>
    <w:div w:id="370612037">
      <w:bodyDiv w:val="1"/>
      <w:marLeft w:val="0"/>
      <w:marRight w:val="0"/>
      <w:marTop w:val="0"/>
      <w:marBottom w:val="0"/>
      <w:divBdr>
        <w:top w:val="none" w:sz="0" w:space="0" w:color="auto"/>
        <w:left w:val="none" w:sz="0" w:space="0" w:color="auto"/>
        <w:bottom w:val="none" w:sz="0" w:space="0" w:color="auto"/>
        <w:right w:val="none" w:sz="0" w:space="0" w:color="auto"/>
      </w:divBdr>
    </w:div>
    <w:div w:id="390540002">
      <w:bodyDiv w:val="1"/>
      <w:marLeft w:val="0"/>
      <w:marRight w:val="0"/>
      <w:marTop w:val="0"/>
      <w:marBottom w:val="0"/>
      <w:divBdr>
        <w:top w:val="none" w:sz="0" w:space="0" w:color="auto"/>
        <w:left w:val="none" w:sz="0" w:space="0" w:color="auto"/>
        <w:bottom w:val="none" w:sz="0" w:space="0" w:color="auto"/>
        <w:right w:val="none" w:sz="0" w:space="0" w:color="auto"/>
      </w:divBdr>
    </w:div>
    <w:div w:id="476648652">
      <w:bodyDiv w:val="1"/>
      <w:marLeft w:val="0"/>
      <w:marRight w:val="0"/>
      <w:marTop w:val="0"/>
      <w:marBottom w:val="0"/>
      <w:divBdr>
        <w:top w:val="none" w:sz="0" w:space="0" w:color="auto"/>
        <w:left w:val="none" w:sz="0" w:space="0" w:color="auto"/>
        <w:bottom w:val="none" w:sz="0" w:space="0" w:color="auto"/>
        <w:right w:val="none" w:sz="0" w:space="0" w:color="auto"/>
      </w:divBdr>
    </w:div>
    <w:div w:id="631600828">
      <w:bodyDiv w:val="1"/>
      <w:marLeft w:val="0"/>
      <w:marRight w:val="0"/>
      <w:marTop w:val="0"/>
      <w:marBottom w:val="0"/>
      <w:divBdr>
        <w:top w:val="none" w:sz="0" w:space="0" w:color="auto"/>
        <w:left w:val="none" w:sz="0" w:space="0" w:color="auto"/>
        <w:bottom w:val="none" w:sz="0" w:space="0" w:color="auto"/>
        <w:right w:val="none" w:sz="0" w:space="0" w:color="auto"/>
      </w:divBdr>
    </w:div>
    <w:div w:id="693187629">
      <w:bodyDiv w:val="1"/>
      <w:marLeft w:val="0"/>
      <w:marRight w:val="0"/>
      <w:marTop w:val="0"/>
      <w:marBottom w:val="0"/>
      <w:divBdr>
        <w:top w:val="none" w:sz="0" w:space="0" w:color="auto"/>
        <w:left w:val="none" w:sz="0" w:space="0" w:color="auto"/>
        <w:bottom w:val="none" w:sz="0" w:space="0" w:color="auto"/>
        <w:right w:val="none" w:sz="0" w:space="0" w:color="auto"/>
      </w:divBdr>
    </w:div>
    <w:div w:id="703360353">
      <w:bodyDiv w:val="1"/>
      <w:marLeft w:val="0"/>
      <w:marRight w:val="0"/>
      <w:marTop w:val="0"/>
      <w:marBottom w:val="0"/>
      <w:divBdr>
        <w:top w:val="none" w:sz="0" w:space="0" w:color="auto"/>
        <w:left w:val="none" w:sz="0" w:space="0" w:color="auto"/>
        <w:bottom w:val="none" w:sz="0" w:space="0" w:color="auto"/>
        <w:right w:val="none" w:sz="0" w:space="0" w:color="auto"/>
      </w:divBdr>
    </w:div>
    <w:div w:id="898131723">
      <w:bodyDiv w:val="1"/>
      <w:marLeft w:val="0"/>
      <w:marRight w:val="0"/>
      <w:marTop w:val="0"/>
      <w:marBottom w:val="0"/>
      <w:divBdr>
        <w:top w:val="none" w:sz="0" w:space="0" w:color="auto"/>
        <w:left w:val="none" w:sz="0" w:space="0" w:color="auto"/>
        <w:bottom w:val="none" w:sz="0" w:space="0" w:color="auto"/>
        <w:right w:val="none" w:sz="0" w:space="0" w:color="auto"/>
      </w:divBdr>
    </w:div>
    <w:div w:id="1237476849">
      <w:bodyDiv w:val="1"/>
      <w:marLeft w:val="0"/>
      <w:marRight w:val="0"/>
      <w:marTop w:val="0"/>
      <w:marBottom w:val="0"/>
      <w:divBdr>
        <w:top w:val="none" w:sz="0" w:space="0" w:color="auto"/>
        <w:left w:val="none" w:sz="0" w:space="0" w:color="auto"/>
        <w:bottom w:val="none" w:sz="0" w:space="0" w:color="auto"/>
        <w:right w:val="none" w:sz="0" w:space="0" w:color="auto"/>
      </w:divBdr>
    </w:div>
    <w:div w:id="1288586908">
      <w:bodyDiv w:val="1"/>
      <w:marLeft w:val="0"/>
      <w:marRight w:val="0"/>
      <w:marTop w:val="0"/>
      <w:marBottom w:val="0"/>
      <w:divBdr>
        <w:top w:val="none" w:sz="0" w:space="0" w:color="auto"/>
        <w:left w:val="none" w:sz="0" w:space="0" w:color="auto"/>
        <w:bottom w:val="none" w:sz="0" w:space="0" w:color="auto"/>
        <w:right w:val="none" w:sz="0" w:space="0" w:color="auto"/>
      </w:divBdr>
    </w:div>
    <w:div w:id="1331906149">
      <w:bodyDiv w:val="1"/>
      <w:marLeft w:val="0"/>
      <w:marRight w:val="0"/>
      <w:marTop w:val="0"/>
      <w:marBottom w:val="0"/>
      <w:divBdr>
        <w:top w:val="none" w:sz="0" w:space="0" w:color="auto"/>
        <w:left w:val="none" w:sz="0" w:space="0" w:color="auto"/>
        <w:bottom w:val="none" w:sz="0" w:space="0" w:color="auto"/>
        <w:right w:val="none" w:sz="0" w:space="0" w:color="auto"/>
      </w:divBdr>
    </w:div>
    <w:div w:id="1536893397">
      <w:bodyDiv w:val="1"/>
      <w:marLeft w:val="0"/>
      <w:marRight w:val="0"/>
      <w:marTop w:val="0"/>
      <w:marBottom w:val="0"/>
      <w:divBdr>
        <w:top w:val="none" w:sz="0" w:space="0" w:color="auto"/>
        <w:left w:val="none" w:sz="0" w:space="0" w:color="auto"/>
        <w:bottom w:val="none" w:sz="0" w:space="0" w:color="auto"/>
        <w:right w:val="none" w:sz="0" w:space="0" w:color="auto"/>
      </w:divBdr>
    </w:div>
    <w:div w:id="1725518721">
      <w:bodyDiv w:val="1"/>
      <w:marLeft w:val="0"/>
      <w:marRight w:val="0"/>
      <w:marTop w:val="0"/>
      <w:marBottom w:val="0"/>
      <w:divBdr>
        <w:top w:val="none" w:sz="0" w:space="0" w:color="auto"/>
        <w:left w:val="none" w:sz="0" w:space="0" w:color="auto"/>
        <w:bottom w:val="none" w:sz="0" w:space="0" w:color="auto"/>
        <w:right w:val="none" w:sz="0" w:space="0" w:color="auto"/>
      </w:divBdr>
    </w:div>
    <w:div w:id="1777287212">
      <w:bodyDiv w:val="1"/>
      <w:marLeft w:val="0"/>
      <w:marRight w:val="0"/>
      <w:marTop w:val="0"/>
      <w:marBottom w:val="0"/>
      <w:divBdr>
        <w:top w:val="none" w:sz="0" w:space="0" w:color="auto"/>
        <w:left w:val="none" w:sz="0" w:space="0" w:color="auto"/>
        <w:bottom w:val="none" w:sz="0" w:space="0" w:color="auto"/>
        <w:right w:val="none" w:sz="0" w:space="0" w:color="auto"/>
      </w:divBdr>
    </w:div>
    <w:div w:id="1899397083">
      <w:bodyDiv w:val="1"/>
      <w:marLeft w:val="0"/>
      <w:marRight w:val="0"/>
      <w:marTop w:val="0"/>
      <w:marBottom w:val="0"/>
      <w:divBdr>
        <w:top w:val="none" w:sz="0" w:space="0" w:color="auto"/>
        <w:left w:val="none" w:sz="0" w:space="0" w:color="auto"/>
        <w:bottom w:val="none" w:sz="0" w:space="0" w:color="auto"/>
        <w:right w:val="none" w:sz="0" w:space="0" w:color="auto"/>
      </w:divBdr>
    </w:div>
    <w:div w:id="1906259906">
      <w:bodyDiv w:val="1"/>
      <w:marLeft w:val="0"/>
      <w:marRight w:val="0"/>
      <w:marTop w:val="0"/>
      <w:marBottom w:val="0"/>
      <w:divBdr>
        <w:top w:val="none" w:sz="0" w:space="0" w:color="auto"/>
        <w:left w:val="none" w:sz="0" w:space="0" w:color="auto"/>
        <w:bottom w:val="none" w:sz="0" w:space="0" w:color="auto"/>
        <w:right w:val="none" w:sz="0" w:space="0" w:color="auto"/>
      </w:divBdr>
    </w:div>
    <w:div w:id="2134711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http://eur-lex.europa.eu/budget/www/index-bg.htm" TargetMode="Externa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7BF60-708B-453E-8242-BA7539B3B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1919</Words>
  <Characters>8657</Characters>
  <Application>Microsoft Office Word</Application>
  <DocSecurity>0</DocSecurity>
  <Lines>309</Lines>
  <Paragraphs>257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10319</CharactersWithSpaces>
  <SharedDoc>false</SharedDoc>
  <HLinks>
    <vt:vector size="72" baseType="variant">
      <vt:variant>
        <vt:i4>1245239</vt:i4>
      </vt:variant>
      <vt:variant>
        <vt:i4>59</vt:i4>
      </vt:variant>
      <vt:variant>
        <vt:i4>0</vt:i4>
      </vt:variant>
      <vt:variant>
        <vt:i4>5</vt:i4>
      </vt:variant>
      <vt:variant>
        <vt:lpwstr/>
      </vt:variant>
      <vt:variant>
        <vt:lpwstr>_Toc421700214</vt:lpwstr>
      </vt:variant>
      <vt:variant>
        <vt:i4>1245239</vt:i4>
      </vt:variant>
      <vt:variant>
        <vt:i4>53</vt:i4>
      </vt:variant>
      <vt:variant>
        <vt:i4>0</vt:i4>
      </vt:variant>
      <vt:variant>
        <vt:i4>5</vt:i4>
      </vt:variant>
      <vt:variant>
        <vt:lpwstr/>
      </vt:variant>
      <vt:variant>
        <vt:lpwstr>_Toc421700213</vt:lpwstr>
      </vt:variant>
      <vt:variant>
        <vt:i4>1245239</vt:i4>
      </vt:variant>
      <vt:variant>
        <vt:i4>47</vt:i4>
      </vt:variant>
      <vt:variant>
        <vt:i4>0</vt:i4>
      </vt:variant>
      <vt:variant>
        <vt:i4>5</vt:i4>
      </vt:variant>
      <vt:variant>
        <vt:lpwstr/>
      </vt:variant>
      <vt:variant>
        <vt:lpwstr>_Toc421700212</vt:lpwstr>
      </vt:variant>
      <vt:variant>
        <vt:i4>1245239</vt:i4>
      </vt:variant>
      <vt:variant>
        <vt:i4>41</vt:i4>
      </vt:variant>
      <vt:variant>
        <vt:i4>0</vt:i4>
      </vt:variant>
      <vt:variant>
        <vt:i4>5</vt:i4>
      </vt:variant>
      <vt:variant>
        <vt:lpwstr/>
      </vt:variant>
      <vt:variant>
        <vt:lpwstr>_Toc421700211</vt:lpwstr>
      </vt:variant>
      <vt:variant>
        <vt:i4>1245239</vt:i4>
      </vt:variant>
      <vt:variant>
        <vt:i4>35</vt:i4>
      </vt:variant>
      <vt:variant>
        <vt:i4>0</vt:i4>
      </vt:variant>
      <vt:variant>
        <vt:i4>5</vt:i4>
      </vt:variant>
      <vt:variant>
        <vt:lpwstr/>
      </vt:variant>
      <vt:variant>
        <vt:lpwstr>_Toc421700210</vt:lpwstr>
      </vt:variant>
      <vt:variant>
        <vt:i4>1179703</vt:i4>
      </vt:variant>
      <vt:variant>
        <vt:i4>29</vt:i4>
      </vt:variant>
      <vt:variant>
        <vt:i4>0</vt:i4>
      </vt:variant>
      <vt:variant>
        <vt:i4>5</vt:i4>
      </vt:variant>
      <vt:variant>
        <vt:lpwstr/>
      </vt:variant>
      <vt:variant>
        <vt:lpwstr>_Toc421700209</vt:lpwstr>
      </vt:variant>
      <vt:variant>
        <vt:i4>1179703</vt:i4>
      </vt:variant>
      <vt:variant>
        <vt:i4>23</vt:i4>
      </vt:variant>
      <vt:variant>
        <vt:i4>0</vt:i4>
      </vt:variant>
      <vt:variant>
        <vt:i4>5</vt:i4>
      </vt:variant>
      <vt:variant>
        <vt:lpwstr/>
      </vt:variant>
      <vt:variant>
        <vt:lpwstr>_Toc421700208</vt:lpwstr>
      </vt:variant>
      <vt:variant>
        <vt:i4>1179703</vt:i4>
      </vt:variant>
      <vt:variant>
        <vt:i4>17</vt:i4>
      </vt:variant>
      <vt:variant>
        <vt:i4>0</vt:i4>
      </vt:variant>
      <vt:variant>
        <vt:i4>5</vt:i4>
      </vt:variant>
      <vt:variant>
        <vt:lpwstr/>
      </vt:variant>
      <vt:variant>
        <vt:lpwstr>_Toc421700207</vt:lpwstr>
      </vt:variant>
      <vt:variant>
        <vt:i4>1179703</vt:i4>
      </vt:variant>
      <vt:variant>
        <vt:i4>11</vt:i4>
      </vt:variant>
      <vt:variant>
        <vt:i4>0</vt:i4>
      </vt:variant>
      <vt:variant>
        <vt:i4>5</vt:i4>
      </vt:variant>
      <vt:variant>
        <vt:lpwstr/>
      </vt:variant>
      <vt:variant>
        <vt:lpwstr>_Toc421700206</vt:lpwstr>
      </vt:variant>
      <vt:variant>
        <vt:i4>1179703</vt:i4>
      </vt:variant>
      <vt:variant>
        <vt:i4>5</vt:i4>
      </vt:variant>
      <vt:variant>
        <vt:i4>0</vt:i4>
      </vt:variant>
      <vt:variant>
        <vt:i4>5</vt:i4>
      </vt:variant>
      <vt:variant>
        <vt:lpwstr/>
      </vt:variant>
      <vt:variant>
        <vt:lpwstr>_Toc421700205</vt:lpwstr>
      </vt:variant>
      <vt:variant>
        <vt:i4>5046279</vt:i4>
      </vt:variant>
      <vt:variant>
        <vt:i4>0</vt:i4>
      </vt:variant>
      <vt:variant>
        <vt:i4>0</vt:i4>
      </vt:variant>
      <vt:variant>
        <vt:i4>5</vt:i4>
      </vt:variant>
      <vt:variant>
        <vt:lpwstr>http://eur-lex.europa.eu/budget/www/index-en.htm</vt:lpwstr>
      </vt:variant>
      <vt:variant>
        <vt:lpwstr/>
      </vt:variant>
      <vt:variant>
        <vt:i4>5111875</vt:i4>
      </vt:variant>
      <vt:variant>
        <vt:i4>0</vt:i4>
      </vt:variant>
      <vt:variant>
        <vt:i4>0</vt:i4>
      </vt:variant>
      <vt:variant>
        <vt:i4>5</vt:i4>
      </vt:variant>
      <vt:variant>
        <vt:lpwstr>http://ec.europa.eu/budget/library/biblio/documents/financing/calc_own_res_2007_en.pdf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25</cp:revision>
  <cp:lastPrinted>2015-10-14T10:12:00Z</cp:lastPrinted>
  <dcterms:created xsi:type="dcterms:W3CDTF">2015-10-16T09:28:00Z</dcterms:created>
  <dcterms:modified xsi:type="dcterms:W3CDTF">2015-10-19T15:36:00Z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_NewReviewCycle">
    <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ies>
</file>