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E7B77F550F7479EBE1470316BB4CD1D"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tabs>
          <w:tab w:val="clear" w:pos="4819"/>
          <w:tab w:val="left" w:pos="851"/>
        </w:tabs>
        <w:ind w:left="851"/>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4819"/>
          <w:tab w:val="left" w:pos="851"/>
        </w:tabs>
        <w:ind w:left="851"/>
        <w:rPr>
          <w:noProof/>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39 от него,</w:t>
      </w:r>
    </w:p>
    <w:p>
      <w:pPr>
        <w:pStyle w:val="Tiret0"/>
        <w:tabs>
          <w:tab w:val="clear" w:pos="4819"/>
          <w:tab w:val="left" w:pos="851"/>
        </w:tabs>
        <w:ind w:left="851"/>
        <w:rPr>
          <w:noProof/>
        </w:rPr>
      </w:pPr>
      <w:r>
        <w:rPr>
          <w:noProof/>
        </w:rPr>
        <w:t>проекта на общ бюджет на Европейския съюз за 2016 финансова година, приет от Комисията на 24 юни 2015 г.</w:t>
      </w:r>
      <w:r>
        <w:rPr>
          <w:rStyle w:val="FootnoteReference"/>
          <w:noProof/>
        </w:rPr>
        <w:footnoteReference w:id="3"/>
      </w:r>
      <w:r>
        <w:rPr>
          <w:noProof/>
        </w:rPr>
        <w:t>,</w:t>
      </w:r>
    </w:p>
    <w:p>
      <w:pPr>
        <w:pStyle w:val="Tiret0"/>
        <w:tabs>
          <w:tab w:val="clear" w:pos="4819"/>
          <w:tab w:val="left" w:pos="851"/>
        </w:tabs>
        <w:ind w:left="851"/>
        <w:rPr>
          <w:noProof/>
        </w:rPr>
      </w:pPr>
      <w:r>
        <w:rPr>
          <w:noProof/>
          <w:spacing w:val="-4"/>
        </w:rPr>
        <w:t>писмо за внасяне на корекции № 1/2016, прието от Комисията на 26 юни 2015 г</w:t>
      </w:r>
      <w:r>
        <w:rPr>
          <w:noProof/>
        </w:rPr>
        <w:t>.</w:t>
      </w:r>
      <w:r>
        <w:rPr>
          <w:rStyle w:val="FootnoteReference"/>
          <w:noProof/>
        </w:rPr>
        <w:footnoteReference w:id="4"/>
      </w:r>
      <w:r>
        <w:rPr>
          <w:noProof/>
        </w:rPr>
        <w:t>,</w:t>
      </w:r>
    </w:p>
    <w:p>
      <w:pPr>
        <w:jc w:val="both"/>
        <w:rPr>
          <w:b/>
          <w:noProof/>
          <w:u w:val="single"/>
        </w:rPr>
      </w:pPr>
      <w:r>
        <w:rPr>
          <w:noProof/>
        </w:rPr>
        <w:t>С настоящото Европейската комисия представя на бюджетния орган писмо за внасяне на корекции № 2 към проекта на общ бюджет на Европейския съюз за 2016 финансова година поради причините, изложени в обяснителния меморандум.</w:t>
      </w:r>
    </w:p>
    <w:p>
      <w:pPr>
        <w:rPr>
          <w:b/>
          <w:noProof/>
          <w:u w:val="single"/>
        </w:rPr>
      </w:pPr>
    </w:p>
    <w:p>
      <w:pPr>
        <w:jc w:val="both"/>
        <w:rPr>
          <w:b/>
          <w:noProof/>
          <w:u w:val="single"/>
        </w:rPr>
      </w:pPr>
      <w:r>
        <w:rPr>
          <w:b/>
          <w:noProof/>
          <w:u w:val="single"/>
        </w:rPr>
        <w:t>ПРИХОДНА И РАЗХОДНА ЧАСТ ПО РАЗДЕЛИ</w:t>
      </w:r>
    </w:p>
    <w:p>
      <w:pPr>
        <w:rPr>
          <w:b/>
          <w:noProof/>
          <w:u w:val="single"/>
        </w:rPr>
      </w:pP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ind w:left="600"/>
        <w:rPr>
          <w:noProof/>
        </w:rPr>
      </w:pPr>
      <w:bookmarkStart w:id="2" w:name="_Toc294675429"/>
      <w:bookmarkStart w:id="3" w:name="_Toc420513250"/>
      <w:r>
        <w:rPr>
          <w:noProof/>
        </w:rPr>
        <w:t>СЪДЪРЖАНИЕ</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r>
        <w:rPr>
          <w:b w:val="0"/>
          <w:bCs w:val="0"/>
          <w:caps w:val="0"/>
          <w:noProof/>
        </w:rPr>
        <w:fldChar w:fldCharType="begin"/>
      </w:r>
      <w:r>
        <w:rPr>
          <w:b w:val="0"/>
          <w:bCs w:val="0"/>
          <w:caps w:val="0"/>
          <w:noProof/>
        </w:rPr>
        <w:instrText xml:space="preserve"> TOC \h \z \t "Manual Heading 1;1;Manual Heading 2;2" </w:instrText>
      </w:r>
      <w:r>
        <w:rPr>
          <w:b w:val="0"/>
          <w:bCs w:val="0"/>
          <w:caps w:val="0"/>
          <w:noProof/>
        </w:rPr>
        <w:fldChar w:fldCharType="separate"/>
      </w:r>
      <w:hyperlink w:anchor="_Toc432760498"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_Toc432760498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60499"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Селско стопанство и рибарство</w:t>
        </w:r>
        <w:r>
          <w:rPr>
            <w:noProof/>
            <w:webHidden/>
          </w:rPr>
          <w:tab/>
        </w:r>
        <w:r>
          <w:rPr>
            <w:noProof/>
            <w:webHidden/>
          </w:rPr>
          <w:fldChar w:fldCharType="begin"/>
        </w:r>
        <w:r>
          <w:rPr>
            <w:noProof/>
            <w:webHidden/>
          </w:rPr>
          <w:instrText xml:space="preserve"> PAGEREF _Toc432760499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0" w:history="1">
        <w:r>
          <w:rPr>
            <w:rStyle w:val="Hyperlink"/>
            <w:noProof/>
          </w:rPr>
          <w:t>2.1</w:t>
        </w:r>
        <w:r>
          <w:rPr>
            <w:rFonts w:asciiTheme="minorHAnsi" w:eastAsiaTheme="minorEastAsia" w:hAnsiTheme="minorHAnsi" w:cstheme="minorBidi"/>
            <w:smallCaps w:val="0"/>
            <w:noProof/>
            <w:sz w:val="22"/>
            <w:szCs w:val="22"/>
            <w:lang w:val="en-GB" w:eastAsia="en-GB" w:bidi="ar-SA"/>
          </w:rPr>
          <w:tab/>
        </w:r>
        <w:r>
          <w:rPr>
            <w:rStyle w:val="Hyperlink"/>
            <w:noProof/>
          </w:rPr>
          <w:t>Основни предложени промени</w:t>
        </w:r>
        <w:r>
          <w:rPr>
            <w:noProof/>
            <w:webHidden/>
          </w:rPr>
          <w:tab/>
        </w:r>
        <w:r>
          <w:rPr>
            <w:noProof/>
            <w:webHidden/>
          </w:rPr>
          <w:fldChar w:fldCharType="begin"/>
        </w:r>
        <w:r>
          <w:rPr>
            <w:noProof/>
            <w:webHidden/>
          </w:rPr>
          <w:instrText xml:space="preserve"> PAGEREF _Toc432760500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1" w:history="1">
        <w:r>
          <w:rPr>
            <w:rStyle w:val="Hyperlink"/>
            <w:noProof/>
          </w:rPr>
          <w:t>2.2</w:t>
        </w:r>
        <w:r>
          <w:rPr>
            <w:rFonts w:asciiTheme="minorHAnsi" w:eastAsiaTheme="minorEastAsia" w:hAnsiTheme="minorHAnsi" w:cstheme="minorBidi"/>
            <w:smallCaps w:val="0"/>
            <w:noProof/>
            <w:sz w:val="22"/>
            <w:szCs w:val="22"/>
            <w:lang w:val="en-GB" w:eastAsia="en-GB" w:bidi="ar-SA"/>
          </w:rPr>
          <w:tab/>
        </w:r>
        <w:r>
          <w:rPr>
            <w:rStyle w:val="Hyperlink"/>
            <w:noProof/>
          </w:rPr>
          <w:t>Европейски фонд за гарантиране на земеделието (ЕФГЗ)</w:t>
        </w:r>
        <w:r>
          <w:rPr>
            <w:noProof/>
            <w:webHidden/>
          </w:rPr>
          <w:tab/>
        </w:r>
        <w:r>
          <w:rPr>
            <w:noProof/>
            <w:webHidden/>
          </w:rPr>
          <w:fldChar w:fldCharType="begin"/>
        </w:r>
        <w:r>
          <w:rPr>
            <w:noProof/>
            <w:webHidden/>
          </w:rPr>
          <w:instrText xml:space="preserve"> PAGEREF _Toc432760501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2" w:history="1">
        <w:r>
          <w:rPr>
            <w:rStyle w:val="Hyperlink"/>
            <w:noProof/>
          </w:rPr>
          <w:t>2.3</w:t>
        </w:r>
        <w:r>
          <w:rPr>
            <w:rFonts w:asciiTheme="minorHAnsi" w:eastAsiaTheme="minorEastAsia" w:hAnsiTheme="minorHAnsi" w:cstheme="minorBidi"/>
            <w:smallCaps w:val="0"/>
            <w:noProof/>
            <w:sz w:val="22"/>
            <w:szCs w:val="22"/>
            <w:lang w:val="en-GB" w:eastAsia="en-GB" w:bidi="ar-SA"/>
          </w:rPr>
          <w:tab/>
        </w:r>
        <w:r>
          <w:rPr>
            <w:rStyle w:val="Hyperlink"/>
            <w:noProof/>
          </w:rPr>
          <w:t>Други селскостопански разходи извън ЕФГЗ</w:t>
        </w:r>
        <w:r>
          <w:rPr>
            <w:noProof/>
            <w:webHidden/>
          </w:rPr>
          <w:tab/>
        </w:r>
        <w:r>
          <w:rPr>
            <w:noProof/>
            <w:webHidden/>
          </w:rPr>
          <w:fldChar w:fldCharType="begin"/>
        </w:r>
        <w:r>
          <w:rPr>
            <w:noProof/>
            <w:webHidden/>
          </w:rPr>
          <w:instrText xml:space="preserve"> PAGEREF _Toc432760502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3" w:history="1">
        <w:r>
          <w:rPr>
            <w:rStyle w:val="Hyperlink"/>
            <w:noProof/>
          </w:rPr>
          <w:t>2.4</w:t>
        </w:r>
        <w:r>
          <w:rPr>
            <w:rFonts w:asciiTheme="minorHAnsi" w:eastAsiaTheme="minorEastAsia" w:hAnsiTheme="minorHAnsi" w:cstheme="minorBidi"/>
            <w:smallCaps w:val="0"/>
            <w:noProof/>
            <w:sz w:val="22"/>
            <w:szCs w:val="22"/>
            <w:lang w:val="en-GB" w:eastAsia="en-GB" w:bidi="ar-SA"/>
          </w:rPr>
          <w:tab/>
        </w:r>
        <w:r>
          <w:rPr>
            <w:rStyle w:val="Hyperlink"/>
            <w:noProof/>
          </w:rPr>
          <w:t>Споразумения за партньорство в областта на устойчивото рибарство</w:t>
        </w:r>
        <w:r>
          <w:rPr>
            <w:noProof/>
            <w:webHidden/>
          </w:rPr>
          <w:tab/>
        </w:r>
        <w:r>
          <w:rPr>
            <w:noProof/>
            <w:webHidden/>
          </w:rPr>
          <w:fldChar w:fldCharType="begin"/>
        </w:r>
        <w:r>
          <w:rPr>
            <w:noProof/>
            <w:webHidden/>
          </w:rPr>
          <w:instrText xml:space="preserve"> PAGEREF _Toc432760503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4" w:history="1">
        <w:r>
          <w:rPr>
            <w:rStyle w:val="Hyperlink"/>
            <w:noProof/>
          </w:rPr>
          <w:t>2.5</w:t>
        </w:r>
        <w:r>
          <w:rPr>
            <w:rFonts w:asciiTheme="minorHAnsi" w:eastAsiaTheme="minorEastAsia" w:hAnsiTheme="minorHAnsi" w:cstheme="minorBidi"/>
            <w:smallCaps w:val="0"/>
            <w:noProof/>
            <w:sz w:val="22"/>
            <w:szCs w:val="22"/>
            <w:lang w:val="en-GB" w:eastAsia="en-GB" w:bidi="ar-SA"/>
          </w:rPr>
          <w:tab/>
        </w:r>
        <w:r>
          <w:rPr>
            <w:rStyle w:val="Hyperlink"/>
            <w:noProof/>
          </w:rPr>
          <w:t>Промени в номенклатурата и забележки към бюджета</w:t>
        </w:r>
        <w:r>
          <w:rPr>
            <w:noProof/>
            <w:webHidden/>
          </w:rPr>
          <w:tab/>
        </w:r>
        <w:r>
          <w:rPr>
            <w:noProof/>
            <w:webHidden/>
          </w:rPr>
          <w:fldChar w:fldCharType="begin"/>
        </w:r>
        <w:r>
          <w:rPr>
            <w:noProof/>
            <w:webHidden/>
          </w:rPr>
          <w:instrText xml:space="preserve"> PAGEREF _Toc432760504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60505"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Незабавни мерки за справяне с кризата с бежанците съгласно Европейската програма за миграция</w:t>
        </w:r>
        <w:r>
          <w:rPr>
            <w:noProof/>
            <w:webHidden/>
          </w:rPr>
          <w:tab/>
        </w:r>
        <w:r>
          <w:rPr>
            <w:noProof/>
            <w:webHidden/>
          </w:rPr>
          <w:fldChar w:fldCharType="begin"/>
        </w:r>
        <w:r>
          <w:rPr>
            <w:noProof/>
            <w:webHidden/>
          </w:rPr>
          <w:instrText xml:space="preserve"> PAGEREF _Toc432760505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6" w:history="1">
        <w:r>
          <w:rPr>
            <w:rStyle w:val="Hyperlink"/>
            <w:noProof/>
          </w:rPr>
          <w:t>3.1</w:t>
        </w:r>
        <w:r>
          <w:rPr>
            <w:rFonts w:asciiTheme="minorHAnsi" w:eastAsiaTheme="minorEastAsia" w:hAnsiTheme="minorHAnsi" w:cstheme="minorBidi"/>
            <w:small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_Toc432760506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7" w:history="1">
        <w:r>
          <w:rPr>
            <w:rStyle w:val="Hyperlink"/>
            <w:noProof/>
          </w:rPr>
          <w:t>3.2</w:t>
        </w:r>
        <w:r>
          <w:rPr>
            <w:rFonts w:asciiTheme="minorHAnsi" w:eastAsiaTheme="minorEastAsia" w:hAnsiTheme="minorHAnsi" w:cstheme="minorBidi"/>
            <w:smallCaps w:val="0"/>
            <w:noProof/>
            <w:sz w:val="22"/>
            <w:szCs w:val="22"/>
            <w:lang w:val="en-GB" w:eastAsia="en-GB" w:bidi="ar-SA"/>
          </w:rPr>
          <w:tab/>
        </w:r>
        <w:r>
          <w:rPr>
            <w:rStyle w:val="Hyperlink"/>
            <w:noProof/>
          </w:rPr>
          <w:t>Функция 3: Сигурност и гражданство</w:t>
        </w:r>
        <w:r>
          <w:rPr>
            <w:noProof/>
            <w:webHidden/>
          </w:rPr>
          <w:tab/>
        </w:r>
        <w:r>
          <w:rPr>
            <w:noProof/>
            <w:webHidden/>
          </w:rPr>
          <w:fldChar w:fldCharType="begin"/>
        </w:r>
        <w:r>
          <w:rPr>
            <w:noProof/>
            <w:webHidden/>
          </w:rPr>
          <w:instrText xml:space="preserve"> PAGEREF _Toc432760507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8" w:history="1">
        <w:r>
          <w:rPr>
            <w:rStyle w:val="Hyperlink"/>
            <w:noProof/>
          </w:rPr>
          <w:t>3.3</w:t>
        </w:r>
        <w:r>
          <w:rPr>
            <w:rFonts w:asciiTheme="minorHAnsi" w:eastAsiaTheme="minorEastAsia" w:hAnsiTheme="minorHAnsi" w:cstheme="minorBidi"/>
            <w:smallCaps w:val="0"/>
            <w:noProof/>
            <w:sz w:val="22"/>
            <w:szCs w:val="22"/>
            <w:lang w:val="en-GB" w:eastAsia="en-GB" w:bidi="ar-SA"/>
          </w:rPr>
          <w:tab/>
        </w:r>
        <w:r>
          <w:rPr>
            <w:rStyle w:val="Hyperlink"/>
            <w:noProof/>
          </w:rPr>
          <w:t>Функция 4: Глобална Европа</w:t>
        </w:r>
        <w:r>
          <w:rPr>
            <w:noProof/>
            <w:webHidden/>
          </w:rPr>
          <w:tab/>
        </w:r>
        <w:r>
          <w:rPr>
            <w:noProof/>
            <w:webHidden/>
          </w:rPr>
          <w:fldChar w:fldCharType="begin"/>
        </w:r>
        <w:r>
          <w:rPr>
            <w:noProof/>
            <w:webHidden/>
          </w:rPr>
          <w:instrText xml:space="preserve"> PAGEREF _Toc432760508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60509" w:history="1">
        <w:r>
          <w:rPr>
            <w:rStyle w:val="Hyperlink"/>
            <w:noProof/>
          </w:rPr>
          <w:t>3</w:t>
        </w:r>
        <w:r>
          <w:rPr>
            <w:rStyle w:val="Hyperlink"/>
            <w:noProof/>
            <w:lang w:val="en-GB"/>
          </w:rPr>
          <w:t>.</w:t>
        </w:r>
        <w:r>
          <w:rPr>
            <w:rStyle w:val="Hyperlink"/>
            <w:noProof/>
          </w:rPr>
          <w:t>4</w:t>
        </w:r>
        <w:r>
          <w:rPr>
            <w:rFonts w:asciiTheme="minorHAnsi" w:eastAsiaTheme="minorEastAsia" w:hAnsiTheme="minorHAnsi" w:cstheme="minorBidi"/>
            <w:smallCaps w:val="0"/>
            <w:noProof/>
            <w:sz w:val="22"/>
            <w:szCs w:val="22"/>
            <w:lang w:val="en-GB" w:eastAsia="en-GB" w:bidi="ar-SA"/>
          </w:rPr>
          <w:tab/>
        </w:r>
        <w:r>
          <w:rPr>
            <w:rStyle w:val="Hyperlink"/>
            <w:noProof/>
          </w:rPr>
          <w:t>Функция 5: Администрация</w:t>
        </w:r>
        <w:r>
          <w:rPr>
            <w:noProof/>
            <w:webHidden/>
          </w:rPr>
          <w:tab/>
        </w:r>
        <w:r>
          <w:rPr>
            <w:noProof/>
            <w:webHidden/>
          </w:rPr>
          <w:fldChar w:fldCharType="begin"/>
        </w:r>
        <w:r>
          <w:rPr>
            <w:noProof/>
            <w:webHidden/>
          </w:rPr>
          <w:instrText xml:space="preserve"> PAGEREF _Toc432760509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60510"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Покриване на средствата за ЕИФ, дължими по Европейския фонд за стратегически инвестиции (ЕФСИ)</w:t>
        </w:r>
        <w:r>
          <w:rPr>
            <w:noProof/>
            <w:webHidden/>
          </w:rPr>
          <w:tab/>
        </w:r>
        <w:r>
          <w:rPr>
            <w:noProof/>
            <w:webHidden/>
          </w:rPr>
          <w:fldChar w:fldCharType="begin"/>
        </w:r>
        <w:r>
          <w:rPr>
            <w:noProof/>
            <w:webHidden/>
          </w:rPr>
          <w:instrText xml:space="preserve"> PAGEREF _Toc432760510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60511" w:history="1">
        <w:r>
          <w:rPr>
            <w:rStyle w:val="Hyperlink"/>
            <w:noProof/>
          </w:rPr>
          <w:t>5</w:t>
        </w:r>
        <w:r>
          <w:rPr>
            <w:rFonts w:asciiTheme="minorHAnsi" w:eastAsiaTheme="minorEastAsia" w:hAnsiTheme="minorHAnsi" w:cstheme="minorBidi"/>
            <w:b w:val="0"/>
            <w:bCs w:val="0"/>
            <w:caps w:val="0"/>
            <w:noProof/>
            <w:sz w:val="22"/>
            <w:szCs w:val="22"/>
            <w:lang w:val="en-GB" w:eastAsia="en-GB" w:bidi="ar-SA"/>
          </w:rPr>
          <w:tab/>
        </w:r>
        <w:r>
          <w:rPr>
            <w:rStyle w:val="Hyperlink"/>
            <w:noProof/>
          </w:rPr>
          <w:t>Агенция за сътрудничество между регулаторите на енергия (ACER)</w:t>
        </w:r>
        <w:r>
          <w:rPr>
            <w:noProof/>
            <w:webHidden/>
          </w:rPr>
          <w:tab/>
        </w:r>
        <w:r>
          <w:rPr>
            <w:noProof/>
            <w:webHidden/>
          </w:rPr>
          <w:fldChar w:fldCharType="begin"/>
        </w:r>
        <w:r>
          <w:rPr>
            <w:noProof/>
            <w:webHidden/>
          </w:rPr>
          <w:instrText xml:space="preserve"> PAGEREF _Toc432760511 \h </w:instrText>
        </w:r>
        <w:r>
          <w:rPr>
            <w:noProof/>
            <w:webHidden/>
          </w:rPr>
        </w:r>
        <w:r>
          <w:rPr>
            <w:noProof/>
            <w:webHidden/>
          </w:rPr>
          <w:fldChar w:fldCharType="separate"/>
        </w:r>
        <w:r>
          <w:rPr>
            <w:noProof/>
            <w:webHidden/>
          </w:rPr>
          <w:t>18</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60512" w:history="1">
        <w:r>
          <w:rPr>
            <w:rStyle w:val="Hyperlink"/>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многогодишната финансова рамка</w:t>
        </w:r>
        <w:r>
          <w:rPr>
            <w:noProof/>
            <w:webHidden/>
          </w:rPr>
          <w:tab/>
        </w:r>
        <w:r>
          <w:rPr>
            <w:noProof/>
            <w:webHidden/>
          </w:rPr>
          <w:fldChar w:fldCharType="begin"/>
        </w:r>
        <w:r>
          <w:rPr>
            <w:noProof/>
            <w:webHidden/>
          </w:rPr>
          <w:instrText xml:space="preserve"> PAGEREF _Toc432760512 \h </w:instrText>
        </w:r>
        <w:r>
          <w:rPr>
            <w:noProof/>
            <w:webHidden/>
          </w:rPr>
        </w:r>
        <w:r>
          <w:rPr>
            <w:noProof/>
            <w:webHidden/>
          </w:rPr>
          <w:fldChar w:fldCharType="separate"/>
        </w:r>
        <w:r>
          <w:rPr>
            <w:noProof/>
            <w:webHidden/>
          </w:rPr>
          <w:t>19</w:t>
        </w:r>
        <w:r>
          <w:rPr>
            <w:noProof/>
            <w:webHidden/>
          </w:rPr>
          <w:fldChar w:fldCharType="end"/>
        </w:r>
      </w:hyperlink>
    </w:p>
    <w:p>
      <w:pPr>
        <w:rPr>
          <w:rFonts w:ascii="Calibri" w:hAnsi="Calibr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r>
        <w:rPr>
          <w:b/>
          <w:bCs/>
          <w:caps/>
          <w:noProof/>
          <w:sz w:val="20"/>
          <w:szCs w:val="20"/>
        </w:rPr>
        <w:fldChar w:fldCharType="end"/>
      </w:r>
    </w:p>
    <w:p>
      <w:pPr>
        <w:pStyle w:val="ManualHeading1"/>
        <w:numPr>
          <w:ilvl w:val="0"/>
          <w:numId w:val="8"/>
        </w:numPr>
        <w:ind w:left="850" w:hanging="850"/>
        <w:rPr>
          <w:noProof/>
        </w:rPr>
      </w:pPr>
      <w:bookmarkStart w:id="4" w:name="_Toc431481481"/>
      <w:bookmarkStart w:id="5" w:name="_Toc432760498"/>
      <w:r>
        <w:rPr>
          <w:noProof/>
        </w:rPr>
        <w:t>Въведение</w:t>
      </w:r>
      <w:bookmarkEnd w:id="2"/>
      <w:bookmarkEnd w:id="3"/>
      <w:bookmarkEnd w:id="4"/>
      <w:bookmarkEnd w:id="5"/>
    </w:p>
    <w:p>
      <w:pPr>
        <w:spacing w:before="120" w:after="120"/>
        <w:jc w:val="both"/>
        <w:rPr>
          <w:noProof/>
        </w:rPr>
      </w:pPr>
      <w:r>
        <w:rPr>
          <w:noProof/>
        </w:rPr>
        <w:t>Писмо за внасяне на корекции №</w:t>
      </w:r>
      <w:r>
        <w:rPr>
          <w:noProof/>
          <w:lang w:val="en-GB"/>
        </w:rPr>
        <w:t> </w:t>
      </w:r>
      <w:r>
        <w:rPr>
          <w:noProof/>
        </w:rPr>
        <w:t>2 (ПВК №</w:t>
      </w:r>
      <w:r>
        <w:rPr>
          <w:noProof/>
          <w:lang w:val="en-GB"/>
        </w:rPr>
        <w:t> </w:t>
      </w:r>
      <w:r>
        <w:rPr>
          <w:noProof/>
        </w:rPr>
        <w:t>2) в проектобюджета за 2016</w:t>
      </w:r>
      <w:r>
        <w:rPr>
          <w:noProof/>
          <w:lang w:val="en-GB"/>
        </w:rPr>
        <w:t> </w:t>
      </w:r>
      <w:r>
        <w:rPr>
          <w:noProof/>
        </w:rPr>
        <w:t>г. обхваща следните елементи:</w:t>
      </w:r>
    </w:p>
    <w:p>
      <w:pPr>
        <w:numPr>
          <w:ilvl w:val="0"/>
          <w:numId w:val="9"/>
        </w:numPr>
        <w:spacing w:before="120" w:after="120"/>
        <w:jc w:val="both"/>
        <w:rPr>
          <w:noProof/>
        </w:rPr>
      </w:pPr>
      <w:bookmarkStart w:id="6" w:name="_Toc337030147"/>
      <w:r>
        <w:rPr>
          <w:noProof/>
        </w:rPr>
        <w:t>Актуализиране на прогнозните нужди, целевите приходи и бюджетни кредити за селскостопанските разходи. Освен променящите се пазарни фактори ПВК №</w:t>
      </w:r>
      <w:r>
        <w:rPr>
          <w:noProof/>
          <w:lang w:val="en-GB"/>
        </w:rPr>
        <w:t> </w:t>
      </w:r>
      <w:r>
        <w:rPr>
          <w:noProof/>
        </w:rPr>
        <w:t>2/2016 включва и отражението на решенията, приети в селскостопанския сектор след представянето на ПБ за 2016</w:t>
      </w:r>
      <w:r>
        <w:rPr>
          <w:noProof/>
          <w:lang w:val="en-GB"/>
        </w:rPr>
        <w:t> </w:t>
      </w:r>
      <w:r>
        <w:rPr>
          <w:noProof/>
        </w:rPr>
        <w:t>г. през май 2015</w:t>
      </w:r>
      <w:r>
        <w:rPr>
          <w:noProof/>
          <w:lang w:val="en-GB"/>
        </w:rPr>
        <w:t> </w:t>
      </w:r>
      <w:r>
        <w:rPr>
          <w:noProof/>
        </w:rPr>
        <w:t>г., както и всички други предложения, които се очаква да имат значително отражение през бюджетната година; След отчитане на допълнителните приходи, предназначени за финансиране на ЕФГЗ, нетният резултат по функция 2 представлява намаление от 477,3 млн. EUR за бюджетни кредити за поети задължения и за бюджетни кредити за плащания.</w:t>
      </w:r>
    </w:p>
    <w:p>
      <w:pPr>
        <w:numPr>
          <w:ilvl w:val="0"/>
          <w:numId w:val="9"/>
        </w:numPr>
        <w:spacing w:before="120" w:after="120"/>
        <w:jc w:val="both"/>
        <w:rPr>
          <w:noProof/>
        </w:rPr>
      </w:pPr>
      <w:r>
        <w:rPr>
          <w:noProof/>
        </w:rPr>
        <w:t>Актуализиране на състоянието във връзка със споразуменията за партньорство за устойчиво рибарство, за да се вземат предвид най-новите прогнози, въз основа на които необходимите разходи за бюджетните кредити за поети задължения и за плащания са по-ниски с 11 млн. EUR от първоначално предвиденото.</w:t>
      </w:r>
    </w:p>
    <w:p>
      <w:pPr>
        <w:numPr>
          <w:ilvl w:val="0"/>
          <w:numId w:val="9"/>
        </w:numPr>
        <w:spacing w:before="120" w:after="120"/>
        <w:jc w:val="both"/>
        <w:rPr>
          <w:noProof/>
        </w:rPr>
      </w:pPr>
      <w:r>
        <w:rPr>
          <w:noProof/>
        </w:rPr>
        <w:t>Необходимите увеличения за незабавни мерки за справяне с кризата с бежанците в рамките на Европейската програма за миграция, като се надгражда върху мерките, предложени в проекта за коригиращ бюджет № 7/2015, както следва:</w:t>
      </w:r>
    </w:p>
    <w:p>
      <w:pPr>
        <w:numPr>
          <w:ilvl w:val="1"/>
          <w:numId w:val="9"/>
        </w:numPr>
        <w:spacing w:before="120" w:after="120"/>
        <w:jc w:val="both"/>
        <w:rPr>
          <w:noProof/>
        </w:rPr>
      </w:pPr>
      <w:r>
        <w:rPr>
          <w:noProof/>
        </w:rPr>
        <w:t>Функция 3: Сигурност и гражданство. Увеличение на спешната помощ в полза на държавите членки, които са най-засегнати, засилване на капацитета на трите агенции, действащи на предна линия, както и интеграцията на двете решения за преразпределение, приети през септември 2015 г., както и необходимост от допълнително увеличение на средствата по фонд „Убежище, миграция и интеграция (ФУМИ)“ и фонд „Вътрешна сигурност“ (ФВС). Като цяло, предложените мерки за 2016 г. изискват увеличение от 1 380 млн. EUR в бюджетни кредити за поети задължения и 778,8 млн. EUR в бюджетни кредити за плащания. Вследствие на това Комисията предлага да се мобилизира Инструментът за гъвкавост за сума в размер на 1 504,0 млн. EUR по функция 3. Това включва 124,0 млн. EUR, които Комисията вече е предложила да се мобилизират от Инструмента за гъвкавост заедно с първоначалния проектобюджет за 2016</w:t>
      </w:r>
      <w:r>
        <w:rPr>
          <w:noProof/>
          <w:lang w:val="en-GB"/>
        </w:rPr>
        <w:t> </w:t>
      </w:r>
      <w:r>
        <w:rPr>
          <w:noProof/>
        </w:rPr>
        <w:t>г.; това предложение вече е отменено и заменено с нов проект за акт, придружаващ настоящото писмо за внасяне на корекции.</w:t>
      </w:r>
    </w:p>
    <w:p>
      <w:pPr>
        <w:numPr>
          <w:ilvl w:val="1"/>
          <w:numId w:val="9"/>
        </w:numPr>
        <w:spacing w:before="120" w:after="120"/>
        <w:jc w:val="both"/>
        <w:rPr>
          <w:noProof/>
        </w:rPr>
      </w:pPr>
      <w:r>
        <w:rPr>
          <w:noProof/>
        </w:rPr>
        <w:t>Функция 4: Глобална Европа. Увеличение на средствата за хуманитарна помощ с 150 млн. EUR в бюджетни кредити за поети задължения и с 405 млн. EUR в бюджетни кредити за плащания, както и увеличение на бюджетните кредити за Европейския инструмент за съседство с 210 млн. EUR.</w:t>
      </w:r>
    </w:p>
    <w:p>
      <w:pPr>
        <w:numPr>
          <w:ilvl w:val="1"/>
          <w:numId w:val="9"/>
        </w:numPr>
        <w:spacing w:before="120" w:after="120"/>
        <w:jc w:val="both"/>
        <w:rPr>
          <w:noProof/>
        </w:rPr>
      </w:pPr>
      <w:r>
        <w:rPr>
          <w:noProof/>
        </w:rPr>
        <w:t>Функция 5: Администрация. Увеличение с 23,9 млн. EUR на бюджетните кредити за поети задължения и за плащания за покриване на разходите за възнаграждения и командировки.</w:t>
      </w:r>
    </w:p>
    <w:p>
      <w:pPr>
        <w:numPr>
          <w:ilvl w:val="0"/>
          <w:numId w:val="9"/>
        </w:numPr>
        <w:spacing w:before="120" w:after="120"/>
        <w:jc w:val="both"/>
        <w:rPr>
          <w:noProof/>
        </w:rPr>
      </w:pPr>
      <w:r>
        <w:rPr>
          <w:noProof/>
        </w:rPr>
        <w:t>Увеличение с 5 млн. EUR на бюджетните кредити за поети задължения и за плащания за покриване на вноските към Европейския инвестиционен фонд (ЕИФ) за прилагането на новите прозоречни продукти за малките и средни предприятия (МСП) в рамките на Европейския фонд за стратегически инвестиции (ЕФСИ).</w:t>
      </w:r>
    </w:p>
    <w:p>
      <w:pPr>
        <w:numPr>
          <w:ilvl w:val="0"/>
          <w:numId w:val="9"/>
        </w:numPr>
        <w:spacing w:before="120" w:after="120"/>
        <w:jc w:val="both"/>
        <w:rPr>
          <w:noProof/>
        </w:rPr>
      </w:pPr>
      <w:r>
        <w:rPr>
          <w:noProof/>
        </w:rPr>
        <w:t>Неутрална за бюджета промяна на щатното разписание на Агенцията за сътрудничество между регулаторите на енергия (ACER).</w:t>
      </w:r>
    </w:p>
    <w:p>
      <w:pPr>
        <w:numPr>
          <w:ilvl w:val="0"/>
          <w:numId w:val="9"/>
        </w:numPr>
        <w:spacing w:before="120" w:after="120"/>
        <w:jc w:val="both"/>
        <w:rPr>
          <w:noProof/>
        </w:rPr>
      </w:pPr>
      <w:r>
        <w:rPr>
          <w:noProof/>
        </w:rPr>
        <w:t>Намаление с 20 млн. EUR на бюджетните кредити за плащания по програмата „Храни и фуражи“</w:t>
      </w:r>
    </w:p>
    <w:p>
      <w:pPr>
        <w:spacing w:before="120" w:after="120"/>
        <w:jc w:val="both"/>
        <w:rPr>
          <w:noProof/>
        </w:rPr>
      </w:pPr>
      <w:r>
        <w:rPr>
          <w:noProof/>
        </w:rPr>
        <w:t>Нетното отражение на тези промени върху бюджета по всички функции е</w:t>
      </w:r>
      <w:bookmarkEnd w:id="6"/>
      <w:r>
        <w:rPr>
          <w:noProof/>
        </w:rPr>
        <w:t xml:space="preserve"> увеличение на бюджетните кредити за поети задължения с 1 070,6 млн. EUR и на бюджетните кредити за плащания с 914,5 млн. EUR.</w:t>
      </w:r>
    </w:p>
    <w:p>
      <w:pPr>
        <w:pStyle w:val="ManualHeading1"/>
        <w:numPr>
          <w:ilvl w:val="0"/>
          <w:numId w:val="8"/>
        </w:numPr>
        <w:ind w:left="850" w:hanging="850"/>
        <w:rPr>
          <w:noProof/>
        </w:rPr>
      </w:pPr>
      <w:bookmarkStart w:id="7" w:name="_Toc431481482"/>
      <w:bookmarkStart w:id="8" w:name="_Toc432760499"/>
      <w:r>
        <w:rPr>
          <w:noProof/>
        </w:rPr>
        <w:t>Селско стопанство и рибарство</w:t>
      </w:r>
      <w:bookmarkEnd w:id="7"/>
      <w:bookmarkEnd w:id="8"/>
    </w:p>
    <w:p>
      <w:pPr>
        <w:pStyle w:val="ManualHeading2"/>
        <w:numPr>
          <w:ilvl w:val="1"/>
          <w:numId w:val="8"/>
        </w:numPr>
        <w:rPr>
          <w:noProof/>
        </w:rPr>
      </w:pPr>
      <w:bookmarkStart w:id="9" w:name="_Toc431481483"/>
      <w:bookmarkStart w:id="10" w:name="_Toc432760500"/>
      <w:r>
        <w:rPr>
          <w:noProof/>
        </w:rPr>
        <w:t>Основни предложени промени</w:t>
      </w:r>
      <w:bookmarkEnd w:id="9"/>
      <w:bookmarkEnd w:id="10"/>
    </w:p>
    <w:p>
      <w:pPr>
        <w:autoSpaceDE w:val="0"/>
        <w:autoSpaceDN w:val="0"/>
        <w:adjustRightInd w:val="0"/>
        <w:spacing w:before="120" w:after="120"/>
        <w:jc w:val="both"/>
        <w:rPr>
          <w:noProof/>
        </w:rPr>
      </w:pPr>
      <w:r>
        <w:rPr>
          <w:noProof/>
        </w:rPr>
        <w:t>С настоящото писмо за внасяне на корекции Комисията предлага да се увеличат разходите за селското стопанство с 660,7 млн. EUR в сравнение с ПБ за 2016 г. Това увеличение на нуждите се дължи предимно на финансовите последици от временни мерки за подпомагане в резултат на разширяването на руското ембарго върху вноса на определени селскостопански продукти от ЕС, както и за някои допълнителни мерки за подкрепа на сектори, които са изправени пред трудна ситуация на пазара, по-специално тези на млечните продукти и на свинското месо. Като се изключи въздействието на тези извънредни мерки в размер на почти 700 млн. EUR (вж. таблицата по-долу), актуализираните прогнози за разходите на ЕФГЗ са с 37 млн. EUR по-малки в сравнение с ПБ за 2016 г.</w:t>
      </w:r>
    </w:p>
    <w:p>
      <w:pPr>
        <w:autoSpaceDE w:val="0"/>
        <w:autoSpaceDN w:val="0"/>
        <w:adjustRightInd w:val="0"/>
        <w:spacing w:before="120" w:after="120"/>
        <w:jc w:val="both"/>
        <w:rPr>
          <w:b/>
          <w:noProof/>
        </w:rPr>
      </w:pPr>
      <w:r>
        <w:rPr>
          <w:b/>
          <w:noProof/>
        </w:rPr>
        <w:t xml:space="preserve">Временни мерки за подпомагане, които са вече приети и понастоящем са в процес на подготовка от страна на Комисията след ПБ за 2016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840"/>
        <w:gridCol w:w="1737"/>
      </w:tblGrid>
      <w:tr>
        <w:tc>
          <w:tcPr>
            <w:tcW w:w="1428"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Бюджетен ред</w:t>
            </w:r>
          </w:p>
        </w:tc>
        <w:tc>
          <w:tcPr>
            <w:tcW w:w="6840"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Мярка</w:t>
            </w:r>
          </w:p>
        </w:tc>
        <w:tc>
          <w:tcPr>
            <w:tcW w:w="1737"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 xml:space="preserve">Сума </w:t>
            </w:r>
            <w:r>
              <w:rPr>
                <w:b/>
                <w:noProof/>
                <w:sz w:val="20"/>
                <w:szCs w:val="20"/>
              </w:rPr>
              <w:br/>
            </w:r>
            <w:r>
              <w:rPr>
                <w:b/>
                <w:noProof/>
                <w:sz w:val="20"/>
              </w:rPr>
              <w:t>(млн. EUR)</w:t>
            </w:r>
          </w:p>
        </w:tc>
      </w:tr>
      <w:tr>
        <w:tc>
          <w:tcPr>
            <w:tcW w:w="10005" w:type="dxa"/>
            <w:gridSpan w:val="3"/>
            <w:tcBorders>
              <w:bottom w:val="single" w:sz="4" w:space="0" w:color="auto"/>
            </w:tcBorders>
            <w:shd w:val="clear" w:color="auto" w:fill="auto"/>
          </w:tcPr>
          <w:p>
            <w:pPr>
              <w:autoSpaceDE w:val="0"/>
              <w:autoSpaceDN w:val="0"/>
              <w:adjustRightInd w:val="0"/>
              <w:jc w:val="both"/>
              <w:rPr>
                <w:b/>
                <w:i/>
                <w:noProof/>
                <w:sz w:val="20"/>
                <w:szCs w:val="20"/>
              </w:rPr>
            </w:pPr>
            <w:r>
              <w:rPr>
                <w:b/>
                <w:i/>
                <w:noProof/>
                <w:sz w:val="20"/>
              </w:rPr>
              <w:t>Вече приети мерки (197,3 млн. EUR), от които</w:t>
            </w:r>
          </w:p>
        </w:tc>
      </w:tr>
      <w:tr>
        <w:tc>
          <w:tcPr>
            <w:tcW w:w="1428" w:type="dxa"/>
            <w:tcBorders>
              <w:top w:val="single" w:sz="4" w:space="0" w:color="auto"/>
            </w:tcBorders>
            <w:shd w:val="clear" w:color="auto" w:fill="auto"/>
          </w:tcPr>
          <w:p>
            <w:pPr>
              <w:autoSpaceDE w:val="0"/>
              <w:autoSpaceDN w:val="0"/>
              <w:adjustRightInd w:val="0"/>
              <w:rPr>
                <w:noProof/>
                <w:sz w:val="20"/>
                <w:szCs w:val="20"/>
              </w:rPr>
            </w:pPr>
            <w:r>
              <w:rPr>
                <w:noProof/>
                <w:sz w:val="20"/>
              </w:rPr>
              <w:t>05 02 08 03</w:t>
            </w:r>
            <w:r>
              <w:rPr>
                <w:noProof/>
              </w:rPr>
              <w:br/>
            </w:r>
            <w:r>
              <w:rPr>
                <w:noProof/>
                <w:sz w:val="20"/>
              </w:rPr>
              <w:t>05 02 08 99</w:t>
            </w:r>
          </w:p>
        </w:tc>
        <w:tc>
          <w:tcPr>
            <w:tcW w:w="6840" w:type="dxa"/>
            <w:tcBorders>
              <w:top w:val="single" w:sz="4" w:space="0" w:color="auto"/>
            </w:tcBorders>
            <w:shd w:val="clear" w:color="auto" w:fill="auto"/>
          </w:tcPr>
          <w:p>
            <w:pPr>
              <w:autoSpaceDE w:val="0"/>
              <w:autoSpaceDN w:val="0"/>
              <w:adjustRightInd w:val="0"/>
              <w:jc w:val="both"/>
              <w:rPr>
                <w:noProof/>
                <w:sz w:val="20"/>
                <w:szCs w:val="20"/>
              </w:rPr>
            </w:pPr>
            <w:r>
              <w:rPr>
                <w:noProof/>
                <w:sz w:val="20"/>
              </w:rPr>
              <w:t xml:space="preserve">Разширяване на допълнителните временни извънредни мерки за подпомагане на производителите на някои плодове и зеленчуци (Делегиран регламент (ЕС) № 1268/2012 на Комисията) </w:t>
            </w:r>
          </w:p>
        </w:tc>
        <w:tc>
          <w:tcPr>
            <w:tcW w:w="1737" w:type="dxa"/>
            <w:tcBorders>
              <w:top w:val="single" w:sz="4" w:space="0" w:color="auto"/>
            </w:tcBorders>
            <w:shd w:val="clear" w:color="auto" w:fill="auto"/>
          </w:tcPr>
          <w:p>
            <w:pPr>
              <w:autoSpaceDE w:val="0"/>
              <w:autoSpaceDN w:val="0"/>
              <w:adjustRightInd w:val="0"/>
              <w:jc w:val="right"/>
              <w:rPr>
                <w:noProof/>
                <w:sz w:val="20"/>
                <w:szCs w:val="20"/>
              </w:rPr>
            </w:pPr>
            <w:r>
              <w:rPr>
                <w:noProof/>
                <w:sz w:val="20"/>
              </w:rPr>
              <w:t>191,0</w:t>
            </w:r>
          </w:p>
        </w:tc>
      </w:tr>
      <w:tr>
        <w:tc>
          <w:tcPr>
            <w:tcW w:w="1428" w:type="dxa"/>
            <w:tcBorders>
              <w:top w:val="nil"/>
            </w:tcBorders>
            <w:shd w:val="clear" w:color="auto" w:fill="auto"/>
          </w:tcPr>
          <w:p>
            <w:pPr>
              <w:autoSpaceDE w:val="0"/>
              <w:autoSpaceDN w:val="0"/>
              <w:adjustRightInd w:val="0"/>
              <w:jc w:val="both"/>
              <w:rPr>
                <w:noProof/>
                <w:sz w:val="20"/>
                <w:szCs w:val="20"/>
              </w:rPr>
            </w:pPr>
            <w:r>
              <w:rPr>
                <w:noProof/>
                <w:sz w:val="20"/>
              </w:rPr>
              <w:t>05 02 12 02</w:t>
            </w:r>
          </w:p>
        </w:tc>
        <w:tc>
          <w:tcPr>
            <w:tcW w:w="6840" w:type="dxa"/>
            <w:tcBorders>
              <w:top w:val="nil"/>
            </w:tcBorders>
            <w:shd w:val="clear" w:color="auto" w:fill="auto"/>
          </w:tcPr>
          <w:p>
            <w:pPr>
              <w:autoSpaceDE w:val="0"/>
              <w:autoSpaceDN w:val="0"/>
              <w:adjustRightInd w:val="0"/>
              <w:jc w:val="both"/>
              <w:rPr>
                <w:noProof/>
                <w:sz w:val="20"/>
                <w:szCs w:val="20"/>
              </w:rPr>
            </w:pPr>
            <w:r>
              <w:rPr>
                <w:noProof/>
                <w:sz w:val="20"/>
              </w:rPr>
              <w:t>Частното складиране и публичната интервенция за обезмаслено мляко на прах (Регламент за изпълнение (ЕС) № 2015/1548 на Комисията и Делегиран регламент (ЕС) № 2015/1549 на Комисията)</w:t>
            </w:r>
          </w:p>
        </w:tc>
        <w:tc>
          <w:tcPr>
            <w:tcW w:w="1737" w:type="dxa"/>
            <w:tcBorders>
              <w:top w:val="nil"/>
            </w:tcBorders>
            <w:shd w:val="clear" w:color="auto" w:fill="auto"/>
          </w:tcPr>
          <w:p>
            <w:pPr>
              <w:autoSpaceDE w:val="0"/>
              <w:autoSpaceDN w:val="0"/>
              <w:adjustRightInd w:val="0"/>
              <w:jc w:val="right"/>
              <w:rPr>
                <w:noProof/>
                <w:sz w:val="20"/>
                <w:szCs w:val="20"/>
              </w:rPr>
            </w:pPr>
            <w:r>
              <w:rPr>
                <w:noProof/>
                <w:sz w:val="20"/>
              </w:rPr>
              <w:t>2,3</w:t>
            </w:r>
          </w:p>
        </w:tc>
      </w:tr>
      <w:tr>
        <w:tc>
          <w:tcPr>
            <w:tcW w:w="1428" w:type="dxa"/>
            <w:tcBorders>
              <w:top w:val="nil"/>
            </w:tcBorders>
            <w:shd w:val="clear" w:color="auto" w:fill="auto"/>
          </w:tcPr>
          <w:p>
            <w:pPr>
              <w:autoSpaceDE w:val="0"/>
              <w:autoSpaceDN w:val="0"/>
              <w:adjustRightInd w:val="0"/>
              <w:jc w:val="both"/>
              <w:rPr>
                <w:noProof/>
                <w:sz w:val="20"/>
                <w:szCs w:val="20"/>
              </w:rPr>
            </w:pPr>
            <w:r>
              <w:rPr>
                <w:noProof/>
                <w:sz w:val="20"/>
              </w:rPr>
              <w:t>05 02 12 04</w:t>
            </w:r>
          </w:p>
        </w:tc>
        <w:tc>
          <w:tcPr>
            <w:tcW w:w="6840" w:type="dxa"/>
            <w:tcBorders>
              <w:top w:val="nil"/>
            </w:tcBorders>
            <w:shd w:val="clear" w:color="auto" w:fill="auto"/>
          </w:tcPr>
          <w:p>
            <w:pPr>
              <w:autoSpaceDE w:val="0"/>
              <w:autoSpaceDN w:val="0"/>
              <w:adjustRightInd w:val="0"/>
              <w:jc w:val="both"/>
              <w:rPr>
                <w:noProof/>
                <w:sz w:val="20"/>
                <w:szCs w:val="20"/>
              </w:rPr>
            </w:pPr>
            <w:r>
              <w:rPr>
                <w:noProof/>
                <w:sz w:val="20"/>
              </w:rPr>
              <w:t>Частното складиране и публичната интервенция за маслото (Регламент за изпълнение (ЕС) № 2015/1548 на Комисията и Делегиран регламент (ЕС) № 2015/1549 на Комисията)</w:t>
            </w:r>
          </w:p>
        </w:tc>
        <w:tc>
          <w:tcPr>
            <w:tcW w:w="1737" w:type="dxa"/>
            <w:tcBorders>
              <w:top w:val="nil"/>
            </w:tcBorders>
            <w:shd w:val="clear" w:color="auto" w:fill="auto"/>
          </w:tcPr>
          <w:p>
            <w:pPr>
              <w:autoSpaceDE w:val="0"/>
              <w:autoSpaceDN w:val="0"/>
              <w:adjustRightInd w:val="0"/>
              <w:jc w:val="right"/>
              <w:rPr>
                <w:noProof/>
                <w:sz w:val="20"/>
                <w:szCs w:val="20"/>
              </w:rPr>
            </w:pPr>
            <w:r>
              <w:rPr>
                <w:noProof/>
                <w:sz w:val="20"/>
              </w:rPr>
              <w:t>4,0</w:t>
            </w:r>
          </w:p>
        </w:tc>
      </w:tr>
      <w:tr>
        <w:tc>
          <w:tcPr>
            <w:tcW w:w="10005" w:type="dxa"/>
            <w:gridSpan w:val="3"/>
            <w:shd w:val="clear" w:color="auto" w:fill="auto"/>
          </w:tcPr>
          <w:p>
            <w:pPr>
              <w:autoSpaceDE w:val="0"/>
              <w:autoSpaceDN w:val="0"/>
              <w:adjustRightInd w:val="0"/>
              <w:jc w:val="both"/>
              <w:rPr>
                <w:b/>
                <w:noProof/>
                <w:sz w:val="20"/>
                <w:szCs w:val="20"/>
              </w:rPr>
            </w:pPr>
            <w:r>
              <w:rPr>
                <w:b/>
                <w:i/>
                <w:noProof/>
                <w:sz w:val="20"/>
              </w:rPr>
              <w:t>Мерки в процес на подготовка (500,7 млн. EUR), от които</w:t>
            </w:r>
          </w:p>
        </w:tc>
      </w:tr>
      <w:tr>
        <w:tc>
          <w:tcPr>
            <w:tcW w:w="1428" w:type="dxa"/>
            <w:shd w:val="clear" w:color="auto" w:fill="auto"/>
          </w:tcPr>
          <w:p>
            <w:pPr>
              <w:autoSpaceDE w:val="0"/>
              <w:autoSpaceDN w:val="0"/>
              <w:adjustRightInd w:val="0"/>
              <w:jc w:val="both"/>
              <w:rPr>
                <w:noProof/>
                <w:sz w:val="20"/>
                <w:szCs w:val="20"/>
              </w:rPr>
            </w:pPr>
            <w:r>
              <w:rPr>
                <w:noProof/>
                <w:sz w:val="20"/>
              </w:rPr>
              <w:t>05 02 12 02</w:t>
            </w:r>
          </w:p>
        </w:tc>
        <w:tc>
          <w:tcPr>
            <w:tcW w:w="6840" w:type="dxa"/>
            <w:shd w:val="clear" w:color="auto" w:fill="auto"/>
          </w:tcPr>
          <w:p>
            <w:pPr>
              <w:autoSpaceDE w:val="0"/>
              <w:autoSpaceDN w:val="0"/>
              <w:adjustRightInd w:val="0"/>
              <w:jc w:val="both"/>
              <w:rPr>
                <w:noProof/>
                <w:sz w:val="20"/>
                <w:szCs w:val="20"/>
              </w:rPr>
            </w:pPr>
            <w:r>
              <w:rPr>
                <w:noProof/>
                <w:sz w:val="20"/>
              </w:rPr>
              <w:t>Удължено частно складиране на обезмаслено мляко на прах (Регламент за изпълнение на Комисията (ЕС) № 2015/xx понастоящем в процес на подготовка)</w:t>
            </w:r>
          </w:p>
        </w:tc>
        <w:tc>
          <w:tcPr>
            <w:tcW w:w="1737" w:type="dxa"/>
            <w:shd w:val="clear" w:color="auto" w:fill="auto"/>
          </w:tcPr>
          <w:p>
            <w:pPr>
              <w:autoSpaceDE w:val="0"/>
              <w:autoSpaceDN w:val="0"/>
              <w:adjustRightInd w:val="0"/>
              <w:jc w:val="right"/>
              <w:rPr>
                <w:noProof/>
                <w:sz w:val="20"/>
                <w:szCs w:val="20"/>
              </w:rPr>
            </w:pPr>
            <w:r>
              <w:rPr>
                <w:noProof/>
                <w:sz w:val="20"/>
              </w:rPr>
              <w:t>11,7</w:t>
            </w:r>
          </w:p>
        </w:tc>
      </w:tr>
      <w:tr>
        <w:tc>
          <w:tcPr>
            <w:tcW w:w="1428" w:type="dxa"/>
            <w:shd w:val="clear" w:color="auto" w:fill="auto"/>
          </w:tcPr>
          <w:p>
            <w:pPr>
              <w:autoSpaceDE w:val="0"/>
              <w:autoSpaceDN w:val="0"/>
              <w:adjustRightInd w:val="0"/>
              <w:jc w:val="both"/>
              <w:rPr>
                <w:noProof/>
                <w:sz w:val="20"/>
                <w:szCs w:val="20"/>
              </w:rPr>
            </w:pPr>
            <w:r>
              <w:rPr>
                <w:noProof/>
                <w:sz w:val="20"/>
              </w:rPr>
              <w:t>05 02 12 09</w:t>
            </w:r>
          </w:p>
        </w:tc>
        <w:tc>
          <w:tcPr>
            <w:tcW w:w="6840" w:type="dxa"/>
            <w:shd w:val="clear" w:color="auto" w:fill="auto"/>
          </w:tcPr>
          <w:p>
            <w:pPr>
              <w:autoSpaceDE w:val="0"/>
              <w:autoSpaceDN w:val="0"/>
              <w:adjustRightInd w:val="0"/>
              <w:jc w:val="both"/>
              <w:rPr>
                <w:noProof/>
                <w:sz w:val="20"/>
                <w:szCs w:val="20"/>
              </w:rPr>
            </w:pPr>
            <w:r>
              <w:rPr>
                <w:noProof/>
                <w:sz w:val="20"/>
              </w:rPr>
              <w:t>Разпространение на млечни продукти като неотложна реакция на хуманитарни кризи (пряко приложими от Комисията съгласно Регламент (ЕО) № 1257/96)</w:t>
            </w:r>
          </w:p>
        </w:tc>
        <w:tc>
          <w:tcPr>
            <w:tcW w:w="1737" w:type="dxa"/>
            <w:shd w:val="clear" w:color="auto" w:fill="auto"/>
          </w:tcPr>
          <w:p>
            <w:pPr>
              <w:autoSpaceDE w:val="0"/>
              <w:autoSpaceDN w:val="0"/>
              <w:adjustRightInd w:val="0"/>
              <w:jc w:val="right"/>
              <w:rPr>
                <w:noProof/>
                <w:sz w:val="20"/>
                <w:szCs w:val="20"/>
              </w:rPr>
            </w:pPr>
            <w:r>
              <w:rPr>
                <w:noProof/>
                <w:sz w:val="20"/>
              </w:rPr>
              <w:t>30,0</w:t>
            </w:r>
          </w:p>
        </w:tc>
      </w:tr>
      <w:tr>
        <w:tc>
          <w:tcPr>
            <w:tcW w:w="1428" w:type="dxa"/>
            <w:shd w:val="clear" w:color="auto" w:fill="auto"/>
          </w:tcPr>
          <w:p>
            <w:pPr>
              <w:autoSpaceDE w:val="0"/>
              <w:autoSpaceDN w:val="0"/>
              <w:adjustRightInd w:val="0"/>
              <w:jc w:val="both"/>
              <w:rPr>
                <w:noProof/>
                <w:sz w:val="20"/>
                <w:szCs w:val="20"/>
              </w:rPr>
            </w:pPr>
            <w:r>
              <w:rPr>
                <w:noProof/>
                <w:sz w:val="20"/>
              </w:rPr>
              <w:t>05 02 12 99</w:t>
            </w:r>
          </w:p>
        </w:tc>
        <w:tc>
          <w:tcPr>
            <w:tcW w:w="6840" w:type="dxa"/>
            <w:shd w:val="clear" w:color="auto" w:fill="auto"/>
          </w:tcPr>
          <w:p>
            <w:pPr>
              <w:autoSpaceDE w:val="0"/>
              <w:autoSpaceDN w:val="0"/>
              <w:adjustRightInd w:val="0"/>
              <w:jc w:val="both"/>
              <w:rPr>
                <w:noProof/>
                <w:sz w:val="20"/>
                <w:szCs w:val="20"/>
              </w:rPr>
            </w:pPr>
            <w:r>
              <w:rPr>
                <w:noProof/>
                <w:sz w:val="20"/>
              </w:rPr>
              <w:t>Временна извънредна схема за помощ за частно складиране на някои видове сирена (Делегиран регламент (ЕС) 2015/xx, в процес на изготвяне)</w:t>
            </w:r>
          </w:p>
        </w:tc>
        <w:tc>
          <w:tcPr>
            <w:tcW w:w="1737" w:type="dxa"/>
            <w:shd w:val="clear" w:color="auto" w:fill="auto"/>
          </w:tcPr>
          <w:p>
            <w:pPr>
              <w:autoSpaceDE w:val="0"/>
              <w:autoSpaceDN w:val="0"/>
              <w:adjustRightInd w:val="0"/>
              <w:jc w:val="right"/>
              <w:rPr>
                <w:noProof/>
                <w:sz w:val="20"/>
                <w:szCs w:val="20"/>
              </w:rPr>
            </w:pPr>
            <w:r>
              <w:rPr>
                <w:noProof/>
                <w:sz w:val="20"/>
              </w:rPr>
              <w:t>10,0</w:t>
            </w:r>
          </w:p>
        </w:tc>
      </w:tr>
      <w:tr>
        <w:tc>
          <w:tcPr>
            <w:tcW w:w="1428" w:type="dxa"/>
            <w:shd w:val="clear" w:color="auto" w:fill="auto"/>
          </w:tcPr>
          <w:p>
            <w:pPr>
              <w:autoSpaceDE w:val="0"/>
              <w:autoSpaceDN w:val="0"/>
              <w:adjustRightInd w:val="0"/>
              <w:jc w:val="both"/>
              <w:rPr>
                <w:noProof/>
                <w:sz w:val="20"/>
                <w:szCs w:val="20"/>
              </w:rPr>
            </w:pPr>
            <w:r>
              <w:rPr>
                <w:noProof/>
                <w:sz w:val="20"/>
              </w:rPr>
              <w:t>05 02 12 99</w:t>
            </w:r>
          </w:p>
        </w:tc>
        <w:tc>
          <w:tcPr>
            <w:tcW w:w="6840" w:type="dxa"/>
            <w:shd w:val="clear" w:color="auto" w:fill="auto"/>
          </w:tcPr>
          <w:p>
            <w:pPr>
              <w:autoSpaceDE w:val="0"/>
              <w:autoSpaceDN w:val="0"/>
              <w:adjustRightInd w:val="0"/>
              <w:jc w:val="both"/>
              <w:rPr>
                <w:noProof/>
                <w:sz w:val="20"/>
                <w:szCs w:val="20"/>
              </w:rPr>
            </w:pPr>
            <w:r>
              <w:rPr>
                <w:noProof/>
                <w:sz w:val="20"/>
              </w:rPr>
              <w:t>Временна извънредна помощ за производителите на мляко под формата на национални пакети (Делегиран регламент (ЕС) 2015/xx, в процес на изготвяне)</w:t>
            </w:r>
          </w:p>
        </w:tc>
        <w:tc>
          <w:tcPr>
            <w:tcW w:w="1737" w:type="dxa"/>
            <w:shd w:val="clear" w:color="auto" w:fill="auto"/>
          </w:tcPr>
          <w:p>
            <w:pPr>
              <w:autoSpaceDE w:val="0"/>
              <w:autoSpaceDN w:val="0"/>
              <w:adjustRightInd w:val="0"/>
              <w:jc w:val="right"/>
              <w:rPr>
                <w:noProof/>
                <w:sz w:val="20"/>
                <w:szCs w:val="20"/>
              </w:rPr>
            </w:pPr>
            <w:r>
              <w:rPr>
                <w:noProof/>
                <w:sz w:val="20"/>
              </w:rPr>
              <w:t>420,0</w:t>
            </w:r>
          </w:p>
        </w:tc>
      </w:tr>
      <w:tr>
        <w:tc>
          <w:tcPr>
            <w:tcW w:w="1428" w:type="dxa"/>
            <w:shd w:val="clear" w:color="auto" w:fill="auto"/>
          </w:tcPr>
          <w:p>
            <w:pPr>
              <w:autoSpaceDE w:val="0"/>
              <w:autoSpaceDN w:val="0"/>
              <w:adjustRightInd w:val="0"/>
              <w:jc w:val="both"/>
              <w:rPr>
                <w:noProof/>
                <w:sz w:val="20"/>
                <w:szCs w:val="20"/>
              </w:rPr>
            </w:pPr>
            <w:r>
              <w:rPr>
                <w:noProof/>
                <w:sz w:val="20"/>
              </w:rPr>
              <w:t xml:space="preserve">05 02 15 </w:t>
            </w:r>
          </w:p>
        </w:tc>
        <w:tc>
          <w:tcPr>
            <w:tcW w:w="6840" w:type="dxa"/>
            <w:shd w:val="clear" w:color="auto" w:fill="auto"/>
          </w:tcPr>
          <w:p>
            <w:pPr>
              <w:autoSpaceDE w:val="0"/>
              <w:autoSpaceDN w:val="0"/>
              <w:adjustRightInd w:val="0"/>
              <w:jc w:val="both"/>
              <w:rPr>
                <w:noProof/>
                <w:sz w:val="20"/>
                <w:szCs w:val="20"/>
              </w:rPr>
            </w:pPr>
            <w:r>
              <w:rPr>
                <w:noProof/>
                <w:sz w:val="20"/>
              </w:rPr>
              <w:t>Частно складиране на свинско месо (отворена, когато развитието на цените на пазара оправдава мярката)</w:t>
            </w:r>
          </w:p>
        </w:tc>
        <w:tc>
          <w:tcPr>
            <w:tcW w:w="1737" w:type="dxa"/>
            <w:shd w:val="clear" w:color="auto" w:fill="auto"/>
          </w:tcPr>
          <w:p>
            <w:pPr>
              <w:autoSpaceDE w:val="0"/>
              <w:autoSpaceDN w:val="0"/>
              <w:adjustRightInd w:val="0"/>
              <w:jc w:val="right"/>
              <w:rPr>
                <w:noProof/>
                <w:sz w:val="20"/>
                <w:szCs w:val="20"/>
              </w:rPr>
            </w:pPr>
            <w:r>
              <w:rPr>
                <w:noProof/>
                <w:sz w:val="20"/>
              </w:rPr>
              <w:t>29,0</w:t>
            </w:r>
          </w:p>
        </w:tc>
      </w:tr>
      <w:tr>
        <w:tc>
          <w:tcPr>
            <w:tcW w:w="8268" w:type="dxa"/>
            <w:gridSpan w:val="2"/>
            <w:shd w:val="clear" w:color="auto" w:fill="auto"/>
          </w:tcPr>
          <w:p>
            <w:pPr>
              <w:autoSpaceDE w:val="0"/>
              <w:autoSpaceDN w:val="0"/>
              <w:adjustRightInd w:val="0"/>
              <w:jc w:val="both"/>
              <w:rPr>
                <w:noProof/>
                <w:sz w:val="20"/>
                <w:szCs w:val="20"/>
              </w:rPr>
            </w:pPr>
            <w:r>
              <w:rPr>
                <w:b/>
                <w:i/>
                <w:noProof/>
                <w:sz w:val="20"/>
              </w:rPr>
              <w:t>Общо за всички допълнителни извънредни мерки, включени в ПВК 2/2016 в сравнение с ПБ за 2016 г.</w:t>
            </w:r>
          </w:p>
        </w:tc>
        <w:tc>
          <w:tcPr>
            <w:tcW w:w="1737" w:type="dxa"/>
            <w:shd w:val="clear" w:color="auto" w:fill="auto"/>
          </w:tcPr>
          <w:p>
            <w:pPr>
              <w:autoSpaceDE w:val="0"/>
              <w:autoSpaceDN w:val="0"/>
              <w:adjustRightInd w:val="0"/>
              <w:jc w:val="right"/>
              <w:rPr>
                <w:b/>
                <w:i/>
                <w:noProof/>
                <w:sz w:val="20"/>
                <w:szCs w:val="20"/>
              </w:rPr>
            </w:pPr>
            <w:r>
              <w:rPr>
                <w:b/>
                <w:i/>
                <w:noProof/>
                <w:sz w:val="20"/>
              </w:rPr>
              <w:t>698,0</w:t>
            </w:r>
          </w:p>
        </w:tc>
      </w:tr>
    </w:tbl>
    <w:p>
      <w:pPr>
        <w:autoSpaceDE w:val="0"/>
        <w:autoSpaceDN w:val="0"/>
        <w:adjustRightInd w:val="0"/>
        <w:spacing w:before="120" w:after="120"/>
        <w:jc w:val="both"/>
        <w:rPr>
          <w:noProof/>
        </w:rPr>
      </w:pPr>
      <w:r>
        <w:rPr>
          <w:noProof/>
        </w:rPr>
        <w:t>Някои от тези мерки могат също така да окажат влияние върху разходите през 2017 г. в зависимост от техните крайни условия и сроковете на декларацията, която трябва да бъде представена на Комисията от държавите членки в рамките на споделено управление по линия на ЕФГЗ. Освен това в таблицата по-горе не се включват 30 млн. EUR, които ще бъдат добавени в следващата покана за представяне на предложения, която ще бъде стартирана в началото на 2016 г. за по-нататъшно засилване на действията за насърчаване относно млечните продукти и свинското месо в трети страни като финансовото отражение ще се наблюдава от 2017 г.</w:t>
      </w:r>
    </w:p>
    <w:p>
      <w:pPr>
        <w:autoSpaceDE w:val="0"/>
        <w:autoSpaceDN w:val="0"/>
        <w:adjustRightInd w:val="0"/>
        <w:spacing w:before="120" w:after="120"/>
        <w:jc w:val="both"/>
        <w:rPr>
          <w:noProof/>
        </w:rPr>
      </w:pPr>
      <w:r>
        <w:rPr>
          <w:noProof/>
        </w:rPr>
        <w:t>Тези допълнителни временни мерки на стойност 698 млн. EUR ще се поемат предимно по линия на ЕФГЗ (668 млн. EUR), с изключение на разпространението на млечни продукти като неотложна реакция на хуманитарни кризи (30 млн. EUR).</w:t>
      </w:r>
    </w:p>
    <w:p>
      <w:pPr>
        <w:autoSpaceDE w:val="0"/>
        <w:autoSpaceDN w:val="0"/>
        <w:adjustRightInd w:val="0"/>
        <w:spacing w:before="120" w:after="120"/>
        <w:jc w:val="both"/>
        <w:rPr>
          <w:noProof/>
        </w:rPr>
      </w:pPr>
      <w:r>
        <w:rPr>
          <w:noProof/>
        </w:rPr>
        <w:t>Предвидените в ПВК № 2/2016 бюджетни кредити за селскостопанските разходи, финансирани по ЕФГЗ, са включени в бюджета в размер на 42 360,3 млн. EUR, което е под наличното нетно салдо за разходи по линия на ЕФГЗ („нетния подтаван“) в размер на 43 949,3 млн. EUR</w:t>
      </w:r>
      <w:r>
        <w:rPr>
          <w:rStyle w:val="FootnoteReference"/>
          <w:noProof/>
        </w:rPr>
        <w:footnoteReference w:id="5"/>
      </w:r>
      <w:r>
        <w:rPr>
          <w:noProof/>
        </w:rPr>
        <w:t>. Въпреки нарастването на нуждите за ЕФГЗ с 630,7 млн. EUR в сравнение с ПБ за 2016 г. бюджетните кредити в рамките на ЕФГЗ са намалени, тъй като това увеличение е повече от компенсирано чрез допълнителните приходи, предназначени за финансиране на ЕФГЗ (+ 1 138,0 млн. EUR).</w:t>
      </w:r>
    </w:p>
    <w:p>
      <w:pPr>
        <w:spacing w:before="120" w:after="120"/>
        <w:jc w:val="both"/>
        <w:rPr>
          <w:noProof/>
        </w:rPr>
      </w:pPr>
      <w:r>
        <w:rPr>
          <w:noProof/>
        </w:rPr>
        <w:t>В таблицата по-долу е обобщен ефектът на ПВК №</w:t>
      </w:r>
      <w:r>
        <w:rPr>
          <w:noProof/>
          <w:lang w:val="en-GB"/>
        </w:rPr>
        <w:t> </w:t>
      </w:r>
      <w:r>
        <w:rPr>
          <w:noProof/>
        </w:rPr>
        <w:t>2/2016 върху функция 2 като цяло:</w:t>
      </w:r>
    </w:p>
    <w:p>
      <w:pPr>
        <w:pStyle w:val="NormalRight"/>
        <w:keepNext/>
        <w:keepLines/>
        <w:spacing w:before="0" w:after="0"/>
        <w:rPr>
          <w:noProof/>
          <w:sz w:val="16"/>
          <w:szCs w:val="16"/>
        </w:rPr>
      </w:pPr>
      <w:r>
        <w:rPr>
          <w:i/>
          <w:noProof/>
          <w:sz w:val="16"/>
        </w:rPr>
        <w:t xml:space="preserve"> (в млн. EUR, закръглени стойности по текущи цени)</w:t>
      </w:r>
    </w:p>
    <w:tbl>
      <w:tblPr>
        <w:tblW w:w="0" w:type="auto"/>
        <w:tblLayout w:type="fixed"/>
        <w:tblCellMar>
          <w:left w:w="40" w:type="dxa"/>
          <w:right w:w="40" w:type="dxa"/>
        </w:tblCellMar>
        <w:tblLook w:val="0000" w:firstRow="0" w:lastRow="0" w:firstColumn="0" w:lastColumn="0" w:noHBand="0" w:noVBand="0"/>
      </w:tblPr>
      <w:tblGrid>
        <w:gridCol w:w="324"/>
        <w:gridCol w:w="283"/>
        <w:gridCol w:w="2835"/>
        <w:gridCol w:w="1063"/>
        <w:gridCol w:w="1205"/>
        <w:gridCol w:w="921"/>
        <w:gridCol w:w="1063"/>
        <w:gridCol w:w="1063"/>
        <w:gridCol w:w="1064"/>
      </w:tblGrid>
      <w:tr>
        <w:trPr>
          <w:trHeight w:val="687"/>
          <w:tblHeader/>
        </w:trPr>
        <w:tc>
          <w:tcPr>
            <w:tcW w:w="3442"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pPr>
              <w:keepNext/>
              <w:keepLines/>
              <w:spacing w:before="30" w:after="30"/>
              <w:rPr>
                <w:noProof/>
                <w:sz w:val="16"/>
                <w:szCs w:val="16"/>
              </w:rPr>
            </w:pP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Проектобюджет за 2016 г. (1)</w:t>
            </w:r>
          </w:p>
        </w:tc>
        <w:tc>
          <w:tcPr>
            <w:tcW w:w="1984"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szCs w:val="16"/>
              </w:rPr>
              <w:t xml:space="preserve">Писмо за внасяне на корекции </w:t>
            </w:r>
            <w:r>
              <w:rPr>
                <w:noProof/>
                <w:sz w:val="16"/>
                <w:szCs w:val="16"/>
              </w:rPr>
              <w:br/>
            </w:r>
            <w:r>
              <w:rPr>
                <w:b/>
                <w:noProof/>
                <w:sz w:val="16"/>
                <w:szCs w:val="16"/>
              </w:rPr>
              <w:t xml:space="preserve"> № 2/2016</w:t>
            </w:r>
          </w:p>
        </w:tc>
        <w:tc>
          <w:tcPr>
            <w:tcW w:w="2127"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szCs w:val="16"/>
              </w:rPr>
              <w:t>Проектобюджет за 2016 г.</w:t>
            </w:r>
            <w:r>
              <w:rPr>
                <w:noProof/>
                <w:sz w:val="16"/>
                <w:szCs w:val="16"/>
              </w:rPr>
              <w:br/>
            </w:r>
            <w:r>
              <w:rPr>
                <w:b/>
                <w:noProof/>
                <w:sz w:val="16"/>
                <w:szCs w:val="16"/>
              </w:rPr>
              <w:t>(вкл. ПВК 2/2016)</w:t>
            </w:r>
          </w:p>
        </w:tc>
      </w:tr>
      <w:tr>
        <w:trPr>
          <w:tblHeader/>
        </w:trPr>
        <w:tc>
          <w:tcPr>
            <w:tcW w:w="3442" w:type="dxa"/>
            <w:gridSpan w:val="3"/>
            <w:vMerge/>
            <w:tcBorders>
              <w:top w:val="nil"/>
              <w:left w:val="single" w:sz="4" w:space="0" w:color="auto"/>
              <w:bottom w:val="single" w:sz="4" w:space="0" w:color="auto"/>
              <w:right w:val="single" w:sz="4" w:space="0" w:color="auto"/>
            </w:tcBorders>
            <w:shd w:val="clear" w:color="auto" w:fill="D9D9D9"/>
          </w:tcPr>
          <w:p>
            <w:pPr>
              <w:pStyle w:val="NormalCentered"/>
              <w:keepNext/>
              <w:keepLines/>
              <w:spacing w:before="30" w:after="30"/>
              <w:rPr>
                <w:noProof/>
                <w:sz w:val="16"/>
                <w:szCs w:val="16"/>
              </w:rPr>
            </w:pPr>
          </w:p>
        </w:tc>
        <w:tc>
          <w:tcPr>
            <w:tcW w:w="1063"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Поети задължения</w:t>
            </w:r>
          </w:p>
        </w:tc>
        <w:tc>
          <w:tcPr>
            <w:tcW w:w="1205"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Плащания</w:t>
            </w:r>
          </w:p>
        </w:tc>
        <w:tc>
          <w:tcPr>
            <w:tcW w:w="921"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Поети задължения</w:t>
            </w:r>
          </w:p>
        </w:tc>
        <w:tc>
          <w:tcPr>
            <w:tcW w:w="1063"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Плащания</w:t>
            </w:r>
          </w:p>
        </w:tc>
        <w:tc>
          <w:tcPr>
            <w:tcW w:w="1063"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Поети задължения</w:t>
            </w:r>
          </w:p>
        </w:tc>
        <w:tc>
          <w:tcPr>
            <w:tcW w:w="1064"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Плащания</w:t>
            </w:r>
          </w:p>
        </w:tc>
      </w:tr>
      <w:tr>
        <w:tc>
          <w:tcPr>
            <w:tcW w:w="324" w:type="dxa"/>
            <w:tcBorders>
              <w:top w:val="single" w:sz="4" w:space="0" w:color="auto"/>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single" w:sz="4" w:space="0" w:color="auto"/>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 xml:space="preserve">Европейски фонд за гарантиране на земеделието (ЕФГЗ) </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42 867,6</w:t>
            </w:r>
          </w:p>
        </w:tc>
        <w:tc>
          <w:tcPr>
            <w:tcW w:w="1205"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42 859,3</w:t>
            </w:r>
          </w:p>
        </w:tc>
        <w:tc>
          <w:tcPr>
            <w:tcW w:w="921"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-507,3</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-507,3</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42 360,3</w:t>
            </w:r>
          </w:p>
        </w:tc>
        <w:tc>
          <w:tcPr>
            <w:tcW w:w="1064"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42 352,0</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Европейски земеделски фонд за развитие на селските райони (ЕЗФРСР)</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18 676,3</w:t>
            </w:r>
          </w:p>
        </w:tc>
        <w:tc>
          <w:tcPr>
            <w:tcW w:w="1205"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11 866,4</w:t>
            </w:r>
          </w:p>
        </w:tc>
        <w:tc>
          <w:tcPr>
            <w:tcW w:w="921"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18 676,3</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11 866,4</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Европейски фонд за морско дело и рибарство (ЕФМДР), регионални организации за управление на рибарството (РОУР) и споразумения за устойчиво рибарство (СУР), от които:</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1 047,0</w:t>
            </w:r>
          </w:p>
        </w:tc>
        <w:tc>
          <w:tcPr>
            <w:tcW w:w="1205"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720,6</w:t>
            </w:r>
          </w:p>
        </w:tc>
        <w:tc>
          <w:tcPr>
            <w:tcW w:w="921"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-11,0</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-11,0</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1 036,0</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709,6</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835" w:type="dxa"/>
            <w:tcBorders>
              <w:top w:val="dotted" w:sz="2" w:space="0" w:color="auto"/>
              <w:bottom w:val="dotted" w:sz="2" w:space="0" w:color="auto"/>
              <w:right w:val="single" w:sz="4" w:space="0" w:color="auto"/>
            </w:tcBorders>
          </w:tcPr>
          <w:p>
            <w:pPr>
              <w:pStyle w:val="NormalLeft"/>
              <w:keepNext/>
              <w:keepLines/>
              <w:spacing w:before="30" w:after="30"/>
              <w:rPr>
                <w:noProof/>
                <w:sz w:val="16"/>
                <w:szCs w:val="16"/>
              </w:rPr>
            </w:pPr>
            <w:r>
              <w:rPr>
                <w:noProof/>
                <w:sz w:val="16"/>
              </w:rPr>
              <w:t>Споразумения за партньорство в областта на устойчивото рибарство (СПОУР) </w:t>
            </w:r>
            <w:r>
              <w:rPr>
                <w:noProof/>
                <w:sz w:val="16"/>
                <w:szCs w:val="16"/>
              </w:rPr>
              <w:sym w:font="Symbol" w:char="F0BE"/>
            </w:r>
            <w:r>
              <w:rPr>
                <w:noProof/>
                <w:sz w:val="16"/>
              </w:rPr>
              <w:t> Оперативен ред (11 03 01)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51,1</w:t>
            </w:r>
          </w:p>
        </w:tc>
        <w:tc>
          <w:tcPr>
            <w:tcW w:w="1205"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51,1</w:t>
            </w:r>
          </w:p>
        </w:tc>
        <w:tc>
          <w:tcPr>
            <w:tcW w:w="921"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-0,4</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-0,4</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835" w:type="dxa"/>
            <w:tcBorders>
              <w:top w:val="dotted" w:sz="2" w:space="0" w:color="auto"/>
              <w:bottom w:val="dotted" w:sz="2" w:space="0" w:color="auto"/>
              <w:right w:val="single" w:sz="4" w:space="0" w:color="auto"/>
            </w:tcBorders>
          </w:tcPr>
          <w:p>
            <w:pPr>
              <w:pStyle w:val="NormalLeft"/>
              <w:keepNext/>
              <w:keepLines/>
              <w:spacing w:before="30" w:after="30"/>
              <w:rPr>
                <w:noProof/>
                <w:sz w:val="16"/>
                <w:szCs w:val="16"/>
              </w:rPr>
            </w:pPr>
            <w:r>
              <w:rPr>
                <w:noProof/>
                <w:sz w:val="16"/>
              </w:rPr>
              <w:t>Споразумения за партньорство в областта на устойчивото рибарство (СПОУР) </w:t>
            </w:r>
            <w:r>
              <w:rPr>
                <w:noProof/>
                <w:sz w:val="16"/>
                <w:szCs w:val="16"/>
              </w:rPr>
              <w:sym w:font="Symbol" w:char="F0BE"/>
            </w:r>
            <w:r>
              <w:rPr>
                <w:noProof/>
                <w:sz w:val="16"/>
              </w:rPr>
              <w:t> Резерви (40 02 41)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93,9</w:t>
            </w:r>
          </w:p>
        </w:tc>
        <w:tc>
          <w:tcPr>
            <w:tcW w:w="1205"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93,9</w:t>
            </w:r>
          </w:p>
        </w:tc>
        <w:tc>
          <w:tcPr>
            <w:tcW w:w="921"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-10,6</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-10,6</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83,3</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83,3</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Околна среда и действия по климата (LIFE)</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462,8</w:t>
            </w:r>
          </w:p>
        </w:tc>
        <w:tc>
          <w:tcPr>
            <w:tcW w:w="1205"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355,3</w:t>
            </w:r>
          </w:p>
        </w:tc>
        <w:tc>
          <w:tcPr>
            <w:tcW w:w="921"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462,8</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353,3</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Дейности, финансирани съгласно прерогативите на Комисията и предоставените ѝ специфични правомощия</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0,3</w:t>
            </w:r>
          </w:p>
        </w:tc>
        <w:tc>
          <w:tcPr>
            <w:tcW w:w="1205"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0,8</w:t>
            </w:r>
          </w:p>
        </w:tc>
        <w:tc>
          <w:tcPr>
            <w:tcW w:w="921"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0,3</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0,8</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Пилотни проекти и подготвителни действия</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p.m.</w:t>
            </w:r>
          </w:p>
        </w:tc>
        <w:tc>
          <w:tcPr>
            <w:tcW w:w="1205"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13,1</w:t>
            </w:r>
          </w:p>
        </w:tc>
        <w:tc>
          <w:tcPr>
            <w:tcW w:w="921"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p.m.</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13,1</w:t>
            </w:r>
          </w:p>
        </w:tc>
      </w:tr>
      <w:tr>
        <w:tc>
          <w:tcPr>
            <w:tcW w:w="324" w:type="dxa"/>
            <w:tcBorders>
              <w:top w:val="dotted" w:sz="2" w:space="0" w:color="auto"/>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dotted" w:sz="2" w:space="0" w:color="auto"/>
              <w:left w:val="nil"/>
              <w:bottom w:val="dotted" w:sz="2" w:space="0" w:color="auto"/>
              <w:right w:val="single" w:sz="4" w:space="0" w:color="auto"/>
            </w:tcBorders>
          </w:tcPr>
          <w:p>
            <w:pPr>
              <w:pStyle w:val="NormalLeft"/>
              <w:spacing w:before="30" w:after="30"/>
              <w:rPr>
                <w:noProof/>
                <w:sz w:val="16"/>
                <w:szCs w:val="16"/>
              </w:rPr>
            </w:pPr>
            <w:r>
              <w:rPr>
                <w:noProof/>
                <w:sz w:val="16"/>
              </w:rPr>
              <w:t>Децентрализирани агенции</w:t>
            </w: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1205"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921"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1064"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r>
      <w:tr>
        <w:tc>
          <w:tcPr>
            <w:tcW w:w="324" w:type="dxa"/>
            <w:tcBorders>
              <w:top w:val="dotted" w:sz="2" w:space="0" w:color="auto"/>
              <w:left w:val="single" w:sz="4" w:space="0" w:color="auto"/>
              <w:bottom w:val="single" w:sz="4" w:space="0" w:color="auto"/>
              <w:right w:val="nil"/>
            </w:tcBorders>
          </w:tcPr>
          <w:p>
            <w:pPr>
              <w:spacing w:before="30" w:after="30"/>
              <w:rPr>
                <w:noProof/>
                <w:sz w:val="16"/>
                <w:szCs w:val="16"/>
              </w:rPr>
            </w:pPr>
            <w:r>
              <w:rPr>
                <w:noProof/>
                <w:sz w:val="16"/>
              </w:rPr>
              <w:t>—</w:t>
            </w:r>
          </w:p>
        </w:tc>
        <w:tc>
          <w:tcPr>
            <w:tcW w:w="3118" w:type="dxa"/>
            <w:gridSpan w:val="2"/>
            <w:tcBorders>
              <w:top w:val="dotted" w:sz="2" w:space="0" w:color="auto"/>
              <w:left w:val="nil"/>
              <w:bottom w:val="single" w:sz="4" w:space="0" w:color="auto"/>
              <w:right w:val="single" w:sz="4" w:space="0" w:color="auto"/>
            </w:tcBorders>
          </w:tcPr>
          <w:p>
            <w:pPr>
              <w:pStyle w:val="NormalLeft"/>
              <w:spacing w:before="30" w:after="30"/>
              <w:rPr>
                <w:noProof/>
                <w:sz w:val="16"/>
                <w:szCs w:val="16"/>
              </w:rPr>
            </w:pPr>
            <w:r>
              <w:rPr>
                <w:noProof/>
                <w:sz w:val="16"/>
              </w:rPr>
              <w:t>Други разходи по функция 2</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0,0</w:t>
            </w:r>
          </w:p>
        </w:tc>
        <w:tc>
          <w:tcPr>
            <w:tcW w:w="1205"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0,0</w:t>
            </w:r>
          </w:p>
        </w:tc>
        <w:tc>
          <w:tcPr>
            <w:tcW w:w="921"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4"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Общо</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63 104,4</w:t>
            </w:r>
          </w:p>
        </w:tc>
        <w:tc>
          <w:tcPr>
            <w:tcW w:w="1205"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55 865,9</w:t>
            </w:r>
          </w:p>
        </w:tc>
        <w:tc>
          <w:tcPr>
            <w:tcW w:w="921"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-488,3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-488,3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62 616,1</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55 377,6</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Таван</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64 262,0</w:t>
            </w:r>
          </w:p>
        </w:tc>
        <w:tc>
          <w:tcPr>
            <w:tcW w:w="1205"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921"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64 262,0</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Марж</w:t>
            </w:r>
          </w:p>
        </w:tc>
        <w:tc>
          <w:tcPr>
            <w:tcW w:w="1063"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1 157,6</w:t>
            </w:r>
          </w:p>
        </w:tc>
        <w:tc>
          <w:tcPr>
            <w:tcW w:w="1205" w:type="dxa"/>
            <w:tcBorders>
              <w:top w:val="nil"/>
              <w:left w:val="nil"/>
              <w:bottom w:val="single" w:sz="4" w:space="0" w:color="auto"/>
              <w:right w:val="single" w:sz="4" w:space="0" w:color="auto"/>
            </w:tcBorders>
            <w:shd w:val="clear" w:color="auto" w:fill="D9D9D9"/>
          </w:tcPr>
          <w:p>
            <w:pPr>
              <w:spacing w:before="30" w:after="30"/>
              <w:rPr>
                <w:b/>
                <w:i/>
                <w:noProof/>
                <w:sz w:val="16"/>
                <w:szCs w:val="16"/>
              </w:rPr>
            </w:pPr>
          </w:p>
        </w:tc>
        <w:tc>
          <w:tcPr>
            <w:tcW w:w="921" w:type="dxa"/>
            <w:tcBorders>
              <w:top w:val="nil"/>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+488,3</w:t>
            </w:r>
          </w:p>
        </w:tc>
        <w:tc>
          <w:tcPr>
            <w:tcW w:w="1063" w:type="dxa"/>
            <w:tcBorders>
              <w:top w:val="nil"/>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1 645,9</w:t>
            </w:r>
          </w:p>
        </w:tc>
        <w:tc>
          <w:tcPr>
            <w:tcW w:w="1064"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От които ЕФГЗ</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42 867,6</w:t>
            </w:r>
          </w:p>
        </w:tc>
        <w:tc>
          <w:tcPr>
            <w:tcW w:w="1205"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42 859,3</w:t>
            </w:r>
          </w:p>
        </w:tc>
        <w:tc>
          <w:tcPr>
            <w:tcW w:w="921"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-507,3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-507,3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42 360,3</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42 352,0</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Подтаван за ЕФГЗ (след техническа корекция на МФР за периода 2014—2020 г.) (2)</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43 950,0</w:t>
            </w:r>
          </w:p>
        </w:tc>
        <w:tc>
          <w:tcPr>
            <w:tcW w:w="1205"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921"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43 950,0</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Размер на наличното нетно салдо за разходване по линия на ЕФГЗ (3)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43 949,3</w:t>
            </w:r>
          </w:p>
        </w:tc>
        <w:tc>
          <w:tcPr>
            <w:tcW w:w="1205"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921"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43 949,3</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dotted" w:sz="2" w:space="0" w:color="auto"/>
              <w:left w:val="single" w:sz="4" w:space="0" w:color="auto"/>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Марж за ЕФГЗ</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1 081,7</w:t>
            </w:r>
          </w:p>
        </w:tc>
        <w:tc>
          <w:tcPr>
            <w:tcW w:w="1205"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921"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+507,3</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1 588,9</w:t>
            </w:r>
          </w:p>
        </w:tc>
        <w:tc>
          <w:tcPr>
            <w:tcW w:w="1064"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r>
      <w:tr>
        <w:tc>
          <w:tcPr>
            <w:tcW w:w="9821" w:type="dxa"/>
            <w:gridSpan w:val="9"/>
            <w:tcBorders>
              <w:top w:val="single" w:sz="4" w:space="0" w:color="auto"/>
              <w:left w:val="single" w:sz="4" w:space="0" w:color="auto"/>
              <w:bottom w:val="single" w:sz="4" w:space="0" w:color="auto"/>
              <w:right w:val="single" w:sz="4" w:space="0" w:color="auto"/>
            </w:tcBorders>
            <w:shd w:val="clear" w:color="auto" w:fill="auto"/>
          </w:tcPr>
          <w:p>
            <w:pPr>
              <w:spacing w:before="30"/>
              <w:rPr>
                <w:bCs/>
                <w:iCs/>
                <w:noProof/>
                <w:sz w:val="16"/>
                <w:szCs w:val="16"/>
              </w:rPr>
            </w:pPr>
            <w:r>
              <w:rPr>
                <w:noProof/>
                <w:sz w:val="16"/>
              </w:rPr>
              <w:t>(1) Проектобюджетът за 2016 г. включва ПВК № 1/2016.</w:t>
            </w:r>
          </w:p>
          <w:p>
            <w:pPr>
              <w:rPr>
                <w:bCs/>
                <w:iCs/>
                <w:noProof/>
                <w:sz w:val="16"/>
                <w:szCs w:val="16"/>
              </w:rPr>
            </w:pPr>
            <w:r>
              <w:rPr>
                <w:noProof/>
                <w:sz w:val="16"/>
              </w:rPr>
              <w:t>(2) Съответните стойности са закръглени в милиони евро.</w:t>
            </w:r>
          </w:p>
          <w:p>
            <w:pPr>
              <w:rPr>
                <w:bCs/>
                <w:iCs/>
                <w:noProof/>
                <w:sz w:val="16"/>
                <w:szCs w:val="16"/>
              </w:rPr>
            </w:pPr>
            <w:r>
              <w:rPr>
                <w:noProof/>
                <w:sz w:val="16"/>
              </w:rPr>
              <w:t>(3) Налично нетно салдо за финансиране на разходите на ЕФГЗ, както е определено в приложението към Регламент за изпълнение (ЕС) № 367/2014 на Комисията, последно изменен с Регламент за изпълнение (ЕС) № 2015/141 на Комисията. Подмаржът за ЕФГЗ се изчислява спрямо тези суми.</w:t>
            </w:r>
          </w:p>
        </w:tc>
      </w:tr>
    </w:tbl>
    <w:p>
      <w:pPr>
        <w:rPr>
          <w:noProof/>
        </w:rPr>
      </w:pPr>
      <w:bookmarkStart w:id="11" w:name="_Toc431134644"/>
    </w:p>
    <w:p>
      <w:pPr>
        <w:jc w:val="both"/>
        <w:rPr>
          <w:noProof/>
        </w:rPr>
      </w:pPr>
      <w:r>
        <w:rPr>
          <w:noProof/>
        </w:rPr>
        <w:t>Следователно общият размер на бюджетните кредити, поискани за функция 2 през 2016 г., възлиза на 62 616,1 млн. EUR. Това оставя марж от 1 645,9 млн. EUR бюджетни кредити за поети задължения под съответния таван на МФР. С измененията, предложени в настоящото писмо за внасяне на корекции, в сравнение с ПБ за 2016 г., се увеличава маржът с 488,3 млн. EUR, от които 477,3 млн. EUR от дял 05 (Селско стопанство) и 11 млн. EUR от Споразуменията за партньорство в областта на устойчивото рибарство (СПОУР) в дял 11 (Морско дело и рибарство). В ПВК 2/2016 бюджетните кредити за плащания са преразгледани в същия размер като бюджетните кредити за поети задължения.</w:t>
      </w:r>
    </w:p>
    <w:p>
      <w:pPr>
        <w:rPr>
          <w:noProof/>
        </w:rPr>
      </w:pPr>
    </w:p>
    <w:p>
      <w:pPr>
        <w:pStyle w:val="ManualHeading2"/>
        <w:numPr>
          <w:ilvl w:val="1"/>
          <w:numId w:val="8"/>
        </w:numPr>
        <w:rPr>
          <w:noProof/>
        </w:rPr>
      </w:pPr>
      <w:bookmarkStart w:id="12" w:name="_Toc431481484"/>
      <w:bookmarkStart w:id="13" w:name="_Toc432760501"/>
      <w:r>
        <w:rPr>
          <w:noProof/>
        </w:rPr>
        <w:t>Европейски фонд за гарантиране на земеделието (ЕФГЗ)</w:t>
      </w:r>
      <w:bookmarkEnd w:id="11"/>
      <w:bookmarkEnd w:id="12"/>
      <w:bookmarkEnd w:id="13"/>
    </w:p>
    <w:p>
      <w:pPr>
        <w:pStyle w:val="ManualHeading3"/>
        <w:rPr>
          <w:noProof/>
        </w:rPr>
      </w:pPr>
      <w:bookmarkStart w:id="14" w:name="_Toc400034803"/>
      <w:r>
        <w:rPr>
          <w:noProof/>
        </w:rPr>
        <w:t>2.2.1</w:t>
      </w:r>
      <w:r>
        <w:rPr>
          <w:noProof/>
        </w:rPr>
        <w:tab/>
        <w:t>Преглед</w:t>
      </w:r>
      <w:bookmarkEnd w:id="14"/>
    </w:p>
    <w:p>
      <w:pPr>
        <w:autoSpaceDE w:val="0"/>
        <w:autoSpaceDN w:val="0"/>
        <w:adjustRightInd w:val="0"/>
        <w:spacing w:before="120" w:after="120"/>
        <w:jc w:val="both"/>
        <w:rPr>
          <w:noProof/>
        </w:rPr>
      </w:pPr>
      <w:r>
        <w:rPr>
          <w:noProof/>
        </w:rPr>
        <w:t>Целта на ПВК №</w:t>
      </w:r>
      <w:r>
        <w:rPr>
          <w:noProof/>
          <w:lang w:val="en-GB"/>
        </w:rPr>
        <w:t> </w:t>
      </w:r>
      <w:r>
        <w:rPr>
          <w:noProof/>
        </w:rPr>
        <w:t>2/2016 е да се актуализират прогнозите за селскостопанските разходи въз основа на най-актуалните икономически данни и на най-актуалната нормативна уредба. Към края на септември Комисията разполага с първите данни за нивото на производството за 2015</w:t>
      </w:r>
      <w:r>
        <w:rPr>
          <w:noProof/>
          <w:lang w:val="en-GB"/>
        </w:rPr>
        <w:t> </w:t>
      </w:r>
      <w:r>
        <w:rPr>
          <w:noProof/>
        </w:rPr>
        <w:t>г. и за перспективите пред селскостопанските пазари, които са основата за актуализираните прогнози за бюджетните нужди за 2016</w:t>
      </w:r>
      <w:r>
        <w:rPr>
          <w:noProof/>
          <w:lang w:val="en-GB"/>
        </w:rPr>
        <w:t> </w:t>
      </w:r>
      <w:r>
        <w:rPr>
          <w:noProof/>
        </w:rPr>
        <w:t>г. Освен това се отчитат пазарните фактори, настоящото ПВК 2/2016 включва също отражението на законодателни решения, вече приети или в процес на подготовка, в селскостопанския сектор след съставянето на ПБ за 2016 г. в края на май 2015 г. Това се отнася по-специално до редица делегирани актове и актове за изпълнение на Комисията относно временни мерки за подпомагане в резултат на разширяването на руското ембарго върху вноса на определени селскостопански продукти от ЕС, за плодове и зеленчуци, както и на млечни продукти, и за справяне с пазарните проблеми в определени сектори, най-вече тези на млечните продукти и свинското месо.</w:t>
      </w:r>
    </w:p>
    <w:p>
      <w:pPr>
        <w:autoSpaceDE w:val="0"/>
        <w:autoSpaceDN w:val="0"/>
        <w:adjustRightInd w:val="0"/>
        <w:spacing w:before="120" w:after="120"/>
        <w:jc w:val="both"/>
        <w:rPr>
          <w:noProof/>
        </w:rPr>
      </w:pPr>
      <w:r>
        <w:rPr>
          <w:noProof/>
        </w:rPr>
        <w:t xml:space="preserve">Като цяло </w:t>
      </w:r>
      <w:r>
        <w:rPr>
          <w:b/>
          <w:noProof/>
        </w:rPr>
        <w:t>нуждите за ЕФГЗ за 2016 г.</w:t>
      </w:r>
      <w:r>
        <w:rPr>
          <w:noProof/>
        </w:rPr>
        <w:t xml:space="preserve"> (след като бъдат взети под внимание бюджетните разпоредби за ЕФГЗ, свързани с „финансовата дисциплина“) понастоящем се оценяват на 45 200,3 млн. EUR, в сравнение с 44 569,6 млн. EUR в ПБ за 2016 г. (+ 630,7 млн. EUR). Това увеличение се дължи главно на временните мерки за подпомагане, предвидени в глава 05 02</w:t>
      </w:r>
      <w:r>
        <w:rPr>
          <w:i/>
          <w:noProof/>
        </w:rPr>
        <w:t xml:space="preserve"> Повишаване на конкурентоспособността на селскостопанския сектор чрез интервенции на селскостопанските пазари</w:t>
      </w:r>
      <w:r>
        <w:rPr>
          <w:noProof/>
        </w:rPr>
        <w:t xml:space="preserve">, за обща сума в размер на 668,0 млн. EUR. Налице обаче са малки намаления за основните пазарни мерки (- 10,0 млн. EUR), като например за глава 05 03 </w:t>
      </w:r>
      <w:r>
        <w:rPr>
          <w:i/>
          <w:noProof/>
        </w:rPr>
        <w:t>Преки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w:t>
      </w:r>
      <w:r>
        <w:rPr>
          <w:noProof/>
        </w:rPr>
        <w:t xml:space="preserve"> (- 12,6 млн. EUR), както и за глава 05 07 </w:t>
      </w:r>
      <w:r>
        <w:rPr>
          <w:i/>
          <w:noProof/>
        </w:rPr>
        <w:t>Одит на разходите за земеделие, финансирани от Европейския фонд за гарантиране на земеделието (ЕФГЗ)</w:t>
      </w:r>
      <w:r>
        <w:rPr>
          <w:noProof/>
        </w:rPr>
        <w:t xml:space="preserve"> (- 15 млн. EUR), които също са включени в ПВК 2/2016.</w:t>
      </w:r>
    </w:p>
    <w:p>
      <w:pPr>
        <w:spacing w:before="120" w:after="120"/>
        <w:jc w:val="both"/>
        <w:rPr>
          <w:noProof/>
        </w:rPr>
      </w:pPr>
      <w:r>
        <w:rPr>
          <w:noProof/>
        </w:rPr>
        <w:t xml:space="preserve">По отношение на </w:t>
      </w:r>
      <w:r>
        <w:rPr>
          <w:b/>
          <w:noProof/>
        </w:rPr>
        <w:t>целевите приходи</w:t>
      </w:r>
      <w:r>
        <w:rPr>
          <w:noProof/>
        </w:rPr>
        <w:t xml:space="preserve"> сумата, която се очаква да бъде налична през 2016 г., нараства от 1 702 млн. EUR в ПБ за 2016</w:t>
      </w:r>
      <w:r>
        <w:rPr>
          <w:noProof/>
          <w:lang w:val="en-GB"/>
        </w:rPr>
        <w:t> </w:t>
      </w:r>
      <w:r>
        <w:rPr>
          <w:noProof/>
        </w:rPr>
        <w:t>г., на 2 840 млн. EUR (+ 1 138 млн. EUR). Това увеличение се дължи на по-високите приходи от допълнителния налог върху млякото (+ 369 млн. EUR), въз основа на нотификациите на държавите членки за надхвърляне на референтните количества мляко за последната квотна година 2014/15, и на актуализираната прогноза за сумите от решенията за уравняване на сметки (+ 25 млн. EUR) и от нередности (- 6 млн. EUR). Освен това ПВК №</w:t>
      </w:r>
      <w:r>
        <w:rPr>
          <w:noProof/>
          <w:lang w:val="en-GB"/>
        </w:rPr>
        <w:t> </w:t>
      </w:r>
      <w:r>
        <w:rPr>
          <w:noProof/>
        </w:rPr>
        <w:t>2/2016 включва пренасяне на целеви приходи от 2015 г. към 2016</w:t>
      </w:r>
      <w:r>
        <w:rPr>
          <w:noProof/>
          <w:lang w:val="en-GB"/>
        </w:rPr>
        <w:t> </w:t>
      </w:r>
      <w:r>
        <w:rPr>
          <w:noProof/>
        </w:rPr>
        <w:t>г. (+ 750 млн. EUR). Тази сума не беше включена в ПБ за 2016</w:t>
      </w:r>
      <w:r>
        <w:rPr>
          <w:noProof/>
          <w:lang w:val="en-GB"/>
        </w:rPr>
        <w:t> </w:t>
      </w:r>
      <w:r>
        <w:rPr>
          <w:noProof/>
        </w:rPr>
        <w:t>г., защото по това време беше прекалено рано през годината, за да може да се направи солидно предположение за изпълнението по ЕФГЗ през 2015</w:t>
      </w:r>
      <w:r>
        <w:rPr>
          <w:noProof/>
          <w:lang w:val="en-GB"/>
        </w:rPr>
        <w:t> </w:t>
      </w:r>
      <w:r>
        <w:rPr>
          <w:noProof/>
        </w:rPr>
        <w:t>г. Освен това, тъй като селскостопанският кризисен резерв (433 млн. EUR) няма да бъде използван през 2015 г., неусвоените бюджетни кредити ще бъдат пренесени за възстановявания на средства за земеделските производители, които са обект на механизма за финансова дисциплина през 2016 г.</w:t>
      </w:r>
    </w:p>
    <w:p>
      <w:pPr>
        <w:autoSpaceDE w:val="0"/>
        <w:autoSpaceDN w:val="0"/>
        <w:adjustRightInd w:val="0"/>
        <w:spacing w:before="120" w:after="120"/>
        <w:jc w:val="both"/>
        <w:rPr>
          <w:noProof/>
        </w:rPr>
      </w:pPr>
      <w:r>
        <w:rPr>
          <w:noProof/>
        </w:rPr>
        <w:t>В резултат на тези актуализации, за да бъдат покрити нуждите по ЕФГЗ за 2016</w:t>
      </w:r>
      <w:r>
        <w:rPr>
          <w:noProof/>
          <w:lang w:val="en-GB"/>
        </w:rPr>
        <w:t> </w:t>
      </w:r>
      <w:r>
        <w:rPr>
          <w:noProof/>
        </w:rPr>
        <w:t xml:space="preserve">г., ще са необходими бюджетни кредити за поети задължения в размер на 42 360,3 млн. EUR, в това число 441,6 млн. EUR за </w:t>
      </w:r>
      <w:r>
        <w:rPr>
          <w:i/>
          <w:noProof/>
        </w:rPr>
        <w:t>Резерва за кризи в селскостопанския сектор.</w:t>
      </w:r>
      <w:r>
        <w:rPr>
          <w:noProof/>
        </w:rPr>
        <w:t xml:space="preserve"> Както при ПБ за 2016</w:t>
      </w:r>
      <w:r>
        <w:rPr>
          <w:noProof/>
          <w:lang w:val="en-GB"/>
        </w:rPr>
        <w:t> </w:t>
      </w:r>
      <w:r>
        <w:rPr>
          <w:noProof/>
        </w:rPr>
        <w:t>г., тази обща сума е под нетния подтаван за ЕФГЗ от 43 949,3 млн. EUR. Това означава, че механизмът за финансова дисциплина ще се прилага само за да се установи селскостопанският резерв за кризи за 2016</w:t>
      </w:r>
      <w:r>
        <w:rPr>
          <w:noProof/>
          <w:lang w:val="en-GB"/>
        </w:rPr>
        <w:t> </w:t>
      </w:r>
      <w:r>
        <w:rPr>
          <w:noProof/>
        </w:rPr>
        <w:t>г.</w:t>
      </w:r>
      <w:r>
        <w:rPr>
          <w:rStyle w:val="FootnoteReference"/>
          <w:noProof/>
        </w:rPr>
        <w:footnoteReference w:id="6"/>
      </w:r>
    </w:p>
    <w:p>
      <w:pPr>
        <w:pStyle w:val="ManualHeading3"/>
        <w:rPr>
          <w:noProof/>
        </w:rPr>
      </w:pPr>
      <w:bookmarkStart w:id="15" w:name="_Toc400034804"/>
      <w:r>
        <w:rPr>
          <w:noProof/>
        </w:rPr>
        <w:t>2.2.2</w:t>
      </w:r>
      <w:r>
        <w:rPr>
          <w:noProof/>
        </w:rPr>
        <w:tab/>
        <w:t>Подробни бележки</w:t>
      </w:r>
      <w:bookmarkEnd w:id="15"/>
    </w:p>
    <w:p>
      <w:pPr>
        <w:keepNext/>
        <w:spacing w:before="120" w:after="120"/>
        <w:jc w:val="both"/>
        <w:rPr>
          <w:b/>
          <w:i/>
          <w:noProof/>
        </w:rPr>
      </w:pPr>
      <w:r>
        <w:rPr>
          <w:b/>
          <w:noProof/>
        </w:rPr>
        <w:t>05 02 </w:t>
      </w:r>
      <w:r>
        <w:rPr>
          <w:b/>
          <w:noProof/>
        </w:rPr>
        <w:sym w:font="Symbol" w:char="F0BE"/>
      </w:r>
      <w:r>
        <w:rPr>
          <w:b/>
          <w:noProof/>
        </w:rPr>
        <w:t> Повишаване на конкурентоспособността на селскостопанския сектор чрез интервенции на селскостопанските пазари (</w:t>
      </w:r>
      <w:r>
        <w:rPr>
          <w:b/>
          <w:i/>
          <w:noProof/>
        </w:rPr>
        <w:t>бюджетни кредити + 458,3 млн. EUR)</w:t>
      </w:r>
    </w:p>
    <w:tbl>
      <w:tblPr>
        <w:tblW w:w="9503" w:type="dxa"/>
        <w:jc w:val="center"/>
        <w:tblInd w:w="-418" w:type="dxa"/>
        <w:tblLayout w:type="fixed"/>
        <w:tblCellMar>
          <w:left w:w="40" w:type="dxa"/>
          <w:right w:w="40" w:type="dxa"/>
        </w:tblCellMar>
        <w:tblLook w:val="0000" w:firstRow="0" w:lastRow="0" w:firstColumn="0" w:lastColumn="0" w:noHBand="0" w:noVBand="0"/>
      </w:tblPr>
      <w:tblGrid>
        <w:gridCol w:w="3562"/>
        <w:gridCol w:w="2092"/>
        <w:gridCol w:w="1725"/>
        <w:gridCol w:w="2124"/>
      </w:tblGrid>
      <w:tr>
        <w:trPr>
          <w:trHeight w:val="164"/>
          <w:tblHeader/>
          <w:jc w:val="center"/>
        </w:trPr>
        <w:tc>
          <w:tcPr>
            <w:tcW w:w="9503"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(в млн. EUR, закръглени стойности по текущи цени)</w:t>
            </w:r>
          </w:p>
        </w:tc>
      </w:tr>
      <w:tr>
        <w:trPr>
          <w:trHeight w:val="164"/>
          <w:tblHeader/>
          <w:jc w:val="center"/>
        </w:trPr>
        <w:tc>
          <w:tcPr>
            <w:tcW w:w="3562" w:type="dxa"/>
            <w:tcBorders>
              <w:top w:val="single" w:sz="4" w:space="0" w:color="auto"/>
              <w:left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Интервенции на селскостопанските пазари</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Проектобюджет за 2016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 xml:space="preserve">Писмо за внасяне на корекции </w:t>
            </w:r>
            <w:r>
              <w:rPr>
                <w:b/>
                <w:noProof/>
                <w:sz w:val="16"/>
              </w:rPr>
              <w:br/>
              <w:t xml:space="preserve"> №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Проектобюджет за 2016 г.</w:t>
            </w:r>
            <w:r>
              <w:rPr>
                <w:b/>
                <w:noProof/>
                <w:sz w:val="16"/>
              </w:rPr>
              <w:br/>
              <w:t>(вкл. ПВК 2/2016)</w:t>
            </w:r>
          </w:p>
        </w:tc>
      </w:tr>
      <w:tr>
        <w:trPr>
          <w:trHeight w:val="220"/>
          <w:jc w:val="center"/>
        </w:trPr>
        <w:tc>
          <w:tcPr>
            <w:tcW w:w="356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2 614,7</w:t>
            </w:r>
          </w:p>
        </w:tc>
        <w:tc>
          <w:tcPr>
            <w:tcW w:w="1725"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+658,3</w:t>
            </w:r>
          </w:p>
        </w:tc>
        <w:tc>
          <w:tcPr>
            <w:tcW w:w="2124"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3 273,0</w:t>
            </w:r>
          </w:p>
        </w:tc>
      </w:tr>
      <w:tr>
        <w:trPr>
          <w:trHeight w:val="220"/>
          <w:jc w:val="center"/>
        </w:trPr>
        <w:tc>
          <w:tcPr>
            <w:tcW w:w="356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rPr>
              <w:t>-Прогнозни целеви приходи, налични през 2016 г.</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c>
          <w:tcPr>
            <w:tcW w:w="1725" w:type="dxa"/>
            <w:tcBorders>
              <w:top w:val="dotted"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+200,0</w:t>
            </w:r>
          </w:p>
        </w:tc>
        <w:tc>
          <w:tcPr>
            <w:tcW w:w="2124" w:type="dxa"/>
            <w:tcBorders>
              <w:top w:val="dotted"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600,0</w:t>
            </w:r>
          </w:p>
        </w:tc>
      </w:tr>
      <w:tr>
        <w:trPr>
          <w:trHeight w:val="220"/>
          <w:jc w:val="center"/>
        </w:trPr>
        <w:tc>
          <w:tcPr>
            <w:tcW w:w="356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2 214,7</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+ 458,3</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2 673,0</w:t>
            </w:r>
          </w:p>
        </w:tc>
      </w:tr>
    </w:tbl>
    <w:p>
      <w:pPr>
        <w:spacing w:before="120" w:after="120"/>
        <w:jc w:val="both"/>
        <w:rPr>
          <w:noProof/>
          <w:spacing w:val="-4"/>
        </w:rPr>
      </w:pPr>
      <w:r>
        <w:rPr>
          <w:noProof/>
          <w:spacing w:val="-4"/>
        </w:rPr>
        <w:t>Общите нужди за интервенционните мерки на селскостопанските пазари нарастват с 658,3 млн. EUR в сравнение с ПБ за 2016</w:t>
      </w:r>
      <w:r>
        <w:rPr>
          <w:noProof/>
          <w:spacing w:val="-4"/>
          <w:lang w:val="en-GB"/>
        </w:rPr>
        <w:t> </w:t>
      </w:r>
      <w:r>
        <w:rPr>
          <w:noProof/>
          <w:spacing w:val="-4"/>
        </w:rPr>
        <w:t xml:space="preserve">г. Тъй като целевите приходи, които се очаква да бъдат на разположение за глава 05 02 (в размер на 600 млн. EUR), са с 200 млн. EUR повече в сравнение с ПБ за 2016 г., бюджетните кредити, поискани в писмо № 2/2016, се увеличават 458,3 млн. EUR). </w:t>
      </w:r>
    </w:p>
    <w:p>
      <w:pPr>
        <w:spacing w:before="120" w:after="120"/>
        <w:jc w:val="both"/>
        <w:rPr>
          <w:noProof/>
        </w:rPr>
      </w:pPr>
      <w:r>
        <w:rPr>
          <w:noProof/>
        </w:rPr>
        <w:t>По-долу са посочени най-важните промени.</w:t>
      </w:r>
    </w:p>
    <w:p>
      <w:pPr>
        <w:spacing w:before="120" w:after="120"/>
        <w:jc w:val="both"/>
        <w:rPr>
          <w:noProof/>
        </w:rPr>
      </w:pPr>
      <w:r>
        <w:rPr>
          <w:noProof/>
        </w:rPr>
        <w:t xml:space="preserve">За </w:t>
      </w:r>
      <w:r>
        <w:rPr>
          <w:b/>
          <w:noProof/>
        </w:rPr>
        <w:t>плодовете и зеленчуците</w:t>
      </w:r>
      <w:r>
        <w:rPr>
          <w:noProof/>
        </w:rPr>
        <w:t xml:space="preserve"> прогнозните нужди за оперативните средства за организациите на производителите (бюджетна позиция 05 02 08 03) са по-големи (+ 111,0 млн.</w:t>
      </w:r>
      <w:r>
        <w:rPr>
          <w:noProof/>
          <w:lang w:val="en-GB"/>
        </w:rPr>
        <w:t> </w:t>
      </w:r>
      <w:r>
        <w:rPr>
          <w:noProof/>
        </w:rPr>
        <w:t>EUR) от предвидените в ПБ за 2016</w:t>
      </w:r>
      <w:r>
        <w:rPr>
          <w:noProof/>
          <w:lang w:val="en-GB"/>
        </w:rPr>
        <w:t> </w:t>
      </w:r>
      <w:r>
        <w:rPr>
          <w:noProof/>
        </w:rPr>
        <w:t>г. Само едно малко преразглеждане (- 2,7 млн. EUR) се дължи на актуализираната оценка на действителното прилагане на мерките и на леко променените данни за националните планове, както и на вземането предвид на очакваното финансово отражение на евентуалното частично възстановяване от бюджета на ЕС на националната финансова помощ, предоставена от някои държави членки</w:t>
      </w:r>
      <w:r>
        <w:rPr>
          <w:rStyle w:val="FootnoteReference"/>
          <w:noProof/>
        </w:rPr>
        <w:footnoteReference w:id="7"/>
      </w:r>
      <w:r>
        <w:rPr>
          <w:noProof/>
        </w:rPr>
        <w:t>. Най-голямата промяна (+ 113,7 млн. EUR) съответства на финансовото въздействие на удължаването на временните кризисни мерки (изтегляне от пазара с цел безплатно разпространение и пренасочване към други дестинации, небране и бране на неузрели плодове и зеленчуци, както и засилени мерки за насърчаване за плодове и зеленчуци), предприети от организациите на производителите в допълнение към обичайните им годишни планове</w:t>
      </w:r>
      <w:r>
        <w:rPr>
          <w:rStyle w:val="FootnoteReference"/>
          <w:noProof/>
        </w:rPr>
        <w:footnoteReference w:id="8"/>
      </w:r>
      <w:r>
        <w:rPr>
          <w:noProof/>
        </w:rPr>
        <w:t>. Очаква се да бъде необходима допълнителна сума от 77,3 млн. EUR за същите кризисни мерки, осъществявани от производители, които не са членове на признати организации на производители, като тези разходи ще бъдат финансирани от бюджетна позиция 05 02 08 99 (други мерки за плодовете и зеленчуците). Общото финансово въздействие на това разширяване се определя на 191 млн. EUR. Освен това с ПВК №</w:t>
      </w:r>
      <w:r>
        <w:rPr>
          <w:noProof/>
          <w:lang w:val="en-GB"/>
        </w:rPr>
        <w:t> </w:t>
      </w:r>
      <w:r>
        <w:rPr>
          <w:noProof/>
        </w:rPr>
        <w:t>2/2015 се предлага незначително намаление (– 10 млн. EUR) за помощите за предварително признатите групи производители (бюджетна позиция 05 02 08 11) въз основа на най-новите данни за предварителното изпълнение през 2015</w:t>
      </w:r>
      <w:r>
        <w:rPr>
          <w:noProof/>
          <w:lang w:val="en-GB"/>
        </w:rPr>
        <w:t> </w:t>
      </w:r>
      <w:r>
        <w:rPr>
          <w:noProof/>
        </w:rPr>
        <w:t>г.</w:t>
      </w:r>
    </w:p>
    <w:p>
      <w:pPr>
        <w:spacing w:before="120" w:after="120"/>
        <w:jc w:val="both"/>
        <w:rPr>
          <w:noProof/>
        </w:rPr>
      </w:pPr>
      <w:r>
        <w:rPr>
          <w:noProof/>
        </w:rPr>
        <w:t xml:space="preserve">Предлага се бюджетните кредити за </w:t>
      </w:r>
      <w:r>
        <w:rPr>
          <w:b/>
          <w:noProof/>
        </w:rPr>
        <w:t>винарския сектор</w:t>
      </w:r>
      <w:r>
        <w:rPr>
          <w:noProof/>
        </w:rPr>
        <w:t xml:space="preserve"> по бюджетна позиция 05 02 09 08 за финансиране на националните програми за подпомагане да бъдат намалени с 8 млн. EUR, а бюджетните кредити за </w:t>
      </w:r>
      <w:r>
        <w:rPr>
          <w:b/>
          <w:noProof/>
        </w:rPr>
        <w:t>мерки за насърчаване</w:t>
      </w:r>
      <w:r>
        <w:rPr>
          <w:noProof/>
        </w:rPr>
        <w:t xml:space="preserve"> в полза на селскостопанските продукти по бюджетна позиция 05 02 10 01 да се увеличат с 6 млн. EUR, което отразява най-новите данни за изпълнението за двете мерки. Като мерки за насърчаване в ПБ за 2016 г. вече беше включена сума в размер на 13,5 млн. EUR, въз основа на очакваното финансово въздействие за 2016 г. на специалната покана за представяне на предложения, която Комисията вече отправи през 2015 г., за да стимулира пренасочването на износа след затварянето на руския пазар. Предвижда се по-нататъшно укрепване на дейностите за насърчаване в други трети държави, особено вследствие на сегашното положение на пазара в сектора на млечните продукти и свинското месо, но финансовото въздействие на допълнителната сума от 30 млн. EUR в следващата покана за представяне на предложения, която ще бъде стартирана в началото на 2016 г,. ще бъде усетено най-рано в бюджета за 2017 г. (възстановяване на действително направени разходи от държавите членки след изпълнението на отделните проекти).</w:t>
      </w:r>
    </w:p>
    <w:p>
      <w:pPr>
        <w:spacing w:before="120" w:after="120"/>
        <w:jc w:val="both"/>
        <w:rPr>
          <w:noProof/>
        </w:rPr>
      </w:pPr>
      <w:r>
        <w:rPr>
          <w:noProof/>
        </w:rPr>
        <w:t xml:space="preserve">За други </w:t>
      </w:r>
      <w:r>
        <w:rPr>
          <w:b/>
          <w:noProof/>
        </w:rPr>
        <w:t>растителни продукти/мерки</w:t>
      </w:r>
      <w:r>
        <w:rPr>
          <w:noProof/>
        </w:rPr>
        <w:t xml:space="preserve"> (бюджетна статия 05 02 11) с ПВК 2/2016 се актуализират прогнозите за ползването на таваните за POSEI регионите</w:t>
      </w:r>
      <w:r>
        <w:rPr>
          <w:rStyle w:val="FootnoteReference"/>
          <w:noProof/>
        </w:rPr>
        <w:footnoteReference w:id="9"/>
      </w:r>
      <w:r>
        <w:rPr>
          <w:noProof/>
        </w:rPr>
        <w:t>, което доведе до незначително увеличение на бюджетните кредити (+ 1,0 млн. EUR) за мерките за подкрепа на пазара, финансирани по бюджетна позиция 05 02 11 04.</w:t>
      </w:r>
    </w:p>
    <w:p>
      <w:pPr>
        <w:spacing w:before="120" w:after="120"/>
        <w:jc w:val="both"/>
        <w:rPr>
          <w:noProof/>
        </w:rPr>
      </w:pPr>
      <w:r>
        <w:rPr>
          <w:noProof/>
        </w:rPr>
        <w:t xml:space="preserve">Най-голямата промяна, предложена в ПВК 2/2016 за селскостопански мерки, се отнася до </w:t>
      </w:r>
      <w:r>
        <w:rPr>
          <w:b/>
          <w:noProof/>
        </w:rPr>
        <w:t>млякото и млечните продукти</w:t>
      </w:r>
      <w:r>
        <w:rPr>
          <w:noProof/>
        </w:rPr>
        <w:t xml:space="preserve"> (бюджетна статия 05 02 12) с увеличение от 478 млн. EUR, от които 30 млн. EUR са предвидени за разпределянето на европейските млечни продукти в рамките хуманитарната помощ на ЕС в трети държави (вж. раздел 2.3 по-долу). Всички допълнителните потребности са за допълнителни извънредни мерки за подпомагане на въпросния сектор, заедно със сектора на плодовете/зеленчуците и сектора на свинското месо, най-силно засегнати от руското ембарго върху вноса от ЕС. Освен това силното увеличение на производството в ЕС през първите месеци след края на квотната система за млякото (в края на март 2015 г.) и по-слабото търсене на световните пазари понастоящем оказва натиск върху цените на производителите в ЕС. Част от допълнителните бюджетни кредити (+28 млн. EUR) са за продължаване и засилване на складовите операции, от които +14 млн. EUR за обезмаслено мляко на прах по бюджетна позиция 05 02 12 02, + 4 млн. EUR за масло по позиция 05 02 12 04 и + 10 млн. EUR за сирене по бюджетна позиция 05 02 12 99. Най-голямата сума (+ 420 млн. EUR) се предлага за предоставяне на временна извънредна помощ под формата на еднократни финансови пакети, за които държавите членки ще имат значителна гъвкавост при насочване на подкрепата към онези производители, които са особено засегнати</w:t>
      </w:r>
      <w:r>
        <w:rPr>
          <w:rStyle w:val="FootnoteReference"/>
          <w:noProof/>
        </w:rPr>
        <w:footnoteReference w:id="10"/>
      </w:r>
      <w:r>
        <w:rPr>
          <w:noProof/>
        </w:rPr>
        <w:t>.</w:t>
      </w:r>
    </w:p>
    <w:p>
      <w:pPr>
        <w:tabs>
          <w:tab w:val="left" w:pos="850"/>
        </w:tabs>
        <w:spacing w:before="120" w:after="120"/>
        <w:jc w:val="both"/>
        <w:rPr>
          <w:noProof/>
        </w:rPr>
      </w:pPr>
      <w:r>
        <w:rPr>
          <w:noProof/>
        </w:rPr>
        <w:t>Комисията предлага да се увеличат с 33 млн. EUR бюджетните кредити за бюджетна статия 05 02 15 (</w:t>
      </w:r>
      <w:r>
        <w:rPr>
          <w:b/>
          <w:noProof/>
        </w:rPr>
        <w:t>свинско месо, яйца и птиче месо, пчеларство и други животински продукти</w:t>
      </w:r>
      <w:r>
        <w:rPr>
          <w:noProof/>
        </w:rPr>
        <w:t>). Малка сума от 1 млн. EUR е за пчеларство (бюджетна позиция 05 02 15 06), която отразява допълнително подобрение в изпълнението на националните програми. Други допълнителни 3 млн. EUR са необходими за бюджетна позиция 05 02 15 02 за покриване на остатъчни плащания за схемата за частно складиране на свинско месо, която беше открита за няколко седмици през пролетта на 2015 г.</w:t>
      </w:r>
      <w:r>
        <w:rPr>
          <w:rStyle w:val="FootnoteReference"/>
          <w:noProof/>
        </w:rPr>
        <w:footnoteReference w:id="11"/>
      </w:r>
      <w:r>
        <w:rPr>
          <w:noProof/>
        </w:rPr>
        <w:t xml:space="preserve"> С ПВК 2/2016 също се предлагат още 29 млн. EUR за частно складиране на свинско месо, в случай че развитието на пазарните ценови процеси изисква откриването на нова схема.</w:t>
      </w:r>
    </w:p>
    <w:p>
      <w:pPr>
        <w:keepNext/>
        <w:keepLines/>
        <w:spacing w:before="120" w:after="120"/>
        <w:jc w:val="both"/>
        <w:rPr>
          <w:b/>
          <w:i/>
          <w:noProof/>
        </w:rPr>
      </w:pPr>
      <w:r>
        <w:rPr>
          <w:b/>
          <w:noProof/>
        </w:rPr>
        <w:t>05 03 </w:t>
      </w:r>
      <w:r>
        <w:rPr>
          <w:b/>
          <w:noProof/>
        </w:rPr>
        <w:sym w:font="Symbol" w:char="F0BE"/>
      </w:r>
      <w:r>
        <w:rPr>
          <w:b/>
          <w:noProof/>
        </w:rPr>
        <w:t> Преки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w:t>
      </w:r>
      <w:r>
        <w:rPr>
          <w:b/>
          <w:i/>
          <w:noProof/>
        </w:rPr>
        <w:t xml:space="preserve"> (бюджетни кредити - 950,6 млн. EUR)</w:t>
      </w:r>
    </w:p>
    <w:tbl>
      <w:tblPr>
        <w:tblW w:w="9085" w:type="dxa"/>
        <w:jc w:val="center"/>
        <w:tblLayout w:type="fixed"/>
        <w:tblCellMar>
          <w:left w:w="40" w:type="dxa"/>
          <w:right w:w="40" w:type="dxa"/>
        </w:tblCellMar>
        <w:tblLook w:val="0000" w:firstRow="0" w:lastRow="0" w:firstColumn="0" w:lastColumn="0" w:noHBand="0" w:noVBand="0"/>
      </w:tblPr>
      <w:tblGrid>
        <w:gridCol w:w="3144"/>
        <w:gridCol w:w="2092"/>
        <w:gridCol w:w="1725"/>
        <w:gridCol w:w="2124"/>
      </w:tblGrid>
      <w:tr>
        <w:trPr>
          <w:trHeight w:val="164"/>
          <w:tblHeader/>
          <w:jc w:val="center"/>
        </w:trPr>
        <w:tc>
          <w:tcPr>
            <w:tcW w:w="9085"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(в млн. EUR, закръглени стойности по текущи цени)</w:t>
            </w:r>
          </w:p>
        </w:tc>
      </w:tr>
      <w:tr>
        <w:trPr>
          <w:trHeight w:val="164"/>
          <w:tblHeader/>
          <w:jc w:val="center"/>
        </w:trPr>
        <w:tc>
          <w:tcPr>
            <w:tcW w:w="3144" w:type="dxa"/>
            <w:tcBorders>
              <w:top w:val="single" w:sz="4" w:space="0" w:color="auto"/>
              <w:left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Преки плащания</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Проектобюджет за 2016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 xml:space="preserve">Писмо за внасяне на корекции </w:t>
            </w:r>
            <w:r>
              <w:rPr>
                <w:b/>
                <w:noProof/>
                <w:sz w:val="16"/>
              </w:rPr>
              <w:br/>
              <w:t xml:space="preserve"> №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Проектобюджет за 2016 г.</w:t>
            </w:r>
            <w:r>
              <w:rPr>
                <w:b/>
                <w:noProof/>
                <w:sz w:val="16"/>
              </w:rPr>
              <w:br/>
              <w:t>(вкл. ПВК 2/2016)</w:t>
            </w:r>
          </w:p>
        </w:tc>
      </w:tr>
      <w:tr>
        <w:trPr>
          <w:trHeight w:val="164"/>
          <w:jc w:val="center"/>
        </w:trPr>
        <w:tc>
          <w:tcPr>
            <w:tcW w:w="908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jc w:val="left"/>
              <w:rPr>
                <w:b/>
                <w:noProof/>
                <w:sz w:val="16"/>
                <w:szCs w:val="16"/>
              </w:rPr>
            </w:pPr>
            <w:r>
              <w:rPr>
                <w:b/>
                <w:i/>
                <w:noProof/>
                <w:sz w:val="16"/>
              </w:rPr>
              <w:t>След прилагането на механизма за финансова дисциплина (вкл. кредитите за резерва за кризи в селскостопанския сектор)</w:t>
            </w:r>
          </w:p>
        </w:tc>
      </w:tr>
      <w:tr>
        <w:trPr>
          <w:trHeight w:val="220"/>
          <w:jc w:val="center"/>
        </w:trPr>
        <w:tc>
          <w:tcPr>
            <w:tcW w:w="3144"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Нужди</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41 838,3</w:t>
            </w:r>
          </w:p>
        </w:tc>
        <w:tc>
          <w:tcPr>
            <w:tcW w:w="1725"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-12,6</w:t>
            </w:r>
          </w:p>
        </w:tc>
        <w:tc>
          <w:tcPr>
            <w:tcW w:w="2124"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41 825,7</w:t>
            </w:r>
          </w:p>
        </w:tc>
      </w:tr>
      <w:tr>
        <w:trPr>
          <w:trHeight w:val="220"/>
          <w:jc w:val="center"/>
        </w:trPr>
        <w:tc>
          <w:tcPr>
            <w:tcW w:w="3144"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 Прогнозни целеви приходи, налични през 2016 г.</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1 302,0</w:t>
            </w:r>
          </w:p>
        </w:tc>
        <w:tc>
          <w:tcPr>
            <w:tcW w:w="1725" w:type="dxa"/>
            <w:tcBorders>
              <w:top w:val="dotted"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+938,0</w:t>
            </w:r>
          </w:p>
        </w:tc>
        <w:tc>
          <w:tcPr>
            <w:tcW w:w="2124" w:type="dxa"/>
            <w:tcBorders>
              <w:top w:val="dotted"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2 240,0</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Поискани бюджетни кредити</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40 536,3</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-950,6</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39 585,7</w:t>
            </w:r>
          </w:p>
        </w:tc>
      </w:tr>
    </w:tbl>
    <w:p>
      <w:pPr>
        <w:autoSpaceDE w:val="0"/>
        <w:autoSpaceDN w:val="0"/>
        <w:adjustRightInd w:val="0"/>
        <w:spacing w:before="120" w:after="120"/>
        <w:jc w:val="both"/>
        <w:rPr>
          <w:noProof/>
        </w:rPr>
      </w:pPr>
      <w:r>
        <w:rPr>
          <w:noProof/>
        </w:rPr>
        <w:t xml:space="preserve">В сравнение с ПБ за 2016 г. бюджетните кредити, поискани за глава 05 03, се намаляват с 950,6 млн. EUR. Тази промяна се дължи главно на по-високата сума на приходите, предназначени за позиция 05 03 01 10 </w:t>
      </w:r>
      <w:r>
        <w:rPr>
          <w:i/>
          <w:noProof/>
        </w:rPr>
        <w:t>Схема за основно плащане (СОП)</w:t>
      </w:r>
      <w:r>
        <w:rPr>
          <w:noProof/>
        </w:rPr>
        <w:t xml:space="preserve">, за която прогнозираните нужди остават непроменени в сравнение с ПБ за 2016 г. Малкото намаление на нуждите (- 12,6 млн. EUR) е нетното въздействие на някои минимални промени за няколко други бюджетни позиции, които отразяват актуализираните бюджетни прогнози: -18,0 млн. EUR за позиция 05 03 01 01 </w:t>
      </w:r>
      <w:r>
        <w:rPr>
          <w:i/>
          <w:noProof/>
        </w:rPr>
        <w:t>Схема за единно плащане</w:t>
      </w:r>
      <w:r>
        <w:rPr>
          <w:noProof/>
        </w:rPr>
        <w:t xml:space="preserve">, + 1,0 млн. EUR за позиция 05 03 01 02 </w:t>
      </w:r>
      <w:r>
        <w:rPr>
          <w:i/>
          <w:noProof/>
        </w:rPr>
        <w:t>Схема за единно плащане на площ</w:t>
      </w:r>
      <w:r>
        <w:rPr>
          <w:noProof/>
        </w:rPr>
        <w:t xml:space="preserve">, + 6,0 млн. EUR за позиция 05 03 02 40 </w:t>
      </w:r>
      <w:r>
        <w:rPr>
          <w:i/>
          <w:noProof/>
        </w:rPr>
        <w:t>Специфично плащане за култура — памук</w:t>
      </w:r>
      <w:r>
        <w:rPr>
          <w:noProof/>
        </w:rPr>
        <w:t xml:space="preserve">, - 1,0 млн. EUR за позиция 05 03 02 60 </w:t>
      </w:r>
      <w:r>
        <w:rPr>
          <w:i/>
          <w:noProof/>
        </w:rPr>
        <w:t>Доброволно обвързано с производството подпомагане</w:t>
      </w:r>
      <w:r>
        <w:rPr>
          <w:noProof/>
        </w:rPr>
        <w:t xml:space="preserve"> и – 0,6 млн. EUR за позиция 05 03 02 99 </w:t>
      </w:r>
      <w:r>
        <w:rPr>
          <w:i/>
          <w:noProof/>
        </w:rPr>
        <w:t>Други преки плащания</w:t>
      </w:r>
      <w:r>
        <w:rPr>
          <w:noProof/>
        </w:rPr>
        <w:t>.</w:t>
      </w:r>
    </w:p>
    <w:p>
      <w:pPr>
        <w:keepNext/>
        <w:keepLines/>
        <w:tabs>
          <w:tab w:val="right" w:pos="5640"/>
        </w:tabs>
        <w:spacing w:before="120" w:after="120"/>
        <w:jc w:val="both"/>
        <w:rPr>
          <w:b/>
          <w:i/>
          <w:noProof/>
        </w:rPr>
      </w:pPr>
      <w:r>
        <w:rPr>
          <w:b/>
          <w:noProof/>
        </w:rPr>
        <w:t xml:space="preserve">05 07 Одит на разходите за земеделие, финансирани от Европейския фонд за гарантиране на земеделието (ЕФГЗ) </w:t>
      </w:r>
      <w:r>
        <w:rPr>
          <w:b/>
          <w:i/>
          <w:noProof/>
        </w:rPr>
        <w:t>(бюджетни кредити — 15,0 млн. EUR)</w:t>
      </w:r>
    </w:p>
    <w:tbl>
      <w:tblPr>
        <w:tblW w:w="9085" w:type="dxa"/>
        <w:jc w:val="center"/>
        <w:tblLayout w:type="fixed"/>
        <w:tblCellMar>
          <w:left w:w="40" w:type="dxa"/>
          <w:right w:w="40" w:type="dxa"/>
        </w:tblCellMar>
        <w:tblLook w:val="0000" w:firstRow="0" w:lastRow="0" w:firstColumn="0" w:lastColumn="0" w:noHBand="0" w:noVBand="0"/>
      </w:tblPr>
      <w:tblGrid>
        <w:gridCol w:w="3144"/>
        <w:gridCol w:w="2092"/>
        <w:gridCol w:w="1725"/>
        <w:gridCol w:w="2124"/>
      </w:tblGrid>
      <w:tr>
        <w:trPr>
          <w:trHeight w:val="164"/>
          <w:tblHeader/>
          <w:jc w:val="center"/>
        </w:trPr>
        <w:tc>
          <w:tcPr>
            <w:tcW w:w="9085"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(в млн. EUR, закръглени стойности по текущи цени)</w:t>
            </w:r>
          </w:p>
        </w:tc>
      </w:tr>
      <w:tr>
        <w:trPr>
          <w:trHeight w:val="164"/>
          <w:tblHeader/>
          <w:jc w:val="center"/>
        </w:trPr>
        <w:tc>
          <w:tcPr>
            <w:tcW w:w="3144"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Одит на разходите за селско стопанство</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Проектобюджет за 2016 г.</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rPr>
            </w:pPr>
            <w:r>
              <w:rPr>
                <w:b/>
                <w:noProof/>
                <w:sz w:val="16"/>
              </w:rPr>
              <w:t xml:space="preserve">Писмо за внасяне на корекции </w:t>
            </w:r>
            <w:r>
              <w:rPr>
                <w:b/>
                <w:noProof/>
                <w:sz w:val="16"/>
              </w:rPr>
              <w:br/>
              <w:t xml:space="preserve"> №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rPr>
            </w:pPr>
            <w:r>
              <w:rPr>
                <w:b/>
                <w:noProof/>
                <w:sz w:val="16"/>
              </w:rPr>
              <w:t>Проектобюджет за 2016 г.</w:t>
            </w:r>
            <w:r>
              <w:rPr>
                <w:b/>
                <w:noProof/>
                <w:sz w:val="16"/>
              </w:rPr>
              <w:br/>
              <w:t>(вкл. ПВК 2/2016)</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vAlign w:val="center"/>
          </w:tcPr>
          <w:p>
            <w:pPr>
              <w:keepNext/>
              <w:keepLines/>
              <w:spacing w:before="30" w:after="30"/>
              <w:jc w:val="both"/>
              <w:rPr>
                <w:noProof/>
                <w:sz w:val="16"/>
                <w:szCs w:val="16"/>
              </w:rPr>
            </w:pPr>
            <w:r>
              <w:rPr>
                <w:noProof/>
                <w:sz w:val="16"/>
              </w:rPr>
              <w:t>05 07 01 06 </w:t>
            </w:r>
            <w:r>
              <w:rPr>
                <w:noProof/>
                <w:sz w:val="16"/>
                <w:szCs w:val="16"/>
              </w:rPr>
              <w:sym w:font="Symbol" w:char="F0BE"/>
            </w:r>
            <w:r>
              <w:rPr>
                <w:noProof/>
                <w:sz w:val="16"/>
              </w:rPr>
              <w:t> Разходи за финансови корекции в полза на държавите членки вследствие на решения за счетоводно уравняване на сметки за предходни години с оглед на поделеното управление, декларирани по линия на секция „Гарантиране“ на ФЕОГА (предходни мерки) и ЕФГЗ</w:t>
            </w:r>
          </w:p>
        </w:tc>
        <w:tc>
          <w:tcPr>
            <w:tcW w:w="2092" w:type="dxa"/>
            <w:tcBorders>
              <w:top w:val="single"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35,0</w:t>
            </w:r>
          </w:p>
        </w:tc>
        <w:tc>
          <w:tcPr>
            <w:tcW w:w="1725" w:type="dxa"/>
            <w:tcBorders>
              <w:top w:val="single"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-15,0</w:t>
            </w:r>
          </w:p>
        </w:tc>
        <w:tc>
          <w:tcPr>
            <w:tcW w:w="2124" w:type="dxa"/>
            <w:tcBorders>
              <w:top w:val="single"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20,0</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Общо</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35,0</w:t>
            </w:r>
          </w:p>
        </w:tc>
        <w:tc>
          <w:tcPr>
            <w:tcW w:w="1725" w:type="dxa"/>
            <w:tcBorders>
              <w:top w:val="single" w:sz="4" w:space="0" w:color="auto"/>
              <w:left w:val="nil"/>
              <w:bottom w:val="single" w:sz="4" w:space="0" w:color="auto"/>
              <w:right w:val="single" w:sz="4" w:space="0" w:color="auto"/>
            </w:tcBorders>
            <w:shd w:val="clear" w:color="auto" w:fill="D9D9D9"/>
            <w:vAlign w:val="center"/>
          </w:tcPr>
          <w:p>
            <w:pPr>
              <w:pStyle w:val="NormalRight"/>
              <w:keepNext/>
              <w:keepLines/>
              <w:spacing w:before="30" w:after="30"/>
              <w:rPr>
                <w:b/>
                <w:noProof/>
                <w:sz w:val="16"/>
                <w:szCs w:val="16"/>
              </w:rPr>
            </w:pPr>
            <w:r>
              <w:rPr>
                <w:b/>
                <w:noProof/>
                <w:sz w:val="16"/>
              </w:rPr>
              <w:t>-15,0</w:t>
            </w:r>
          </w:p>
        </w:tc>
        <w:tc>
          <w:tcPr>
            <w:tcW w:w="2124" w:type="dxa"/>
            <w:tcBorders>
              <w:top w:val="single" w:sz="4" w:space="0" w:color="auto"/>
              <w:left w:val="nil"/>
              <w:bottom w:val="single" w:sz="4" w:space="0" w:color="auto"/>
              <w:right w:val="single" w:sz="4" w:space="0" w:color="auto"/>
            </w:tcBorders>
            <w:shd w:val="clear" w:color="auto" w:fill="D9D9D9"/>
            <w:vAlign w:val="center"/>
          </w:tcPr>
          <w:p>
            <w:pPr>
              <w:pStyle w:val="NormalRight"/>
              <w:keepNext/>
              <w:keepLines/>
              <w:spacing w:before="30" w:after="30"/>
              <w:rPr>
                <w:b/>
                <w:noProof/>
                <w:sz w:val="16"/>
                <w:szCs w:val="16"/>
              </w:rPr>
            </w:pPr>
            <w:r>
              <w:rPr>
                <w:b/>
                <w:noProof/>
                <w:sz w:val="16"/>
              </w:rPr>
              <w:t>20,0</w:t>
            </w:r>
          </w:p>
        </w:tc>
      </w:tr>
    </w:tbl>
    <w:p>
      <w:pPr>
        <w:spacing w:before="120" w:after="120"/>
        <w:jc w:val="both"/>
        <w:rPr>
          <w:noProof/>
        </w:rPr>
      </w:pPr>
      <w:r>
        <w:rPr>
          <w:noProof/>
        </w:rPr>
        <w:t xml:space="preserve">Бюджетните кредити за бюджетна статия 05 07 01 06 </w:t>
      </w:r>
      <w:r>
        <w:rPr>
          <w:i/>
          <w:noProof/>
        </w:rPr>
        <w:t>Финансови корекции в полза на държавите членки вследствие на решения за счетоводно уравняване на сметки за предходни години</w:t>
      </w:r>
      <w:r>
        <w:rPr>
          <w:noProof/>
        </w:rPr>
        <w:t xml:space="preserve"> може да се намалят с 15,0 млн. EUR, което отразява актуализираната бюджетна прогноза, като се вземат предвид междинните данни за изпълнението през 2015 г.</w:t>
      </w:r>
    </w:p>
    <w:p>
      <w:pPr>
        <w:pStyle w:val="ManualHeading2"/>
        <w:numPr>
          <w:ilvl w:val="1"/>
          <w:numId w:val="8"/>
        </w:numPr>
        <w:rPr>
          <w:noProof/>
        </w:rPr>
      </w:pPr>
      <w:bookmarkStart w:id="16" w:name="_Toc431134646"/>
      <w:bookmarkStart w:id="17" w:name="_Toc431134647"/>
      <w:bookmarkStart w:id="18" w:name="_Toc431481485"/>
      <w:bookmarkStart w:id="19" w:name="_Toc432760502"/>
      <w:bookmarkEnd w:id="16"/>
      <w:r>
        <w:rPr>
          <w:noProof/>
        </w:rPr>
        <w:t>Други селскостопански разходи извън ЕФГЗ</w:t>
      </w:r>
      <w:bookmarkEnd w:id="17"/>
      <w:bookmarkEnd w:id="18"/>
      <w:bookmarkEnd w:id="19"/>
    </w:p>
    <w:p>
      <w:pPr>
        <w:spacing w:before="120" w:after="120"/>
        <w:jc w:val="both"/>
        <w:rPr>
          <w:noProof/>
        </w:rPr>
      </w:pPr>
      <w:r>
        <w:rPr>
          <w:noProof/>
        </w:rPr>
        <w:t xml:space="preserve">В рамките на спешните мерки, насочени към възстановяване на пазарния баланс в млечния сектор на ЕС, сумата от 30 млн. EUR ще бъде отпусната за раздаване на мляко и млечни продукти с произход от ЕС в рамките хуманитарната помощ на ЕС в трети държави. Мярката, която се счита за изключителна и еднократна, ще се осъществи заедно с международните организации, осъществяващи дейност в областта на хуманитарната помощ. Тази сума ще се финансира от предложена нова бюджетна позиция 05 02 12 09 </w:t>
      </w:r>
      <w:r>
        <w:rPr>
          <w:i/>
          <w:noProof/>
        </w:rPr>
        <w:t>Разпределение на млечни продукти като спешна реакция на хуманитарните кризи</w:t>
      </w:r>
      <w:r>
        <w:rPr>
          <w:noProof/>
        </w:rPr>
        <w:t xml:space="preserve"> в дял 05, но извън ЕФГЗ. Комисията ще я приведе в действие съгласно Регламент (EО) № 1257/96 на Съвета от 20 юни 1996</w:t>
      </w:r>
      <w:r>
        <w:rPr>
          <w:noProof/>
          <w:lang w:val="en-GB"/>
        </w:rPr>
        <w:t> </w:t>
      </w:r>
      <w:r>
        <w:rPr>
          <w:noProof/>
        </w:rPr>
        <w:t>г. относно хуманитарната помощ</w:t>
      </w:r>
      <w:r>
        <w:rPr>
          <w:rStyle w:val="FootnoteReference"/>
          <w:noProof/>
        </w:rPr>
        <w:footnoteReference w:id="12"/>
      </w:r>
      <w:r>
        <w:rPr>
          <w:noProof/>
        </w:rPr>
        <w:t>.</w:t>
      </w:r>
    </w:p>
    <w:p>
      <w:pPr>
        <w:pStyle w:val="ManualHeading2"/>
        <w:numPr>
          <w:ilvl w:val="1"/>
          <w:numId w:val="8"/>
        </w:numPr>
        <w:rPr>
          <w:noProof/>
        </w:rPr>
      </w:pPr>
      <w:bookmarkStart w:id="20" w:name="_Toc431134648"/>
      <w:bookmarkStart w:id="21" w:name="_Toc400034805"/>
      <w:bookmarkStart w:id="22" w:name="_Toc431134649"/>
      <w:bookmarkStart w:id="23" w:name="_Toc431481486"/>
      <w:bookmarkStart w:id="24" w:name="_Toc432760503"/>
      <w:bookmarkEnd w:id="20"/>
      <w:r>
        <w:rPr>
          <w:noProof/>
        </w:rPr>
        <w:t>Споразумения за партньорство в областта на устойчивото рибарство</w:t>
      </w:r>
      <w:bookmarkEnd w:id="21"/>
      <w:bookmarkEnd w:id="22"/>
      <w:bookmarkEnd w:id="23"/>
      <w:bookmarkEnd w:id="24"/>
    </w:p>
    <w:p>
      <w:pPr>
        <w:spacing w:after="120"/>
        <w:jc w:val="both"/>
        <w:rPr>
          <w:noProof/>
        </w:rPr>
      </w:pPr>
      <w:r>
        <w:rPr>
          <w:noProof/>
        </w:rPr>
        <w:t>Както е предвидено в част II, точка В от Междуинституционалното споразумение (МИС)</w:t>
      </w:r>
      <w:r>
        <w:rPr>
          <w:rStyle w:val="FootnoteReference"/>
          <w:noProof/>
        </w:rPr>
        <w:footnoteReference w:id="13"/>
      </w:r>
      <w:r>
        <w:rPr>
          <w:noProof/>
        </w:rPr>
        <w:t xml:space="preserve">, Комисията разгледа последната налична информация за споразуменията в областта на устойчивото рибарство. За да отрази последната известна ситуация по отношение на финансовите средства, които трябва да бъдат изплатени както за действащите споразумения, така и за споразуменията в процес на договаряне, и като взема под внимание очакваните целеви приходи, Комисията предлага да намали бюджетните кредити за поети задължения и за плащания от бюджетна статия 11 03 01 </w:t>
      </w:r>
      <w:r>
        <w:rPr>
          <w:i/>
          <w:noProof/>
        </w:rPr>
        <w:t>Установяване на рамка за управление на риболовните дейности, извършвани от риболовните кораби на Съюза във водите на трети държави</w:t>
      </w:r>
      <w:r>
        <w:rPr>
          <w:noProof/>
        </w:rPr>
        <w:t xml:space="preserve"> с 0,4 млн. EUR и от статията за резерва 40 02 41 с 10,6 млн. EUR.</w:t>
      </w:r>
    </w:p>
    <w:p>
      <w:pPr>
        <w:spacing w:after="120"/>
        <w:jc w:val="both"/>
        <w:rPr>
          <w:noProof/>
        </w:rPr>
      </w:pPr>
      <w:r>
        <w:rPr>
          <w:noProof/>
        </w:rPr>
        <w:t>Тъй като финансовите контрагенти за повечето споразумения показват стабилен профил през целия период, Комисията възнамерява да препрограмира 11,0 млн. EUR в бюджетни кредити за поети задължения и за плащания за периода 2018—2020 г. Това ще доведе до стабилен профил в сравнение с намаляващия, който е предвиден в МФР за периода 2014—2020 г.</w:t>
      </w:r>
    </w:p>
    <w:tbl>
      <w:tblPr>
        <w:tblW w:w="9447" w:type="dxa"/>
        <w:jc w:val="center"/>
        <w:tblLayout w:type="fixed"/>
        <w:tblCellMar>
          <w:left w:w="40" w:type="dxa"/>
          <w:right w:w="40" w:type="dxa"/>
        </w:tblCellMar>
        <w:tblLook w:val="0000" w:firstRow="0" w:lastRow="0" w:firstColumn="0" w:lastColumn="0" w:noHBand="0" w:noVBand="0"/>
      </w:tblPr>
      <w:tblGrid>
        <w:gridCol w:w="3144"/>
        <w:gridCol w:w="1050"/>
        <w:gridCol w:w="1051"/>
        <w:gridCol w:w="1050"/>
        <w:gridCol w:w="1051"/>
        <w:gridCol w:w="1050"/>
        <w:gridCol w:w="1051"/>
      </w:tblGrid>
      <w:tr>
        <w:trPr>
          <w:trHeight w:val="164"/>
          <w:tblHeader/>
          <w:jc w:val="center"/>
        </w:trPr>
        <w:tc>
          <w:tcPr>
            <w:tcW w:w="9447" w:type="dxa"/>
            <w:gridSpan w:val="7"/>
            <w:tcBorders>
              <w:bottom w:val="single" w:sz="4" w:space="0" w:color="auto"/>
            </w:tcBorders>
            <w:shd w:val="clear" w:color="auto" w:fill="FFFFFF"/>
            <w:vAlign w:val="center"/>
          </w:tcPr>
          <w:p>
            <w:pPr>
              <w:jc w:val="right"/>
              <w:rPr>
                <w:noProof/>
                <w:sz w:val="16"/>
                <w:szCs w:val="16"/>
              </w:rPr>
            </w:pPr>
            <w:r>
              <w:rPr>
                <w:i/>
                <w:noProof/>
                <w:sz w:val="16"/>
              </w:rPr>
              <w:t>(в млн. EUR, закръглени стойности по текущи цени)</w:t>
            </w:r>
          </w:p>
        </w:tc>
      </w:tr>
      <w:tr>
        <w:trPr>
          <w:trHeight w:val="164"/>
          <w:tblHeader/>
          <w:jc w:val="center"/>
        </w:trPr>
        <w:tc>
          <w:tcPr>
            <w:tcW w:w="3144" w:type="dxa"/>
            <w:vMerge w:val="restart"/>
            <w:tcBorders>
              <w:top w:val="single" w:sz="4" w:space="0" w:color="auto"/>
              <w:left w:val="single" w:sz="4" w:space="0" w:color="auto"/>
              <w:right w:val="single" w:sz="4" w:space="0" w:color="auto"/>
            </w:tcBorders>
            <w:shd w:val="clear" w:color="auto" w:fill="E0E0E0"/>
          </w:tcPr>
          <w:p>
            <w:pPr>
              <w:spacing w:before="30" w:after="30"/>
              <w:jc w:val="center"/>
              <w:rPr>
                <w:b/>
                <w:noProof/>
                <w:sz w:val="16"/>
                <w:szCs w:val="16"/>
              </w:rPr>
            </w:pPr>
          </w:p>
          <w:p>
            <w:pPr>
              <w:spacing w:before="30" w:after="30"/>
              <w:jc w:val="center"/>
              <w:rPr>
                <w:b/>
                <w:noProof/>
                <w:sz w:val="16"/>
                <w:szCs w:val="16"/>
              </w:rPr>
            </w:pPr>
            <w:r>
              <w:rPr>
                <w:b/>
                <w:noProof/>
                <w:sz w:val="16"/>
              </w:rPr>
              <w:t>Споразумения за партньорство в областта на устойчивото рибарство</w:t>
            </w:r>
          </w:p>
        </w:tc>
        <w:tc>
          <w:tcPr>
            <w:tcW w:w="21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Проектобюджет за 2016 г.</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 xml:space="preserve">Писмо за внасяне на корекции </w:t>
            </w:r>
            <w:r>
              <w:rPr>
                <w:b/>
                <w:noProof/>
                <w:sz w:val="16"/>
              </w:rPr>
              <w:br/>
              <w:t xml:space="preserve"> № 2/2016</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Проектобюджет за 2016 г.</w:t>
            </w:r>
            <w:r>
              <w:rPr>
                <w:b/>
                <w:noProof/>
                <w:sz w:val="16"/>
              </w:rPr>
              <w:br/>
              <w:t>(вкл. ПВК 2/2016)</w:t>
            </w:r>
          </w:p>
        </w:tc>
      </w:tr>
      <w:tr>
        <w:trPr>
          <w:trHeight w:val="164"/>
          <w:tblHeader/>
          <w:jc w:val="center"/>
        </w:trPr>
        <w:tc>
          <w:tcPr>
            <w:tcW w:w="3144" w:type="dxa"/>
            <w:vMerge/>
            <w:tcBorders>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p>
        </w:tc>
        <w:tc>
          <w:tcPr>
            <w:tcW w:w="1050" w:type="dxa"/>
            <w:tcBorders>
              <w:top w:val="single" w:sz="4" w:space="0" w:color="auto"/>
              <w:left w:val="single" w:sz="4" w:space="0" w:color="auto"/>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Поети задължения</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Плащания</w:t>
            </w:r>
          </w:p>
        </w:tc>
      </w:tr>
      <w:tr>
        <w:trPr>
          <w:trHeight w:val="220"/>
          <w:jc w:val="center"/>
        </w:trPr>
        <w:tc>
          <w:tcPr>
            <w:tcW w:w="3144" w:type="dxa"/>
            <w:tcBorders>
              <w:top w:val="single" w:sz="4" w:space="0" w:color="auto"/>
              <w:left w:val="single" w:sz="4" w:space="0" w:color="auto"/>
              <w:bottom w:val="dotted" w:sz="2" w:space="0" w:color="auto"/>
              <w:right w:val="single" w:sz="4" w:space="0" w:color="auto"/>
            </w:tcBorders>
            <w:vAlign w:val="center"/>
          </w:tcPr>
          <w:p>
            <w:pPr>
              <w:spacing w:before="30" w:after="30"/>
              <w:jc w:val="both"/>
              <w:rPr>
                <w:noProof/>
                <w:sz w:val="16"/>
                <w:szCs w:val="16"/>
              </w:rPr>
            </w:pPr>
            <w:r>
              <w:rPr>
                <w:noProof/>
                <w:sz w:val="16"/>
              </w:rPr>
              <w:t>Оперативен ред (11 03 01)</w:t>
            </w:r>
          </w:p>
        </w:tc>
        <w:tc>
          <w:tcPr>
            <w:tcW w:w="1050"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51,1</w:t>
            </w:r>
          </w:p>
        </w:tc>
        <w:tc>
          <w:tcPr>
            <w:tcW w:w="1051"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51,1</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-0,4</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-0,4</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50,7</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50,7</w:t>
            </w:r>
          </w:p>
        </w:tc>
      </w:tr>
      <w:tr>
        <w:trPr>
          <w:trHeight w:val="220"/>
          <w:jc w:val="center"/>
        </w:trPr>
        <w:tc>
          <w:tcPr>
            <w:tcW w:w="3144" w:type="dxa"/>
            <w:tcBorders>
              <w:top w:val="dotted" w:sz="2" w:space="0" w:color="auto"/>
              <w:left w:val="single" w:sz="4" w:space="0" w:color="auto"/>
              <w:bottom w:val="single" w:sz="4" w:space="0" w:color="auto"/>
              <w:right w:val="single" w:sz="4" w:space="0" w:color="auto"/>
            </w:tcBorders>
            <w:vAlign w:val="center"/>
          </w:tcPr>
          <w:p>
            <w:pPr>
              <w:spacing w:before="30" w:after="30"/>
              <w:jc w:val="both"/>
              <w:rPr>
                <w:noProof/>
                <w:sz w:val="16"/>
                <w:szCs w:val="16"/>
              </w:rPr>
            </w:pPr>
            <w:r>
              <w:rPr>
                <w:noProof/>
                <w:sz w:val="16"/>
              </w:rPr>
              <w:t>Резерв (40 02 41)</w:t>
            </w:r>
          </w:p>
        </w:tc>
        <w:tc>
          <w:tcPr>
            <w:tcW w:w="1050"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93,9</w:t>
            </w:r>
          </w:p>
        </w:tc>
        <w:tc>
          <w:tcPr>
            <w:tcW w:w="1051"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93,9</w:t>
            </w:r>
          </w:p>
        </w:tc>
        <w:tc>
          <w:tcPr>
            <w:tcW w:w="1050"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-10,6</w:t>
            </w:r>
          </w:p>
        </w:tc>
        <w:tc>
          <w:tcPr>
            <w:tcW w:w="1051"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-10,6</w:t>
            </w:r>
          </w:p>
        </w:tc>
        <w:tc>
          <w:tcPr>
            <w:tcW w:w="1050"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83,3</w:t>
            </w:r>
          </w:p>
        </w:tc>
        <w:tc>
          <w:tcPr>
            <w:tcW w:w="1051"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83,3</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Общо</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145,0</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145,0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-11,0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-11,0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134,0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134,0</w:t>
            </w:r>
          </w:p>
        </w:tc>
      </w:tr>
    </w:tbl>
    <w:p>
      <w:pPr>
        <w:pStyle w:val="ManualHeading2"/>
        <w:numPr>
          <w:ilvl w:val="1"/>
          <w:numId w:val="8"/>
        </w:numPr>
        <w:rPr>
          <w:noProof/>
        </w:rPr>
      </w:pPr>
      <w:bookmarkStart w:id="25" w:name="_Toc431134650"/>
      <w:bookmarkStart w:id="26" w:name="_Toc431481487"/>
      <w:bookmarkStart w:id="27" w:name="_Toc432760504"/>
      <w:r>
        <w:rPr>
          <w:noProof/>
        </w:rPr>
        <w:t>Промени в номенклатурата и забележки към бюджета</w:t>
      </w:r>
      <w:bookmarkEnd w:id="25"/>
      <w:bookmarkEnd w:id="26"/>
      <w:bookmarkEnd w:id="27"/>
    </w:p>
    <w:p>
      <w:pPr>
        <w:keepNext/>
        <w:keepLines/>
        <w:spacing w:after="120"/>
        <w:jc w:val="both"/>
        <w:rPr>
          <w:noProof/>
        </w:rPr>
      </w:pPr>
      <w:r>
        <w:rPr>
          <w:noProof/>
        </w:rPr>
        <w:t>В следната таблица се обобщават промените в номенклатурата и измененията на забележките към бюджета за няколко глави, статии и позиции по функция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536"/>
        <w:gridCol w:w="3403"/>
      </w:tblGrid>
      <w:tr>
        <w:tc>
          <w:tcPr>
            <w:tcW w:w="5811" w:type="dxa"/>
            <w:gridSpan w:val="2"/>
            <w:shd w:val="clear" w:color="auto" w:fill="D9D9D9"/>
          </w:tcPr>
          <w:p>
            <w:pPr>
              <w:keepNext/>
              <w:keepLines/>
              <w:spacing w:before="30" w:after="30"/>
              <w:jc w:val="center"/>
              <w:rPr>
                <w:b/>
                <w:noProof/>
                <w:sz w:val="16"/>
                <w:szCs w:val="16"/>
              </w:rPr>
            </w:pPr>
            <w:r>
              <w:rPr>
                <w:b/>
                <w:noProof/>
                <w:sz w:val="16"/>
              </w:rPr>
              <w:t>Бюджетен ред</w:t>
            </w:r>
          </w:p>
        </w:tc>
        <w:tc>
          <w:tcPr>
            <w:tcW w:w="3403" w:type="dxa"/>
            <w:shd w:val="clear" w:color="auto" w:fill="D9D9D9"/>
          </w:tcPr>
          <w:p>
            <w:pPr>
              <w:keepNext/>
              <w:keepLines/>
              <w:spacing w:before="30" w:after="30"/>
              <w:jc w:val="center"/>
              <w:rPr>
                <w:b/>
                <w:noProof/>
                <w:sz w:val="16"/>
                <w:szCs w:val="16"/>
              </w:rPr>
            </w:pPr>
            <w:r>
              <w:rPr>
                <w:b/>
                <w:noProof/>
                <w:sz w:val="16"/>
              </w:rPr>
              <w:t>Обяснение</w:t>
            </w:r>
          </w:p>
        </w:tc>
      </w:tr>
      <w:tr>
        <w:tc>
          <w:tcPr>
            <w:tcW w:w="9214" w:type="dxa"/>
            <w:gridSpan w:val="3"/>
            <w:shd w:val="clear" w:color="auto" w:fill="D9D9D9"/>
          </w:tcPr>
          <w:p>
            <w:pPr>
              <w:keepNext/>
              <w:keepLines/>
              <w:spacing w:before="30" w:after="30"/>
              <w:jc w:val="both"/>
              <w:rPr>
                <w:b/>
                <w:noProof/>
                <w:sz w:val="16"/>
                <w:szCs w:val="16"/>
              </w:rPr>
            </w:pPr>
            <w:r>
              <w:rPr>
                <w:b/>
                <w:noProof/>
                <w:sz w:val="16"/>
              </w:rPr>
              <w:t>Разходи</w:t>
            </w:r>
          </w:p>
        </w:tc>
      </w:tr>
      <w:tr>
        <w:tc>
          <w:tcPr>
            <w:tcW w:w="1275" w:type="dxa"/>
            <w:shd w:val="clear" w:color="auto" w:fill="auto"/>
          </w:tcPr>
          <w:p>
            <w:pPr>
              <w:keepNext/>
              <w:keepLines/>
              <w:spacing w:before="30" w:after="30"/>
              <w:jc w:val="both"/>
              <w:rPr>
                <w:noProof/>
                <w:sz w:val="16"/>
                <w:szCs w:val="16"/>
              </w:rPr>
            </w:pPr>
            <w:r>
              <w:rPr>
                <w:noProof/>
                <w:sz w:val="16"/>
              </w:rPr>
              <w:t>05 02</w:t>
            </w:r>
          </w:p>
        </w:tc>
        <w:tc>
          <w:tcPr>
            <w:tcW w:w="4536" w:type="dxa"/>
            <w:shd w:val="clear" w:color="auto" w:fill="auto"/>
          </w:tcPr>
          <w:p>
            <w:pPr>
              <w:keepNext/>
              <w:keepLines/>
              <w:spacing w:before="30" w:after="30"/>
              <w:jc w:val="both"/>
              <w:rPr>
                <w:noProof/>
                <w:sz w:val="16"/>
                <w:szCs w:val="16"/>
              </w:rPr>
            </w:pPr>
            <w:r>
              <w:rPr>
                <w:noProof/>
                <w:sz w:val="16"/>
              </w:rPr>
              <w:t xml:space="preserve">Интервенции на селскостопанските пазари </w:t>
            </w:r>
          </w:p>
        </w:tc>
        <w:tc>
          <w:tcPr>
            <w:tcW w:w="3403" w:type="dxa"/>
            <w:shd w:val="clear" w:color="auto" w:fill="auto"/>
          </w:tcPr>
          <w:p>
            <w:pPr>
              <w:keepNext/>
              <w:keepLines/>
              <w:spacing w:before="30" w:after="30"/>
              <w:jc w:val="both"/>
              <w:rPr>
                <w:noProof/>
                <w:sz w:val="16"/>
                <w:szCs w:val="16"/>
              </w:rPr>
            </w:pPr>
            <w:r>
              <w:rPr>
                <w:noProof/>
                <w:sz w:val="16"/>
              </w:rPr>
              <w:t>Актуализиране на стойности на целевите приходи</w:t>
            </w:r>
          </w:p>
        </w:tc>
      </w:tr>
      <w:tr>
        <w:tc>
          <w:tcPr>
            <w:tcW w:w="1275" w:type="dxa"/>
            <w:shd w:val="clear" w:color="auto" w:fill="auto"/>
          </w:tcPr>
          <w:p>
            <w:pPr>
              <w:spacing w:before="30" w:after="30"/>
              <w:jc w:val="both"/>
              <w:rPr>
                <w:noProof/>
                <w:sz w:val="16"/>
                <w:szCs w:val="16"/>
              </w:rPr>
            </w:pPr>
            <w:r>
              <w:rPr>
                <w:noProof/>
                <w:sz w:val="16"/>
              </w:rPr>
              <w:t>05 02 12 09</w:t>
            </w:r>
          </w:p>
        </w:tc>
        <w:tc>
          <w:tcPr>
            <w:tcW w:w="4536" w:type="dxa"/>
            <w:shd w:val="clear" w:color="auto" w:fill="auto"/>
          </w:tcPr>
          <w:p>
            <w:pPr>
              <w:spacing w:before="30" w:after="30"/>
              <w:jc w:val="both"/>
              <w:rPr>
                <w:noProof/>
                <w:sz w:val="16"/>
                <w:szCs w:val="16"/>
              </w:rPr>
            </w:pPr>
            <w:r>
              <w:rPr>
                <w:noProof/>
                <w:sz w:val="16"/>
              </w:rPr>
              <w:t>Разпределение на млечни продукти като спешна реакция на хуманитарните кризи</w:t>
            </w:r>
          </w:p>
        </w:tc>
        <w:tc>
          <w:tcPr>
            <w:tcW w:w="3403" w:type="dxa"/>
            <w:shd w:val="clear" w:color="auto" w:fill="auto"/>
          </w:tcPr>
          <w:p>
            <w:pPr>
              <w:spacing w:before="30" w:after="30"/>
              <w:jc w:val="both"/>
              <w:rPr>
                <w:noProof/>
                <w:sz w:val="16"/>
                <w:szCs w:val="16"/>
              </w:rPr>
            </w:pPr>
            <w:r>
              <w:rPr>
                <w:noProof/>
                <w:sz w:val="16"/>
              </w:rPr>
              <w:t>Създаване на нова позиция за финансиране на част от спешните мерки, свързани със сектора на млечните продукти</w:t>
            </w:r>
          </w:p>
        </w:tc>
      </w:tr>
      <w:tr>
        <w:tc>
          <w:tcPr>
            <w:tcW w:w="1275" w:type="dxa"/>
            <w:shd w:val="clear" w:color="auto" w:fill="auto"/>
          </w:tcPr>
          <w:p>
            <w:pPr>
              <w:spacing w:before="30" w:after="30"/>
              <w:jc w:val="both"/>
              <w:rPr>
                <w:noProof/>
                <w:sz w:val="16"/>
                <w:szCs w:val="16"/>
              </w:rPr>
            </w:pPr>
            <w:r>
              <w:rPr>
                <w:noProof/>
                <w:sz w:val="16"/>
              </w:rPr>
              <w:t>05 03</w:t>
            </w:r>
          </w:p>
        </w:tc>
        <w:tc>
          <w:tcPr>
            <w:tcW w:w="4536" w:type="dxa"/>
            <w:shd w:val="clear" w:color="auto" w:fill="auto"/>
          </w:tcPr>
          <w:p>
            <w:pPr>
              <w:spacing w:before="30" w:after="30"/>
              <w:jc w:val="both"/>
              <w:rPr>
                <w:noProof/>
                <w:sz w:val="16"/>
                <w:szCs w:val="16"/>
              </w:rPr>
            </w:pPr>
            <w:r>
              <w:rPr>
                <w:noProof/>
                <w:sz w:val="16"/>
              </w:rPr>
              <w:t>Преки плащания, предназначени за подпомагане на доходите на земеделските стопанства и ограничаване на тяхната променливост, както и за изпълнение на целите, свързани с околната среда и климата</w:t>
            </w:r>
          </w:p>
        </w:tc>
        <w:tc>
          <w:tcPr>
            <w:tcW w:w="3403" w:type="dxa"/>
            <w:shd w:val="clear" w:color="auto" w:fill="auto"/>
          </w:tcPr>
          <w:p>
            <w:pPr>
              <w:spacing w:before="30" w:after="30"/>
              <w:jc w:val="both"/>
              <w:rPr>
                <w:noProof/>
                <w:sz w:val="16"/>
                <w:szCs w:val="16"/>
              </w:rPr>
            </w:pPr>
            <w:r>
              <w:rPr>
                <w:noProof/>
                <w:sz w:val="16"/>
              </w:rPr>
              <w:t>Актуализиране на стойности на целевите приходи</w:t>
            </w:r>
          </w:p>
        </w:tc>
      </w:tr>
      <w:tr>
        <w:tc>
          <w:tcPr>
            <w:tcW w:w="1275" w:type="dxa"/>
            <w:shd w:val="clear" w:color="auto" w:fill="auto"/>
          </w:tcPr>
          <w:p>
            <w:pPr>
              <w:spacing w:before="30" w:after="30"/>
              <w:jc w:val="both"/>
              <w:rPr>
                <w:noProof/>
                <w:sz w:val="16"/>
                <w:szCs w:val="16"/>
              </w:rPr>
            </w:pPr>
            <w:r>
              <w:rPr>
                <w:noProof/>
                <w:sz w:val="16"/>
              </w:rPr>
              <w:t>11 03 01</w:t>
            </w:r>
          </w:p>
        </w:tc>
        <w:tc>
          <w:tcPr>
            <w:tcW w:w="4536" w:type="dxa"/>
            <w:shd w:val="clear" w:color="auto" w:fill="auto"/>
          </w:tcPr>
          <w:p>
            <w:pPr>
              <w:spacing w:before="30" w:after="30"/>
              <w:jc w:val="both"/>
              <w:rPr>
                <w:noProof/>
                <w:sz w:val="16"/>
                <w:szCs w:val="16"/>
              </w:rPr>
            </w:pPr>
            <w:r>
              <w:rPr>
                <w:noProof/>
                <w:sz w:val="16"/>
              </w:rPr>
              <w:t>Споразумения за партньорство в областта на устойчивото рибарство</w:t>
            </w:r>
          </w:p>
        </w:tc>
        <w:tc>
          <w:tcPr>
            <w:tcW w:w="3403" w:type="dxa"/>
            <w:shd w:val="clear" w:color="auto" w:fill="auto"/>
          </w:tcPr>
          <w:p>
            <w:pPr>
              <w:spacing w:before="30" w:after="30"/>
              <w:jc w:val="both"/>
              <w:rPr>
                <w:noProof/>
                <w:sz w:val="16"/>
                <w:szCs w:val="16"/>
              </w:rPr>
            </w:pPr>
            <w:r>
              <w:rPr>
                <w:noProof/>
                <w:sz w:val="16"/>
              </w:rPr>
              <w:t>Промяна в бюджетните забележки: таблица</w:t>
            </w:r>
          </w:p>
        </w:tc>
      </w:tr>
      <w:tr>
        <w:tc>
          <w:tcPr>
            <w:tcW w:w="9214" w:type="dxa"/>
            <w:gridSpan w:val="3"/>
            <w:shd w:val="clear" w:color="auto" w:fill="D9D9D9"/>
          </w:tcPr>
          <w:p>
            <w:pPr>
              <w:spacing w:before="30" w:after="30"/>
              <w:jc w:val="both"/>
              <w:rPr>
                <w:b/>
                <w:noProof/>
                <w:sz w:val="16"/>
                <w:szCs w:val="16"/>
              </w:rPr>
            </w:pPr>
            <w:r>
              <w:rPr>
                <w:b/>
                <w:noProof/>
                <w:sz w:val="16"/>
              </w:rPr>
              <w:t>Приходи</w:t>
            </w:r>
          </w:p>
        </w:tc>
      </w:tr>
      <w:tr>
        <w:tc>
          <w:tcPr>
            <w:tcW w:w="1275" w:type="dxa"/>
            <w:shd w:val="clear" w:color="auto" w:fill="auto"/>
          </w:tcPr>
          <w:p>
            <w:pPr>
              <w:spacing w:before="30" w:after="30"/>
              <w:jc w:val="both"/>
              <w:rPr>
                <w:noProof/>
                <w:sz w:val="16"/>
                <w:szCs w:val="16"/>
              </w:rPr>
            </w:pPr>
            <w:r>
              <w:rPr>
                <w:noProof/>
                <w:sz w:val="16"/>
              </w:rPr>
              <w:t>6 7 0 1</w:t>
            </w:r>
          </w:p>
        </w:tc>
        <w:tc>
          <w:tcPr>
            <w:tcW w:w="4536" w:type="dxa"/>
            <w:shd w:val="clear" w:color="auto" w:fill="auto"/>
          </w:tcPr>
          <w:p>
            <w:pPr>
              <w:spacing w:before="30" w:after="30"/>
              <w:jc w:val="both"/>
              <w:rPr>
                <w:noProof/>
                <w:sz w:val="16"/>
                <w:szCs w:val="16"/>
              </w:rPr>
            </w:pPr>
            <w:r>
              <w:rPr>
                <w:noProof/>
                <w:sz w:val="16"/>
              </w:rPr>
              <w:t>Уравняване на сметки на ЕФГЗ — Целеви приходи</w:t>
            </w:r>
          </w:p>
        </w:tc>
        <w:tc>
          <w:tcPr>
            <w:tcW w:w="3403" w:type="dxa"/>
            <w:shd w:val="clear" w:color="auto" w:fill="auto"/>
          </w:tcPr>
          <w:p>
            <w:pPr>
              <w:spacing w:before="30" w:after="30"/>
              <w:jc w:val="both"/>
              <w:rPr>
                <w:noProof/>
                <w:sz w:val="16"/>
                <w:szCs w:val="16"/>
              </w:rPr>
            </w:pPr>
            <w:r>
              <w:rPr>
                <w:noProof/>
                <w:sz w:val="16"/>
              </w:rPr>
              <w:t>Актуализиране на стойности на целевите приходи</w:t>
            </w:r>
          </w:p>
        </w:tc>
      </w:tr>
      <w:tr>
        <w:tc>
          <w:tcPr>
            <w:tcW w:w="1275" w:type="dxa"/>
            <w:shd w:val="clear" w:color="auto" w:fill="auto"/>
          </w:tcPr>
          <w:p>
            <w:pPr>
              <w:spacing w:before="30" w:after="30"/>
              <w:jc w:val="both"/>
              <w:rPr>
                <w:noProof/>
                <w:sz w:val="16"/>
                <w:szCs w:val="16"/>
              </w:rPr>
            </w:pPr>
            <w:r>
              <w:rPr>
                <w:noProof/>
                <w:sz w:val="16"/>
              </w:rPr>
              <w:t>6 7 0 2</w:t>
            </w:r>
          </w:p>
        </w:tc>
        <w:tc>
          <w:tcPr>
            <w:tcW w:w="4536" w:type="dxa"/>
            <w:shd w:val="clear" w:color="auto" w:fill="auto"/>
          </w:tcPr>
          <w:p>
            <w:pPr>
              <w:spacing w:before="30" w:after="30"/>
              <w:jc w:val="both"/>
              <w:rPr>
                <w:noProof/>
                <w:sz w:val="16"/>
                <w:szCs w:val="16"/>
              </w:rPr>
            </w:pPr>
            <w:r>
              <w:rPr>
                <w:noProof/>
                <w:sz w:val="16"/>
              </w:rPr>
              <w:t>Нередности във връзка с ЕФГЗ — Целеви приходи</w:t>
            </w:r>
          </w:p>
        </w:tc>
        <w:tc>
          <w:tcPr>
            <w:tcW w:w="3403" w:type="dxa"/>
            <w:shd w:val="clear" w:color="auto" w:fill="auto"/>
          </w:tcPr>
          <w:p>
            <w:pPr>
              <w:spacing w:before="30" w:after="30"/>
              <w:jc w:val="both"/>
              <w:rPr>
                <w:noProof/>
                <w:sz w:val="16"/>
                <w:szCs w:val="16"/>
              </w:rPr>
            </w:pPr>
            <w:r>
              <w:rPr>
                <w:noProof/>
                <w:sz w:val="16"/>
              </w:rPr>
              <w:t>Актуализиране на стойности на целевите приходи</w:t>
            </w:r>
          </w:p>
        </w:tc>
      </w:tr>
      <w:tr>
        <w:tc>
          <w:tcPr>
            <w:tcW w:w="1275" w:type="dxa"/>
            <w:shd w:val="clear" w:color="auto" w:fill="auto"/>
          </w:tcPr>
          <w:p>
            <w:pPr>
              <w:spacing w:before="30" w:after="30"/>
              <w:jc w:val="both"/>
              <w:rPr>
                <w:noProof/>
                <w:sz w:val="16"/>
                <w:szCs w:val="16"/>
              </w:rPr>
            </w:pPr>
            <w:r>
              <w:rPr>
                <w:noProof/>
                <w:sz w:val="16"/>
              </w:rPr>
              <w:t>6 7 0 3</w:t>
            </w:r>
          </w:p>
        </w:tc>
        <w:tc>
          <w:tcPr>
            <w:tcW w:w="4536" w:type="dxa"/>
            <w:shd w:val="clear" w:color="auto" w:fill="auto"/>
          </w:tcPr>
          <w:p>
            <w:pPr>
              <w:spacing w:before="30" w:after="30"/>
              <w:jc w:val="both"/>
              <w:rPr>
                <w:noProof/>
                <w:sz w:val="16"/>
                <w:szCs w:val="16"/>
              </w:rPr>
            </w:pPr>
            <w:r>
              <w:rPr>
                <w:noProof/>
                <w:sz w:val="16"/>
              </w:rPr>
              <w:t>Допълнителен налог от производителите на мляко — Целеви приходи</w:t>
            </w:r>
          </w:p>
        </w:tc>
        <w:tc>
          <w:tcPr>
            <w:tcW w:w="3403" w:type="dxa"/>
            <w:shd w:val="clear" w:color="auto" w:fill="auto"/>
          </w:tcPr>
          <w:p>
            <w:pPr>
              <w:spacing w:before="30" w:after="30"/>
              <w:jc w:val="both"/>
              <w:rPr>
                <w:noProof/>
                <w:sz w:val="16"/>
                <w:szCs w:val="16"/>
              </w:rPr>
            </w:pPr>
            <w:r>
              <w:rPr>
                <w:noProof/>
                <w:sz w:val="16"/>
              </w:rPr>
              <w:t>Актуализиране на стойности на целевите приходи</w:t>
            </w:r>
          </w:p>
        </w:tc>
      </w:tr>
    </w:tbl>
    <w:p>
      <w:pPr>
        <w:pStyle w:val="ManualHeading1"/>
        <w:numPr>
          <w:ilvl w:val="0"/>
          <w:numId w:val="8"/>
        </w:numPr>
        <w:ind w:left="850" w:hanging="850"/>
        <w:rPr>
          <w:noProof/>
        </w:rPr>
      </w:pPr>
      <w:bookmarkStart w:id="28" w:name="_Toc431481488"/>
      <w:bookmarkStart w:id="29" w:name="_Toc432760505"/>
      <w:r>
        <w:rPr>
          <w:noProof/>
        </w:rPr>
        <w:t>Незабавни мерки за справяне с кризата с бежанците съгласно Европейската програма за миграция</w:t>
      </w:r>
      <w:bookmarkEnd w:id="28"/>
      <w:bookmarkEnd w:id="29"/>
    </w:p>
    <w:p>
      <w:pPr>
        <w:pStyle w:val="ManualHeading2"/>
        <w:numPr>
          <w:ilvl w:val="1"/>
          <w:numId w:val="10"/>
        </w:numPr>
        <w:rPr>
          <w:noProof/>
        </w:rPr>
      </w:pPr>
      <w:bookmarkStart w:id="30" w:name="_Toc431481489"/>
      <w:bookmarkStart w:id="31" w:name="_Toc432760506"/>
      <w:r>
        <w:rPr>
          <w:noProof/>
        </w:rPr>
        <w:t>Въведение</w:t>
      </w:r>
      <w:bookmarkEnd w:id="30"/>
      <w:bookmarkEnd w:id="31"/>
    </w:p>
    <w:p>
      <w:pPr>
        <w:spacing w:before="120" w:after="120"/>
        <w:jc w:val="both"/>
        <w:rPr>
          <w:noProof/>
        </w:rPr>
      </w:pPr>
      <w:r>
        <w:rPr>
          <w:noProof/>
        </w:rPr>
        <w:t xml:space="preserve">На 23 септември 2015 г. Комисията представи </w:t>
      </w:r>
      <w:r>
        <w:rPr>
          <w:i/>
          <w:noProof/>
        </w:rPr>
        <w:t>Съобщение на Комисията до Европейския парламент, Европейския съвет и Съвета „Управление на кризата с бежанците: незабавни оперативни, бюджетни и правни мерки по линия на Европейската програма за миграцията“</w:t>
      </w:r>
      <w:r>
        <w:rPr>
          <w:rStyle w:val="FootnoteReference"/>
          <w:noProof/>
        </w:rPr>
        <w:footnoteReference w:id="14"/>
      </w:r>
      <w:r>
        <w:rPr>
          <w:noProof/>
        </w:rPr>
        <w:t>. С това съобщение се определи набор от приоритетни действия, които трябва да бъдат предприети в рамките на следващите шест месеца, включително адаптациите, които трябва да бъдат направени в бюджета за 2015 г. и в проектобюджета за 2016 г.</w:t>
      </w:r>
    </w:p>
    <w:p>
      <w:pPr>
        <w:pStyle w:val="Text1"/>
        <w:ind w:left="0"/>
        <w:rPr>
          <w:noProof/>
        </w:rPr>
      </w:pPr>
      <w:r>
        <w:rPr>
          <w:noProof/>
        </w:rPr>
        <w:t>На 30 септември 2015 г. Комисията прие проект на коригиращ бюджет 7/2015</w:t>
      </w:r>
      <w:r>
        <w:rPr>
          <w:rStyle w:val="FootnoteReference"/>
          <w:noProof/>
        </w:rPr>
        <w:footnoteReference w:id="15"/>
      </w:r>
      <w:r>
        <w:rPr>
          <w:noProof/>
        </w:rPr>
        <w:t xml:space="preserve">, който включва следните изменения на бюджета за 2015 г.: </w:t>
      </w:r>
    </w:p>
    <w:p>
      <w:pPr>
        <w:pStyle w:val="Text1"/>
        <w:numPr>
          <w:ilvl w:val="0"/>
          <w:numId w:val="11"/>
        </w:numPr>
        <w:rPr>
          <w:noProof/>
        </w:rPr>
      </w:pPr>
      <w:r>
        <w:rPr>
          <w:noProof/>
        </w:rPr>
        <w:t xml:space="preserve">По функция 3: Гражданство и сигурност: Допълнителна спешна помощ по линия на фонд „Убежище, миграция и интеграция“ (ФУМИ) и фонд „Вътрешна сигурност“ (ФВС) за обща сума в размер на 100 млн. EUR под формата на бюджетни кредити за поети задължения; и увеличаване на броя на длъжностите в щатното разписание на FRONTEX (+ 60 длъжности), EASO (+ 30) и EUROPOL (+ 30), за да увеличат те капацитета си на място. </w:t>
      </w:r>
    </w:p>
    <w:p>
      <w:pPr>
        <w:pStyle w:val="Text1"/>
        <w:numPr>
          <w:ilvl w:val="0"/>
          <w:numId w:val="11"/>
        </w:numPr>
        <w:rPr>
          <w:noProof/>
        </w:rPr>
      </w:pPr>
      <w:r>
        <w:rPr>
          <w:noProof/>
        </w:rPr>
        <w:t xml:space="preserve">По функция 4 „Глобална Европа“: Допълнително финансиране за Европейския инструмент за съседство (300 млн. EUR в бюджетни кредити за поети задължения) и увеличение на бюджетните кредити за плащания за хуманитарна помощ в размер на 55,7 млн. EUR чрез преразпределение на средства. </w:t>
      </w:r>
    </w:p>
    <w:p>
      <w:pPr>
        <w:pStyle w:val="Text1"/>
        <w:ind w:left="0"/>
        <w:rPr>
          <w:noProof/>
          <w:spacing w:val="-6"/>
        </w:rPr>
      </w:pPr>
      <w:r>
        <w:rPr>
          <w:noProof/>
          <w:spacing w:val="-6"/>
        </w:rPr>
        <w:t>Успоредно с това Комисията поиска (DEC 32/2015) трансфер на 175 млн. EUR в бюджетни кредити за поети задължения от Резерва за спешна помощ (РСП), за да предостави хуманитарна помощ на страните, даващи подслон на разселени лица, които бягат от конфликта в Сирия.</w:t>
      </w:r>
    </w:p>
    <w:p>
      <w:pPr>
        <w:pStyle w:val="Text1"/>
        <w:ind w:left="0"/>
        <w:rPr>
          <w:noProof/>
        </w:rPr>
      </w:pPr>
      <w:r>
        <w:rPr>
          <w:noProof/>
        </w:rPr>
        <w:t>Настоящото писмо за внасяне на корекции към проектобюджета за 2016 г. се основава и разширява обхвата на мерките, които вече са предложени в проекта за коригиращ бюджет 7/2015 по отношение на спешната помощ и агенциите. Освен това то включва бюджетна подкрепа за 2016 г. във връзка с решенията, взети по отношение на преместването на 160 000 лица от Италия и Гърция. В първоначалният проектобюджет вече бяха включени бюджетни кредити, предназначени за 40 000 от тези 160 000 лица. Предлага се допълнително финансиране от ФУМИ и ФВС с цел укрепване на приемането на лицата и системите за предоставяне на убежище на държавите членки, изправени пред безпрецедентен наплив на мигранти и рязко увеличение на молбите за убежище.</w:t>
      </w:r>
    </w:p>
    <w:p>
      <w:pPr>
        <w:pStyle w:val="Text1"/>
        <w:ind w:left="0"/>
        <w:rPr>
          <w:noProof/>
        </w:rPr>
      </w:pPr>
      <w:r>
        <w:rPr>
          <w:noProof/>
        </w:rPr>
        <w:t>По функция 4 Комисията предлага увеличаване на подкрепата за хуманитарната помощ и за Европейския инструмент за съседство (ЕИС). Накрая, с цел засилване на службите на Комисията, които се занимават непосредствено с дейностите в отговор на бежанската криза, Комисията иска увеличение на бюджетните кредити за административни разходи по бюджетния ред за възнаграждения и командировки.</w:t>
      </w:r>
    </w:p>
    <w:p>
      <w:pPr>
        <w:pStyle w:val="ManualHeading2"/>
        <w:numPr>
          <w:ilvl w:val="1"/>
          <w:numId w:val="10"/>
        </w:numPr>
        <w:rPr>
          <w:noProof/>
        </w:rPr>
      </w:pPr>
      <w:bookmarkStart w:id="32" w:name="_Toc431481490"/>
      <w:bookmarkStart w:id="33" w:name="_Toc432760507"/>
      <w:r>
        <w:rPr>
          <w:noProof/>
        </w:rPr>
        <w:t>Функция 3: Сигурност и гражданство</w:t>
      </w:r>
      <w:bookmarkEnd w:id="32"/>
      <w:bookmarkEnd w:id="33"/>
    </w:p>
    <w:p>
      <w:pPr>
        <w:pStyle w:val="Text1"/>
        <w:ind w:left="0"/>
        <w:rPr>
          <w:noProof/>
        </w:rPr>
      </w:pPr>
      <w:r>
        <w:rPr>
          <w:noProof/>
        </w:rPr>
        <w:t>Допълнителните мерки, предложени с настоящото писмо за внасяне на корекции за 2016 г., са, както следва:</w:t>
      </w:r>
    </w:p>
    <w:p>
      <w:pPr>
        <w:numPr>
          <w:ilvl w:val="0"/>
          <w:numId w:val="12"/>
        </w:numPr>
        <w:spacing w:before="120" w:after="120"/>
        <w:ind w:hanging="720"/>
        <w:jc w:val="both"/>
        <w:rPr>
          <w:noProof/>
        </w:rPr>
      </w:pPr>
      <w:r>
        <w:rPr>
          <w:b/>
          <w:noProof/>
          <w:spacing w:val="-6"/>
        </w:rPr>
        <w:t>Спешно подпомагане:</w:t>
      </w:r>
      <w:r>
        <w:rPr>
          <w:noProof/>
          <w:spacing w:val="-6"/>
        </w:rPr>
        <w:t xml:space="preserve"> въз основа на искането за допълнителна спешна помощ за 2015 г., което се съдържа в ПКБ № 7/2015 (100 млн. EUR), за 2016</w:t>
      </w:r>
      <w:r>
        <w:rPr>
          <w:noProof/>
          <w:spacing w:val="-6"/>
          <w:lang w:val="en-GB"/>
        </w:rPr>
        <w:t> </w:t>
      </w:r>
      <w:r>
        <w:rPr>
          <w:noProof/>
          <w:spacing w:val="-6"/>
        </w:rPr>
        <w:t>г. се предлага допълнително увеличение в рамките на ФУМИ (60 млн. EUR) и на ФВС (34 млн. EUR). Допълнителната сума ще служи основно за удовлетворяване на исканията, които са вече получени или се очаква да бъдат получени през годината. Това също ще позволи на Комисията да разработи координиран подход заедно с Италия и Гърция относно структурирани спешни искания за привеждането в действие на екипите за подпомагане на мигрантите и на схеми за преместване, както и за посрещане на постоянно нарастващия приток на мигранти</w:t>
      </w:r>
      <w:r>
        <w:rPr>
          <w:noProof/>
        </w:rPr>
        <w:t>.</w:t>
      </w:r>
      <w:r>
        <w:rPr>
          <w:noProof/>
        </w:rPr>
        <w:br/>
      </w:r>
      <w:r>
        <w:rPr>
          <w:noProof/>
        </w:rPr>
        <w:br/>
        <w:t>Допълнителната спешна помощ за 2015 и 2016 г. (съответно 100 и 95 млн. EUR в бюджетни кредити за поети задължения) изисква предварително финансиране в размер на 80</w:t>
      </w:r>
      <w:r>
        <w:rPr>
          <w:noProof/>
          <w:lang w:val="en-GB"/>
        </w:rPr>
        <w:t> </w:t>
      </w:r>
      <w:r>
        <w:rPr>
          <w:noProof/>
        </w:rPr>
        <w:t>% или сума от 155,2 млн. EUR в бюджетни кредити за плащания през 2016</w:t>
      </w:r>
      <w:r>
        <w:rPr>
          <w:noProof/>
          <w:lang w:val="en-GB"/>
        </w:rPr>
        <w:t> </w:t>
      </w:r>
      <w:r>
        <w:rPr>
          <w:noProof/>
        </w:rPr>
        <w:t xml:space="preserve">г. </w:t>
      </w:r>
    </w:p>
    <w:p>
      <w:pPr>
        <w:numPr>
          <w:ilvl w:val="0"/>
          <w:numId w:val="12"/>
        </w:numPr>
        <w:spacing w:before="120" w:after="120"/>
        <w:ind w:hanging="720"/>
        <w:jc w:val="both"/>
        <w:rPr>
          <w:noProof/>
        </w:rPr>
      </w:pPr>
      <w:r>
        <w:rPr>
          <w:b/>
          <w:noProof/>
        </w:rPr>
        <w:t>Агенции:</w:t>
      </w:r>
      <w:r>
        <w:rPr>
          <w:noProof/>
        </w:rPr>
        <w:t xml:space="preserve"> Агенциите на ЕС, работещи в свързани с миграцията области, трябва да увеличат капацитета си, тъй като сега от тях се иска да бъдат далеч по-активни по места, отколкото беше предвидено първоначално. Поради това Комисията предлага да се запази увеличената численост на персонала на трите основни агенции на ЕС (FRONTEX, EASO и EUROPOL), предложена в ПКБ № 7/2015, както и да се укрепи оперативният капацитет на FRONTEX в областта на връщането на бежанците и сътрудничеството в „горещите точки“.</w:t>
      </w:r>
    </w:p>
    <w:p>
      <w:pPr>
        <w:numPr>
          <w:ilvl w:val="1"/>
          <w:numId w:val="12"/>
        </w:numPr>
        <w:spacing w:before="120" w:after="120"/>
        <w:ind w:left="1134" w:hanging="425"/>
        <w:jc w:val="both"/>
        <w:rPr>
          <w:noProof/>
        </w:rPr>
      </w:pPr>
      <w:r>
        <w:rPr>
          <w:noProof/>
        </w:rPr>
        <w:t>Човешки ресурси: С ПКБ № 7/2015 се предлага увеличение на човешките ресурси на трите основни агенции на ЕС със 120 допълнителни длъжности в щатното разписание, от които 60 за FRONTEX, 30 за EASO и 30 за EUROPOL. Предлага се допълнителните 120 длъжности, които ще бъдат запазени през 2016 г., да се финансират на годишна основа (12 месеца). Това изисква 15,6 млн. EUR в бюджетни кредити за поети задължения и за плащания.</w:t>
      </w:r>
    </w:p>
    <w:p>
      <w:pPr>
        <w:numPr>
          <w:ilvl w:val="1"/>
          <w:numId w:val="12"/>
        </w:numPr>
        <w:spacing w:before="120" w:after="120"/>
        <w:ind w:left="1134" w:hanging="425"/>
        <w:jc w:val="both"/>
        <w:rPr>
          <w:noProof/>
        </w:rPr>
      </w:pPr>
      <w:r>
        <w:rPr>
          <w:noProof/>
        </w:rPr>
        <w:t>Операции: предлага се да бъде подсилен оперативният капацитет на FRONTEX в областта на връщането на бежанците и сътрудничеството в „горещите точки“ със 70 млн. EUR в бюджетни кредити за поети задължения и за плащания:</w:t>
      </w:r>
    </w:p>
    <w:p>
      <w:pPr>
        <w:numPr>
          <w:ilvl w:val="2"/>
          <w:numId w:val="12"/>
        </w:numPr>
        <w:spacing w:before="120" w:after="120"/>
        <w:ind w:left="1446" w:hanging="170"/>
        <w:jc w:val="both"/>
        <w:rPr>
          <w:noProof/>
        </w:rPr>
      </w:pPr>
      <w:r>
        <w:rPr>
          <w:noProof/>
        </w:rPr>
        <w:t>Връщане на бежанците: 50 млн. EUR за подкрепа на връщането на още 20 000 лица, които не попадат в обхвата на международната закрила, със съпътстващи мерки, като например обучение и изграждане на капацитет, като се съсредоточи вниманието върху проблемните въпроси, потребностите и други значими фактори за успешното връщане по един по-бърз начин.</w:t>
      </w:r>
    </w:p>
    <w:p>
      <w:pPr>
        <w:numPr>
          <w:ilvl w:val="2"/>
          <w:numId w:val="12"/>
        </w:numPr>
        <w:spacing w:before="120" w:after="120"/>
        <w:ind w:left="1446" w:hanging="170"/>
        <w:jc w:val="both"/>
        <w:rPr>
          <w:noProof/>
        </w:rPr>
      </w:pPr>
      <w:r>
        <w:rPr>
          <w:noProof/>
        </w:rPr>
        <w:t>„Горещи точки“: 20 млн. EUR за подобряване на ефективността при прилагането на концепцията за „горещите точки“, по-специално за оперативни дейности, като например: а) разполагане на мобилни офиси в районите на „горещите точки“ и местата на пристигане; б) предоставяне на добра свързаност за предаване на цифрови данни (пръстови отпечатъци); и в) разходи за логистика и оборудване за регионалните специални сили за укрепване на капацитета за идентификация, за да се ускори процесът на регистриране на новопристигналите мигранти.</w:t>
      </w:r>
    </w:p>
    <w:p>
      <w:pPr>
        <w:numPr>
          <w:ilvl w:val="0"/>
          <w:numId w:val="12"/>
        </w:numPr>
        <w:spacing w:before="120" w:after="120"/>
        <w:ind w:hanging="720"/>
        <w:jc w:val="both"/>
        <w:rPr>
          <w:noProof/>
        </w:rPr>
      </w:pPr>
      <w:r>
        <w:rPr>
          <w:b/>
          <w:noProof/>
        </w:rPr>
        <w:t>Преместване:</w:t>
      </w:r>
      <w:r>
        <w:rPr>
          <w:noProof/>
        </w:rPr>
        <w:t xml:space="preserve"> на 14 и 21 септември 2015 г. Съветът прие две решения за преместване, обхващащи съответно 40 000 и 120 000 лица. За да улесни интегрирането на новите схеми в националните програми, Комисията предлага привеждане в съответствие бюджетните кредити за поети задължения за първото решение за преместване към второто такова решение, както е посочено по-долу:</w:t>
      </w:r>
    </w:p>
    <w:p>
      <w:pPr>
        <w:numPr>
          <w:ilvl w:val="1"/>
          <w:numId w:val="12"/>
        </w:numPr>
        <w:spacing w:before="120" w:after="120"/>
        <w:ind w:left="1134" w:hanging="425"/>
        <w:jc w:val="both"/>
        <w:rPr>
          <w:noProof/>
        </w:rPr>
      </w:pPr>
      <w:r>
        <w:rPr>
          <w:noProof/>
        </w:rPr>
        <w:t>Втори пакет за преместване (120 000 лица): решението за преместването на 120 000 лица от Италия и Гърция изисква обща сума в размер на 780 млн. EUR, която да бъде включена в настоящото писмо за внасяне на корекции с цел покриване на разходите за преместване и прехвърляне, както следва:</w:t>
      </w:r>
    </w:p>
    <w:p>
      <w:pPr>
        <w:numPr>
          <w:ilvl w:val="2"/>
          <w:numId w:val="12"/>
        </w:numPr>
        <w:spacing w:before="120" w:after="120"/>
        <w:ind w:left="1446" w:hanging="170"/>
        <w:jc w:val="both"/>
        <w:rPr>
          <w:noProof/>
        </w:rPr>
      </w:pPr>
      <w:r>
        <w:rPr>
          <w:noProof/>
        </w:rPr>
        <w:t>Преместване: приемащите държави членки имат право на еднократна сума от 6 000 EUR за лице, което подлежи на преместване. Следователно финансовото отражение възлиза на 720 млн. EUR (120 000 х 6 000 EUR).</w:t>
      </w:r>
    </w:p>
    <w:p>
      <w:pPr>
        <w:numPr>
          <w:ilvl w:val="2"/>
          <w:numId w:val="12"/>
        </w:numPr>
        <w:spacing w:before="120" w:after="120"/>
        <w:ind w:left="1446" w:hanging="170"/>
        <w:jc w:val="both"/>
        <w:rPr>
          <w:noProof/>
        </w:rPr>
      </w:pPr>
      <w:r>
        <w:rPr>
          <w:noProof/>
          <w:spacing w:val="-6"/>
        </w:rPr>
        <w:t>Трансфер: Италия и Гърция ще получат еднократна сума в размер от 500 EUR за лице за покриване на разходите по прехвърлянето. За това се изисква сума в размер на 60 млн.</w:t>
      </w:r>
      <w:r>
        <w:rPr>
          <w:noProof/>
          <w:spacing w:val="-6"/>
          <w:lang w:val="en-GB"/>
        </w:rPr>
        <w:t> </w:t>
      </w:r>
      <w:r>
        <w:rPr>
          <w:noProof/>
          <w:spacing w:val="-6"/>
        </w:rPr>
        <w:t>EUR</w:t>
      </w:r>
      <w:r>
        <w:rPr>
          <w:noProof/>
          <w:spacing w:val="-6"/>
          <w:lang w:val="en-GB"/>
        </w:rPr>
        <w:t> </w:t>
      </w:r>
      <w:r>
        <w:rPr>
          <w:noProof/>
          <w:spacing w:val="-6"/>
        </w:rPr>
        <w:t>(120 000</w:t>
      </w:r>
      <w:r>
        <w:rPr>
          <w:noProof/>
          <w:spacing w:val="-6"/>
          <w:lang w:val="en-GB"/>
        </w:rPr>
        <w:t> </w:t>
      </w:r>
      <w:r>
        <w:rPr>
          <w:noProof/>
          <w:spacing w:val="-6"/>
        </w:rPr>
        <w:t>х</w:t>
      </w:r>
      <w:r>
        <w:rPr>
          <w:noProof/>
          <w:spacing w:val="-6"/>
          <w:lang w:val="en-GB"/>
        </w:rPr>
        <w:t> </w:t>
      </w:r>
      <w:r>
        <w:rPr>
          <w:noProof/>
          <w:spacing w:val="-6"/>
        </w:rPr>
        <w:t>6 000</w:t>
      </w:r>
      <w:r>
        <w:rPr>
          <w:noProof/>
          <w:spacing w:val="-6"/>
          <w:lang w:val="en-GB"/>
        </w:rPr>
        <w:t> </w:t>
      </w:r>
      <w:r>
        <w:rPr>
          <w:noProof/>
          <w:spacing w:val="-6"/>
        </w:rPr>
        <w:t xml:space="preserve">EUR). </w:t>
      </w:r>
      <w:r>
        <w:rPr>
          <w:noProof/>
        </w:rPr>
        <w:br/>
      </w:r>
      <w:r>
        <w:rPr>
          <w:noProof/>
        </w:rPr>
        <w:br/>
        <w:t>Приемащите държави членки ще предоставят специфичен дял на предварителното финансиране в размер на 50 % чрез паричните потоци, изисквани за незабавно започване на действия по преместването. Следователно сумата от 390 млн. EUR в бюджетни кредити за плащания е необходима през 2016</w:t>
      </w:r>
      <w:r>
        <w:rPr>
          <w:noProof/>
          <w:lang w:val="en-GB"/>
        </w:rPr>
        <w:t> </w:t>
      </w:r>
      <w:r>
        <w:rPr>
          <w:noProof/>
        </w:rPr>
        <w:t>г.</w:t>
      </w:r>
    </w:p>
    <w:p>
      <w:pPr>
        <w:numPr>
          <w:ilvl w:val="1"/>
          <w:numId w:val="12"/>
        </w:numPr>
        <w:spacing w:before="120" w:after="120"/>
        <w:ind w:left="1134" w:hanging="425"/>
        <w:jc w:val="both"/>
        <w:rPr>
          <w:noProof/>
        </w:rPr>
      </w:pPr>
      <w:r>
        <w:rPr>
          <w:noProof/>
        </w:rPr>
        <w:t>Първи пакет за преместване (40 000 лица): Привеждането в съответствие на първия пакет за преместване пакет към втория такъв води до увеличение на бюджетните кредити за поети задължения със 110 млн. EUR и на бюджетните кредити за плащания с 9,9 млн. EUR:</w:t>
      </w:r>
    </w:p>
    <w:p>
      <w:pPr>
        <w:numPr>
          <w:ilvl w:val="2"/>
          <w:numId w:val="12"/>
        </w:numPr>
        <w:spacing w:before="120" w:after="120"/>
        <w:ind w:left="1446" w:hanging="170"/>
        <w:jc w:val="both"/>
        <w:rPr>
          <w:noProof/>
        </w:rPr>
      </w:pPr>
      <w:r>
        <w:rPr>
          <w:noProof/>
        </w:rPr>
        <w:t>Първоначалното предложение (от месец май): приложението на Комисията от 27 май 2015 г. включваше еднократна сума от 6 000 EUR за лице, което подлежи на преместване. Въпреки това, първоначално не бяха предвидени еднократни суми, с които да се покрият разходите по прехвърлянето на Италия и Гърция. Следователно финансовото отражение на предложението от месец май възлиза на 240 млн. EUR (120 000 х 6 000 EUR). По това време свързаните с това бюджетни кредити за поети задължения бяха планирани да бъдат отпуснати за период от 24 месеца, от които 12 млн. EUR през 2015 г., 150 млн. EUR през 2016 г. и 78 млн. EUR през 2017 г.</w:t>
      </w:r>
    </w:p>
    <w:p>
      <w:pPr>
        <w:numPr>
          <w:ilvl w:val="2"/>
          <w:numId w:val="12"/>
        </w:numPr>
        <w:spacing w:before="120" w:after="120"/>
        <w:ind w:left="1446" w:hanging="170"/>
        <w:jc w:val="both"/>
        <w:rPr>
          <w:noProof/>
        </w:rPr>
      </w:pPr>
      <w:r>
        <w:rPr>
          <w:noProof/>
        </w:rPr>
        <w:t>Привеждане в съответствие: за да се приведат в съответствие двете схеми за преместване са необходими допълнителни 110 млн. EUR под формата на бюджетни кредити за поети задължения през 2016 г.: сумата от 90 млн. EUR, която първоначално не е била включена в разходите за 2016 г., и от 20 млн. EUR за предоставяне на Италия и Гърция на еднократна сума от 500 EUR за лице за покриване на разходите за прехвърляне (40 000 x 500 EUR). Общото въздействие върху бюджета в поети задължения ще бъде до 260 млн. EUR през 2016 г., от които 150 млн. EUR вече бяха предложени в проектобюджета.</w:t>
      </w:r>
      <w:r>
        <w:rPr>
          <w:noProof/>
        </w:rPr>
        <w:tab/>
      </w:r>
      <w:r>
        <w:rPr>
          <w:noProof/>
        </w:rPr>
        <w:br/>
      </w:r>
      <w:r>
        <w:rPr>
          <w:noProof/>
        </w:rPr>
        <w:br/>
        <w:t>Бюджетните кредити за плащания за първия пакет за преместване се базират на редовните дялове на предварителното финансиране, посочени в т.нар. „хоризонтален“ Регламент (ЕС) № 514/2014 за определяне на общи разпоредби за ФУМИ и за ФВС</w:t>
      </w:r>
      <w:r>
        <w:rPr>
          <w:rStyle w:val="FootnoteReference"/>
          <w:noProof/>
        </w:rPr>
        <w:footnoteReference w:id="16"/>
      </w:r>
      <w:r>
        <w:rPr>
          <w:noProof/>
        </w:rPr>
        <w:t>, т.е. 5 % дял на предварително финансиране плюс 4 % първоначално предварително финансиране. За допълване на бюджетните кредити за поети задължения (+ 110 млн. EUR през 2016 г.) следователно се изискват допълнителни бюджетни кредити за плащания в размер на 9,9 млн. EUR.</w:t>
      </w:r>
    </w:p>
    <w:p>
      <w:pPr>
        <w:numPr>
          <w:ilvl w:val="0"/>
          <w:numId w:val="12"/>
        </w:numPr>
        <w:spacing w:before="120" w:after="120"/>
        <w:ind w:hanging="720"/>
        <w:jc w:val="both"/>
        <w:rPr>
          <w:noProof/>
        </w:rPr>
      </w:pPr>
      <w:r>
        <w:rPr>
          <w:b/>
          <w:noProof/>
        </w:rPr>
        <w:t>Допълване на средствата за ФУМИ и ФВС в допълнение към спешното подпомагане:</w:t>
      </w:r>
      <w:r>
        <w:rPr>
          <w:noProof/>
        </w:rPr>
        <w:t xml:space="preserve"> най-накрая, предлага се да се допълни финансирането за ФУМИ(Убежище) (+ 190 млн. EUR), ФУМИ(Връщане) (+ 38 млн. EUR) и ФВС (Граници) (+ 82,4 млн. EUR). Тези допълнителни средства ще позволят укрепването на системите за убежище в държавите членки, изправени пред безпрецедентен наплив на мигранти и рязко увеличение на молбите за убежище, и ще бъдат насочени за удовлетворяване на спешните и специфични нужди, възникнали в резултат на изключителен миграционен натиск, изискващ спешни действия по външните граници.</w:t>
      </w:r>
    </w:p>
    <w:p>
      <w:pPr>
        <w:numPr>
          <w:ilvl w:val="1"/>
          <w:numId w:val="12"/>
        </w:numPr>
        <w:spacing w:before="120" w:after="120"/>
        <w:ind w:left="1134" w:hanging="425"/>
        <w:jc w:val="both"/>
        <w:rPr>
          <w:noProof/>
        </w:rPr>
      </w:pPr>
      <w:r>
        <w:rPr>
          <w:noProof/>
        </w:rPr>
        <w:t xml:space="preserve">ФУМИ: допълнителното финансиране по линия на ФУМИ ще бъде използвано от държавите членки за повече структурни средносрочни действия в областта на системите за приемането, настаняването и предоставянето на убежище, както и за увеличаване на техния капацитет за връщане на бежанците. </w:t>
      </w:r>
    </w:p>
    <w:p>
      <w:pPr>
        <w:numPr>
          <w:ilvl w:val="1"/>
          <w:numId w:val="12"/>
        </w:numPr>
        <w:spacing w:before="120" w:after="120"/>
        <w:ind w:left="1134" w:hanging="425"/>
        <w:jc w:val="both"/>
        <w:rPr>
          <w:noProof/>
        </w:rPr>
      </w:pPr>
      <w:r>
        <w:rPr>
          <w:noProof/>
        </w:rPr>
        <w:t xml:space="preserve"> ФВС: допълнителното финансиране по линия на фонд „Вътрешна сигурност“ също ще допринесе за засилване на дейностите за първоначално приемане, като например определяне, първа медицинска помощ, закупуване на оборудване в контекста на гранични проверки и транспортиране на мигранти в контекста на процеса на скрининг. </w:t>
      </w:r>
    </w:p>
    <w:p>
      <w:pPr>
        <w:spacing w:before="120" w:after="120"/>
        <w:ind w:left="709"/>
        <w:jc w:val="both"/>
        <w:rPr>
          <w:noProof/>
        </w:rPr>
      </w:pPr>
      <w:r>
        <w:rPr>
          <w:noProof/>
        </w:rPr>
        <w:t>Допълнителните бюджетни кредити за поети задължения в размер на 310,4 млн. EUR ще увеличат бюджетните кредити за плащания, необходими за 2016 г. със 138,1 млн. EUR. Това дава възможност за необходимата гъвкавост при предоставянето на допълнително финансиране, така че извънредните ситуации, които биха могли да възникнат през 2016 г., да могат да бъдат разгледани по подходящ начин.</w:t>
      </w:r>
    </w:p>
    <w:p>
      <w:pPr>
        <w:pStyle w:val="Text1"/>
        <w:ind w:left="0"/>
        <w:rPr>
          <w:noProof/>
        </w:rPr>
      </w:pPr>
      <w:r>
        <w:rPr>
          <w:noProof/>
        </w:rPr>
        <w:t>Както е посочено по-горе, предложените мерки за 2016 г. изискват увеличение от 1 380 млн. EUR в бюджетни кредити за поети задължения и 778,8 млн. EUR в бюджетни кредити за плащания. Съответната разбивка по бюджетни редове е посочена в таблицата по-долу:</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671"/>
        <w:gridCol w:w="1701"/>
        <w:gridCol w:w="1701"/>
      </w:tblGrid>
      <w:tr>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Бюджетен ред</w:t>
            </w:r>
          </w:p>
        </w:tc>
        <w:tc>
          <w:tcPr>
            <w:tcW w:w="567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Име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Бюджетни кредити за плащания</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18 02 01 01</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Подкрепа за управлението на границата и обща визова политика за улесняване на законното пътуване</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116 400 000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79 868 000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18 02 03</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Европейска агенция за управление на оперативното сътрудничество по външните граници (FRONTEX)</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77 800 000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77 800 000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18 02 04</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Европейска полицейска служба (ЕВРОПОЛ)</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18 03 01 01</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1 140 000 000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596 450 000</w:t>
            </w:r>
          </w:p>
        </w:tc>
      </w:tr>
      <w:tr>
        <w:tc>
          <w:tcPr>
            <w:tcW w:w="1277"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18 03 01 02</w:t>
            </w:r>
          </w:p>
        </w:tc>
        <w:tc>
          <w:tcPr>
            <w:tcW w:w="5671"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Подкрепяне на законната миграция към Съюза, насърчаване на ефективното интегриране на граждани на трети държави и засилване на справедливите и ефикасни стратегии за връщане</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38 000 000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16 910 000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18 03 02</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Европейска служба за подкрепа в областта на убежището (EASO)</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r>
      <w:tr>
        <w:tc>
          <w:tcPr>
            <w:tcW w:w="6948" w:type="dxa"/>
            <w:gridSpan w:val="2"/>
            <w:tcBorders>
              <w:top w:val="single" w:sz="4" w:space="0" w:color="auto"/>
              <w:left w:val="single" w:sz="4" w:space="0" w:color="auto"/>
              <w:bottom w:val="single" w:sz="4" w:space="0" w:color="auto"/>
              <w:right w:val="single" w:sz="4" w:space="0" w:color="auto"/>
            </w:tcBorders>
            <w:shd w:val="clear" w:color="auto" w:fill="D9D9D9"/>
            <w:hideMark/>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right"/>
              <w:rPr>
                <w:b/>
                <w:noProof/>
                <w:sz w:val="20"/>
                <w:szCs w:val="20"/>
              </w:rPr>
            </w:pPr>
            <w:r>
              <w:rPr>
                <w:b/>
                <w:noProof/>
                <w:sz w:val="20"/>
              </w:rPr>
              <w:t>1 380 000 000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right"/>
              <w:rPr>
                <w:b/>
                <w:noProof/>
                <w:sz w:val="20"/>
                <w:szCs w:val="20"/>
              </w:rPr>
            </w:pPr>
            <w:r>
              <w:rPr>
                <w:b/>
                <w:noProof/>
                <w:sz w:val="20"/>
              </w:rPr>
              <w:t>778 828 000</w:t>
            </w:r>
          </w:p>
        </w:tc>
      </w:tr>
    </w:tbl>
    <w:p>
      <w:pPr>
        <w:pStyle w:val="Text1"/>
        <w:ind w:left="0"/>
        <w:rPr>
          <w:bCs/>
          <w:noProof/>
        </w:rPr>
      </w:pPr>
      <w:r>
        <w:rPr>
          <w:noProof/>
        </w:rPr>
        <w:t>Предвид сериозния натиск, при който се упражнява дейността в област на политиката „Миграция и вътрешни работи“ през последните месеци и с оглед очакваните високи нужди в близко бъдеще, не съществуват възможности за преразпределяне на средствата по тази функция. Вследствие на това Комисията предлага да се мобилизира Инструментът за гъвкавост за сума от 1 504,0 млн. EUR за функция 3 (Сигурност и гражданство) за финансиране на спешни мерки за справяне с кризата с бежанците в рамките на Европейската програма за миграция за 2016</w:t>
      </w:r>
      <w:r>
        <w:rPr>
          <w:noProof/>
          <w:lang w:val="en-GB"/>
        </w:rPr>
        <w:t> </w:t>
      </w:r>
      <w:r>
        <w:rPr>
          <w:noProof/>
        </w:rPr>
        <w:t>г. Мобилизирането на Инструмента за гъвкавост се предлага в отделен акт, с който се отменя предложеното мобилизиране на Инструмента за гъвкавост за същата цел, което придружаваше първоначалния проектобюджет за 2016</w:t>
      </w:r>
      <w:r>
        <w:rPr>
          <w:noProof/>
          <w:lang w:val="en-GB"/>
        </w:rPr>
        <w:t> </w:t>
      </w:r>
      <w:r>
        <w:rPr>
          <w:noProof/>
        </w:rPr>
        <w:t>г.</w:t>
      </w:r>
      <w:r>
        <w:rPr>
          <w:rStyle w:val="FootnoteReference"/>
          <w:noProof/>
        </w:rPr>
        <w:footnoteReference w:id="17"/>
      </w:r>
    </w:p>
    <w:p>
      <w:pPr>
        <w:pStyle w:val="ManualHeading2"/>
        <w:numPr>
          <w:ilvl w:val="1"/>
          <w:numId w:val="10"/>
        </w:numPr>
        <w:rPr>
          <w:noProof/>
        </w:rPr>
      </w:pPr>
      <w:bookmarkStart w:id="34" w:name="_Toc431481491"/>
      <w:bookmarkStart w:id="35" w:name="_Toc432760508"/>
      <w:r>
        <w:rPr>
          <w:noProof/>
        </w:rPr>
        <w:t>Функция 4: Глобална Европа</w:t>
      </w:r>
      <w:bookmarkEnd w:id="34"/>
      <w:bookmarkEnd w:id="35"/>
    </w:p>
    <w:p>
      <w:pPr>
        <w:spacing w:before="120" w:after="120"/>
        <w:jc w:val="both"/>
        <w:rPr>
          <w:noProof/>
        </w:rPr>
      </w:pPr>
      <w:r>
        <w:rPr>
          <w:noProof/>
        </w:rPr>
        <w:t>Без незабавно решение на конфликта в обозримо бъдеще кризата в Сирия ще продължи да генерира през 2016 г. огромни нужди не само в самата страна, но и в целия регион. При средно 38 % от нуждите задоволени към момента, призивите на Организацията на обединените нации остават в значителна степен недостатъчно финансирани. Поради този недостиг Световната продоволствена програма на ООН, други агенции на ООН и други международни хуманитарни организации намаляват доставките на помощ през последните месеци.</w:t>
      </w:r>
    </w:p>
    <w:p>
      <w:pPr>
        <w:spacing w:before="120" w:after="120"/>
        <w:jc w:val="both"/>
        <w:rPr>
          <w:noProof/>
        </w:rPr>
      </w:pPr>
      <w:r>
        <w:rPr>
          <w:noProof/>
        </w:rPr>
        <w:t xml:space="preserve">С цел да се намали нарастващата разлика между нуждите и наличните средства Комисията предлага да засили още повече отговора на настоящата криза чрез засилване на хуманитарната помощ с допълнителна сума от 150 млн. EUR под формата на бюджетни кредити за поети задължения в бюджета за 2016 г. в сравнение с първоначалния проектобюджет. </w:t>
      </w:r>
    </w:p>
    <w:p>
      <w:pPr>
        <w:spacing w:before="120" w:after="120"/>
        <w:jc w:val="both"/>
        <w:rPr>
          <w:noProof/>
        </w:rPr>
      </w:pPr>
      <w:r>
        <w:rPr>
          <w:noProof/>
        </w:rPr>
        <w:t xml:space="preserve">Поисканото увеличение ще бъде допълнено от отделно предложение за мобилизиране на Резерва за спешна помощ, което ще бъде представено в началото на 2016 г., така че бюджетните кредити за поети задължения за хуманитарна помощ са с 300 млн. EUR по-високи в сравнение с първоначалния проектобюджет. </w:t>
      </w:r>
    </w:p>
    <w:p>
      <w:pPr>
        <w:spacing w:before="120" w:after="120"/>
        <w:jc w:val="both"/>
        <w:rPr>
          <w:noProof/>
        </w:rPr>
      </w:pPr>
      <w:r>
        <w:rPr>
          <w:noProof/>
        </w:rPr>
        <w:t>Необходима е също сумата от 405 млн. EUR в бюджетни кредити за плащания, състояща се от: 105 млн. EUR, съответстващи на оставащата част, която следва да бъде изплатена през 2016 г. по искането за трансфер за 175 млн. EUR в бюджетни кредити от Резерва за спешна помощ, отправено за края на 2015 г. (DEC 32/2015), и 300 млн. EUR, съответстващо на увеличението на бюджетните кредити за поети задължения през 2016 г. (включително обявеното искане за трансфер на 150 млн. EUR в началото на 2016 г.).</w:t>
      </w:r>
    </w:p>
    <w:p>
      <w:pPr>
        <w:spacing w:before="120" w:after="120"/>
        <w:jc w:val="both"/>
        <w:rPr>
          <w:noProof/>
        </w:rPr>
      </w:pPr>
      <w:r>
        <w:rPr>
          <w:noProof/>
        </w:rPr>
        <w:t>Средствата ще бъдат използвани, за да се покрият най-спешните основни нужди по отношение на осигуряването на продоволствие, здравеопазване, водоснабдяване, канализация, хигиена, защита и други основни услуги за сирийските и иракските бежанци в съседните държави (Йордания, Ливан и Турция) и страните от Западните Балкани (Сърбия и бившата югославска република Македония), както и за хората в Сирия и Ирак.</w:t>
      </w:r>
    </w:p>
    <w:p>
      <w:pPr>
        <w:spacing w:before="120" w:after="120"/>
        <w:jc w:val="both"/>
        <w:rPr>
          <w:noProof/>
        </w:rPr>
      </w:pPr>
      <w:r>
        <w:rPr>
          <w:noProof/>
        </w:rPr>
        <w:t>Освен това са поискани 210 млн. EUR бюджетни кредити за плащания за Европейския инструмент за съседство, съответстващи на 70 % от увеличението на бюджетните кредити за поети задължения, поискани в ПКБ 7/2015. Тъй като поетите задължения до голяма степен ще бъдат направени за широкомащабни проекти с безвъзмездни средства с партньорските организации, чрез доверителния фонд на ЕС за Сирия, плащанията следват сравнително бързо, след като поетото задължение бъде направено в края на 2015 г.</w:t>
      </w:r>
    </w:p>
    <w:p>
      <w:pPr>
        <w:spacing w:before="120" w:after="120"/>
        <w:jc w:val="both"/>
        <w:rPr>
          <w:noProof/>
        </w:rPr>
      </w:pPr>
      <w:r>
        <w:rPr>
          <w:noProof/>
        </w:rPr>
        <w:t>Таблицата по-долу показва разпределението на увеличенията на бюджетните кредити за поети задължения и плащания по функция 4, поискани в настоящото писмо за внасяне на корекции: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1701"/>
        <w:gridCol w:w="1701"/>
      </w:tblGrid>
      <w:t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Бюджетен ред</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Име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Бюджетни кредити за плащания</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23 02 01</w:t>
            </w:r>
          </w:p>
          <w:p>
            <w:pPr>
              <w:widowControl w:val="0"/>
              <w:spacing w:before="15" w:after="15"/>
              <w:ind w:right="-113"/>
              <w:jc w:val="both"/>
              <w:rPr>
                <w:noProof/>
                <w:sz w:val="20"/>
                <w:szCs w:val="20"/>
              </w:rPr>
            </w:pP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Предоставяне на бърза, ефективна и основана на нуждите хуманитарна помощ и хранителна помощ</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150 000 000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405 000 000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22 04 01 03</w:t>
            </w:r>
          </w:p>
          <w:p>
            <w:pPr>
              <w:widowControl w:val="0"/>
              <w:tabs>
                <w:tab w:val="left" w:pos="1350"/>
              </w:tabs>
              <w:spacing w:before="15" w:after="15"/>
              <w:jc w:val="both"/>
              <w:rPr>
                <w:noProof/>
                <w:sz w:val="20"/>
                <w:szCs w:val="20"/>
              </w:rPr>
            </w:pP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 xml:space="preserve">Средиземноморски страни </w:t>
            </w:r>
            <w:r>
              <w:rPr>
                <w:noProof/>
                <w:sz w:val="20"/>
                <w:szCs w:val="20"/>
              </w:rPr>
              <w:sym w:font="Symbol" w:char="F0BE"/>
            </w:r>
            <w:r>
              <w:rPr>
                <w:noProof/>
                <w:sz w:val="20"/>
              </w:rPr>
              <w:t xml:space="preserve"> Укрепване на доверието, сигурност, предотвратяване и уреждане на конфликти</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210 000 000</w:t>
            </w:r>
          </w:p>
        </w:tc>
      </w:tr>
      <w:tr>
        <w:tc>
          <w:tcPr>
            <w:tcW w:w="6946" w:type="dxa"/>
            <w:gridSpan w:val="2"/>
            <w:tcBorders>
              <w:top w:val="single" w:sz="4" w:space="0" w:color="auto"/>
              <w:left w:val="single" w:sz="4" w:space="0" w:color="auto"/>
              <w:bottom w:val="single" w:sz="4" w:space="0" w:color="auto"/>
              <w:right w:val="single" w:sz="4" w:space="0" w:color="auto"/>
            </w:tcBorders>
            <w:shd w:val="clear" w:color="auto" w:fill="D9D9D9"/>
          </w:tcPr>
          <w:p>
            <w:pPr>
              <w:widowControl w:val="0"/>
              <w:tabs>
                <w:tab w:val="left" w:pos="975"/>
              </w:tabs>
              <w:spacing w:before="15" w:after="15"/>
              <w:jc w:val="both"/>
              <w:rPr>
                <w:b/>
                <w:noProof/>
                <w:sz w:val="20"/>
                <w:szCs w:val="20"/>
              </w:rPr>
            </w:pPr>
            <w:r>
              <w:rPr>
                <w:b/>
                <w:noProof/>
                <w:sz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right"/>
              <w:rPr>
                <w:b/>
                <w:noProof/>
                <w:sz w:val="20"/>
                <w:szCs w:val="20"/>
              </w:rPr>
            </w:pPr>
            <w:r>
              <w:rPr>
                <w:b/>
                <w:noProof/>
                <w:sz w:val="20"/>
              </w:rPr>
              <w:t>150 000 000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615 000 000</w:t>
            </w:r>
          </w:p>
        </w:tc>
      </w:tr>
    </w:tbl>
    <w:p>
      <w:pPr>
        <w:pStyle w:val="ManualHeading2"/>
        <w:rPr>
          <w:noProof/>
        </w:rPr>
      </w:pPr>
      <w:bookmarkStart w:id="36" w:name="_Toc431481492"/>
      <w:bookmarkStart w:id="37" w:name="_Toc432760509"/>
      <w:bookmarkStart w:id="38" w:name="_Toc234945579"/>
      <w:bookmarkStart w:id="39" w:name="_Toc298415909"/>
      <w:bookmarkStart w:id="40" w:name="_Toc337030154"/>
      <w:bookmarkStart w:id="41" w:name="_Toc366167017"/>
      <w:bookmarkStart w:id="42" w:name="_Toc400034820"/>
      <w:r>
        <w:rPr>
          <w:noProof/>
        </w:rPr>
        <w:t>3</w:t>
      </w:r>
      <w:r>
        <w:rPr>
          <w:noProof/>
          <w:lang w:val="en-GB"/>
        </w:rPr>
        <w:t>.</w:t>
      </w:r>
      <w:r>
        <w:rPr>
          <w:noProof/>
        </w:rPr>
        <w:t>4</w:t>
      </w:r>
      <w:r>
        <w:rPr>
          <w:noProof/>
        </w:rPr>
        <w:tab/>
        <w:t>Функция 5: Администрация</w:t>
      </w:r>
      <w:bookmarkEnd w:id="36"/>
      <w:bookmarkEnd w:id="37"/>
    </w:p>
    <w:p>
      <w:pPr>
        <w:pStyle w:val="Text1"/>
        <w:ind w:left="0"/>
        <w:rPr>
          <w:noProof/>
        </w:rPr>
      </w:pPr>
      <w:r>
        <w:rPr>
          <w:noProof/>
        </w:rPr>
        <w:t>Комисията полага значителни усилия за преразпределение за подпомагане на дейностите за услуги от първа необходимост, по-специално в отговор на настоящата миграционна криза. За да постигне това, Комисията се стреми да използва по най-добрия начин всички разрешени длъжности в щатното разписание, които Комисията е намалявала с 1 % всяка година от 2013 г. насам, за да се постигне целта за 5 %-но намаление на персонала, определена в Междуинституционалното споразумение. За посрещане на новите потребности, Комисията се стреми да запълни свободните работни места във възможно най-кратък срок. Бюджетните кредити, предложени в проектобюджета за 2016 г., са изчислени въз основа на средния коефициент на заетост от 96,6 %. Въпреки това този процент вече е бил постигнат, и Комисията понастоящем е ограничена от наличните бюджетни кредити. Да се позволи преразпределянето да бъде ефективно и да се засили капацитетът за реакция, Комисията поиска увеличение от 23,1 млн. EUR на бюджетните кредити за заплати, което съответства на коефициент на заетост от 97,6 %, т.е. един процентен пункт по-висок (равностойно на 200 длъжности), отколкото в прогнозата в проектобюджета за 2016 г. Такова искане не увеличава броя на разрешените длъжности за Комисията, нито засяга ангажимента на Комисията за цялостно прилагане на 5 %-то намаление на персонала в рамките на договорения срок. То само позволява заемането на разрешените длъжности, които понастоящем са вакантни и не могат да бъдат заети поради недостиг на бюджетни кредити.</w:t>
      </w:r>
    </w:p>
    <w:p>
      <w:pPr>
        <w:pStyle w:val="Text1"/>
        <w:ind w:left="0"/>
        <w:rPr>
          <w:noProof/>
        </w:rPr>
      </w:pPr>
      <w:r>
        <w:rPr>
          <w:noProof/>
        </w:rPr>
        <w:t>Сума в размер на 0,8 млн. EUR е също така поискана по функция 5 за покриване на допълнителните разходи, свързани с командировки на персонала в рамките на кризата с бежанците. Мисиите са необходими, за да се гарантира присъствието на служители на Комисията на място в страните, където положението е най-критично. Назначеният персонал ще координира и изпълнява спешни действия в отговор на миграционната криза и положението на бежанците, както и ще подкрепя държавите членки при оценяването на спешни мерки и привеждането в съответствие на техните национални програми с цел по-добро реагиране на кризисната ситуация.</w:t>
      </w:r>
    </w:p>
    <w:p>
      <w:pPr>
        <w:pStyle w:val="ManualHeading1"/>
        <w:numPr>
          <w:ilvl w:val="0"/>
          <w:numId w:val="8"/>
        </w:numPr>
        <w:ind w:left="850" w:hanging="850"/>
        <w:rPr>
          <w:noProof/>
        </w:rPr>
      </w:pPr>
      <w:bookmarkStart w:id="43" w:name="_Toc431481493"/>
      <w:bookmarkStart w:id="44" w:name="_Toc432760510"/>
      <w:r>
        <w:rPr>
          <w:noProof/>
        </w:rPr>
        <w:t>Покриване на средствата за ЕИФ, дължими по Европейския фонд за стратегически инвестиции (ЕФСИ)</w:t>
      </w:r>
      <w:bookmarkEnd w:id="43"/>
      <w:bookmarkEnd w:id="44"/>
    </w:p>
    <w:p>
      <w:pPr>
        <w:spacing w:before="120" w:after="120"/>
        <w:jc w:val="both"/>
        <w:rPr>
          <w:noProof/>
        </w:rPr>
      </w:pPr>
      <w:r>
        <w:rPr>
          <w:noProof/>
        </w:rPr>
        <w:t xml:space="preserve">За да бъде в състояние да посрещне своите задължения за таксите към Европейския инвестиционен фонд (ЕИФ), Комисията предлага да се разпредели сума в размер на 5 млн. EUR в бюджетни кредити за поети задължения и за плащания за бюджетна статия 01 04 07 </w:t>
      </w:r>
      <w:r>
        <w:rPr>
          <w:i/>
          <w:noProof/>
        </w:rPr>
        <w:t>Такси, дължими на Европейския инвестиционен фонд за увеличаване на помощта по Европейския фонд за стратегически инвестиции</w:t>
      </w:r>
      <w:r>
        <w:rPr>
          <w:noProof/>
        </w:rPr>
        <w:t>, където има понастоящем символичен запис (p.m.).</w:t>
      </w:r>
    </w:p>
    <w:p>
      <w:pPr>
        <w:spacing w:before="120" w:after="120"/>
        <w:jc w:val="both"/>
        <w:rPr>
          <w:noProof/>
        </w:rPr>
      </w:pPr>
      <w:r>
        <w:rPr>
          <w:noProof/>
        </w:rPr>
        <w:t>ЕИФ ще предоставя помощ в прилагането на новите прозоречни продукти за малките и средни предприятия (МСП) в рамките на Европейския фонд за стратегически инвестиции (ЕФСИ). Началните такси ще трябва да бъдат изплатени в кратък срок след подписването на изменението на споразумението за ЕФСИ, което се очаква да бъде финализирано в началото на 2016 г.</w:t>
      </w:r>
    </w:p>
    <w:p>
      <w:pPr>
        <w:spacing w:before="120" w:after="120"/>
        <w:jc w:val="both"/>
        <w:rPr>
          <w:noProof/>
        </w:rPr>
      </w:pPr>
      <w:r>
        <w:rPr>
          <w:noProof/>
        </w:rPr>
        <w:t>Както е предвидено в Регламента за ЕФСИ</w:t>
      </w:r>
      <w:r>
        <w:rPr>
          <w:rStyle w:val="FootnoteReference"/>
          <w:noProof/>
        </w:rPr>
        <w:footnoteReference w:id="18"/>
      </w:r>
      <w:r>
        <w:rPr>
          <w:noProof/>
        </w:rPr>
        <w:t>, тези такси могат да бъдат за сметка на общия бюджет на Съюза, при условие че не са приспаднати от възнаграждението или от приходите, събраните средства или други плащания, получени от ЕИФ. Въпреки това се очаква много ограничени приходи да се материализират в началото на 2016 г., когато ЕФСИ ще бъде в начален стадий на изпълнение, докато разходите, понесени от ЕИФ, ще се повишават значително успоредно с ускоряване въвеждането на нови инструменти.</w:t>
      </w:r>
    </w:p>
    <w:p>
      <w:pPr>
        <w:pStyle w:val="ManualHeading1"/>
        <w:numPr>
          <w:ilvl w:val="0"/>
          <w:numId w:val="8"/>
        </w:numPr>
        <w:ind w:left="850" w:hanging="850"/>
        <w:rPr>
          <w:noProof/>
        </w:rPr>
      </w:pPr>
      <w:bookmarkStart w:id="45" w:name="_Toc431481494"/>
      <w:r>
        <w:rPr>
          <w:noProof/>
        </w:rPr>
        <w:br w:type="page"/>
      </w:r>
      <w:bookmarkStart w:id="46" w:name="_Toc432760511"/>
      <w:r>
        <w:rPr>
          <w:noProof/>
        </w:rPr>
        <w:t>Агенция за сътрудничество между регулаторите на енергия (ACER)</w:t>
      </w:r>
      <w:bookmarkEnd w:id="45"/>
      <w:bookmarkEnd w:id="46"/>
    </w:p>
    <w:p>
      <w:pPr>
        <w:spacing w:before="120" w:after="120"/>
        <w:jc w:val="both"/>
        <w:rPr>
          <w:noProof/>
        </w:rPr>
      </w:pPr>
      <w:r>
        <w:rPr>
          <w:noProof/>
        </w:rPr>
        <w:t>Агенцията за сътрудничество между регулаторите на енергия (ACER) бе създадена с третия енергиен пакет за по-нататъшен напредък в доизграждането на вътрешния енергиен пазар на електроенергия и природен газ. ACER официално влезе в действие през март 2011 г. и е със седалище в Любляна, Словения. Административният съвет на ACER на заседанието си от 8 юли 2015 г. прие решение да поднови мандата на сегашния директор на агенцията за срок от три години, считано от 16 септември 2015 г. Решението гласи, че постиженията на директора, доказани в неговата оценка, също заслужават прекласирането му в степен AD 15. Въпреки това щатното разписание на агенцията в проектобюджета за 2016 г. все още не включва прекласирането на директора от AD 14 на AD 15, като той е преназначен след приемането на проектобюджета. Предлага се да се актуализира съответно щатното разписание на ACER, както е посочено в бюджетното приложение. Общият бюджет и общият брой на длъжностите на агенцията остават непроменени.</w:t>
      </w:r>
    </w:p>
    <w:p>
      <w:pPr>
        <w:pStyle w:val="Text1"/>
        <w:ind w:left="0"/>
        <w:rPr>
          <w:noProof/>
        </w:rPr>
      </w:pPr>
    </w:p>
    <w:p>
      <w:pPr>
        <w:pStyle w:val="ManualHeading1"/>
        <w:numPr>
          <w:ilvl w:val="0"/>
          <w:numId w:val="8"/>
        </w:numPr>
        <w:ind w:left="850" w:hanging="850"/>
        <w:rPr>
          <w:noProof/>
        </w:rPr>
      </w:pPr>
      <w:r>
        <w:rPr>
          <w:noProof/>
        </w:rPr>
        <w:t>Безопасност на храните и фуражите</w:t>
      </w:r>
    </w:p>
    <w:p>
      <w:pPr>
        <w:rPr>
          <w:noProof/>
        </w:rPr>
      </w:pPr>
      <w:r>
        <w:rPr>
          <w:noProof/>
        </w:rPr>
        <w:t>Въз основа на анализа на актуализираните работни програми за изкореняване на болести за 2015</w:t>
      </w:r>
      <w:r>
        <w:rPr>
          <w:noProof/>
          <w:lang w:val="en-GB"/>
        </w:rPr>
        <w:t> </w:t>
      </w:r>
      <w:r>
        <w:rPr>
          <w:noProof/>
        </w:rPr>
        <w:t>г., предадени от държавите членки през август 2015</w:t>
      </w:r>
      <w:r>
        <w:rPr>
          <w:noProof/>
          <w:lang w:val="en-GB"/>
        </w:rPr>
        <w:t> </w:t>
      </w:r>
      <w:r>
        <w:rPr>
          <w:noProof/>
        </w:rPr>
        <w:t>г., стана ясно, че някои от държавите членки не са приключили работната програма, както е било първоначално предвидено. По-специално кампаниите за ваксиниране срещу болестта син език не са били напълно приложени, което ще доведе до отменени бюджетни кредити през 2015</w:t>
      </w:r>
      <w:r>
        <w:rPr>
          <w:noProof/>
          <w:lang w:val="en-GB"/>
        </w:rPr>
        <w:t> </w:t>
      </w:r>
      <w:r>
        <w:rPr>
          <w:noProof/>
        </w:rPr>
        <w:t>г. и до намалена нужда от бюджетни кредити за плащания през 2016</w:t>
      </w:r>
      <w:r>
        <w:rPr>
          <w:noProof/>
          <w:lang w:val="en-GB"/>
        </w:rPr>
        <w:t> </w:t>
      </w:r>
      <w:r>
        <w:rPr>
          <w:noProof/>
        </w:rPr>
        <w:t xml:space="preserve">г. В резултат на това, първоначалното искане за бюджетни кредити за плащания по бюджетна статия 17 04 01 </w:t>
      </w:r>
      <w:r>
        <w:rPr>
          <w:i/>
          <w:noProof/>
        </w:rPr>
        <w:t>Осигуряване на по-висок здравен статус на животните и висока степен на защита на животните в Съюза</w:t>
      </w:r>
      <w:r>
        <w:rPr>
          <w:noProof/>
        </w:rPr>
        <w:t xml:space="preserve"> може да бъде намалено с 20 млн. </w:t>
      </w:r>
      <w:r>
        <w:rPr>
          <w:noProof/>
          <w:lang w:eastAsia="en-US"/>
        </w:rPr>
        <w:t>EUR.</w:t>
      </w:r>
    </w:p>
    <w:p>
      <w:pPr>
        <w:pStyle w:val="Text1"/>
        <w:ind w:left="0"/>
        <w:rPr>
          <w:noProof/>
        </w:rPr>
      </w:pPr>
    </w:p>
    <w:p>
      <w:pPr>
        <w:pStyle w:val="Text1"/>
        <w:ind w:left="0"/>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568" w:right="1021" w:bottom="851" w:left="1021" w:header="564" w:footer="402" w:gutter="0"/>
          <w:cols w:space="708"/>
          <w:docGrid w:linePitch="360"/>
        </w:sectPr>
      </w:pPr>
    </w:p>
    <w:p>
      <w:pPr>
        <w:pStyle w:val="ManualHeading1"/>
        <w:numPr>
          <w:ilvl w:val="0"/>
          <w:numId w:val="8"/>
        </w:numPr>
        <w:ind w:left="850" w:hanging="850"/>
        <w:rPr>
          <w:noProof/>
        </w:rPr>
      </w:pPr>
      <w:bookmarkStart w:id="47" w:name="_Toc431481495"/>
      <w:bookmarkStart w:id="48" w:name="_Toc432760512"/>
      <w:r>
        <w:rPr>
          <w:noProof/>
        </w:rPr>
        <w:t>Обобщаваща таблица по функции от многогодишната финансова рамка</w:t>
      </w:r>
      <w:bookmarkEnd w:id="38"/>
      <w:bookmarkEnd w:id="39"/>
      <w:bookmarkEnd w:id="40"/>
      <w:bookmarkEnd w:id="41"/>
      <w:bookmarkEnd w:id="42"/>
      <w:bookmarkEnd w:id="47"/>
      <w:bookmarkEnd w:id="48"/>
    </w:p>
    <w:tbl>
      <w:tblPr>
        <w:tblW w:w="11027" w:type="dxa"/>
        <w:jc w:val="center"/>
        <w:tblInd w:w="93" w:type="dxa"/>
        <w:tblLook w:val="04A0" w:firstRow="1" w:lastRow="0" w:firstColumn="1" w:lastColumn="0" w:noHBand="0" w:noVBand="1"/>
      </w:tblPr>
      <w:tblGrid>
        <w:gridCol w:w="378"/>
        <w:gridCol w:w="2585"/>
        <w:gridCol w:w="1366"/>
        <w:gridCol w:w="1388"/>
        <w:gridCol w:w="1288"/>
        <w:gridCol w:w="1288"/>
        <w:gridCol w:w="1367"/>
        <w:gridCol w:w="1367"/>
      </w:tblGrid>
      <w:tr>
        <w:trPr>
          <w:trHeight w:val="300"/>
          <w:jc w:val="center"/>
        </w:trPr>
        <w:tc>
          <w:tcPr>
            <w:tcW w:w="2962"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Бюджетен ред</w:t>
            </w:r>
          </w:p>
        </w:tc>
        <w:tc>
          <w:tcPr>
            <w:tcW w:w="275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Проектобюджет за 2016 г.</w:t>
            </w:r>
          </w:p>
        </w:tc>
        <w:tc>
          <w:tcPr>
            <w:tcW w:w="2576"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Писмо за внасяне на корекции 2/2016</w:t>
            </w:r>
          </w:p>
        </w:tc>
        <w:tc>
          <w:tcPr>
            <w:tcW w:w="2734"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Проектобюджет за 2016 г.</w:t>
            </w:r>
          </w:p>
        </w:tc>
      </w:tr>
      <w:tr>
        <w:trPr>
          <w:trHeight w:val="255"/>
          <w:jc w:val="center"/>
        </w:trPr>
        <w:tc>
          <w:tcPr>
            <w:tcW w:w="296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5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ПВК 1/2016)</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734"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ПВК 1/2016 и ПВК 2/2016)</w:t>
            </w:r>
          </w:p>
        </w:tc>
      </w:tr>
      <w:tr>
        <w:trPr>
          <w:trHeight w:val="300"/>
          <w:jc w:val="center"/>
        </w:trPr>
        <w:tc>
          <w:tcPr>
            <w:tcW w:w="2962"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7"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38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28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28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36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36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r>
      <w:tr>
        <w:trPr>
          <w:trHeight w:val="277"/>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1.</w:t>
            </w:r>
          </w:p>
        </w:tc>
        <w:tc>
          <w:tcPr>
            <w:tcW w:w="2586" w:type="dxa"/>
            <w:tcBorders>
              <w:top w:val="single" w:sz="4" w:space="0" w:color="auto"/>
              <w:left w:val="nil"/>
              <w:bottom w:val="dotted" w:sz="4" w:space="0" w:color="auto"/>
              <w:right w:val="single" w:sz="4" w:space="0" w:color="auto"/>
            </w:tcBorders>
            <w:shd w:val="clear" w:color="auto" w:fill="auto"/>
            <w:vAlign w:val="center"/>
            <w:hideMark/>
          </w:tcPr>
          <w:p>
            <w:pPr>
              <w:rPr>
                <w:rFonts w:ascii="Times New Roman Bold" w:hAnsi="Times New Roman Bold"/>
                <w:b/>
                <w:bCs/>
                <w:noProof/>
                <w:color w:val="000000"/>
                <w:spacing w:val="-4"/>
                <w:sz w:val="16"/>
                <w:szCs w:val="16"/>
              </w:rPr>
            </w:pPr>
            <w:r>
              <w:rPr>
                <w:rFonts w:ascii="Times New Roman Bold" w:hAnsi="Times New Roman Bold"/>
                <w:b/>
                <w:noProof/>
                <w:color w:val="000000"/>
                <w:spacing w:val="-4"/>
                <w:sz w:val="16"/>
              </w:rPr>
              <w:t>Интелигентен и приобщаващ растеж</w:t>
            </w:r>
          </w:p>
        </w:tc>
        <w:tc>
          <w:tcPr>
            <w:tcW w:w="136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69 743 081 847</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66 578 193 962</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5 000 000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69 748 081 847</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66 583 193 962</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в общия марж за поетите задължения (ОМПЗ)</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Таван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141"/>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103 918 153</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98 918 153</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noProof/>
                <w:color w:val="000000"/>
                <w:sz w:val="16"/>
                <w:szCs w:val="16"/>
              </w:rPr>
            </w:pPr>
            <w:r>
              <w:rPr>
                <w:noProof/>
                <w:color w:val="000000"/>
                <w:sz w:val="16"/>
              </w:rPr>
              <w:t>1a</w:t>
            </w:r>
          </w:p>
        </w:tc>
        <w:tc>
          <w:tcPr>
            <w:tcW w:w="2586"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Конкурентоспособност за растеж и работни места</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18 921 431 584</w:t>
            </w:r>
          </w:p>
        </w:tc>
        <w:tc>
          <w:tcPr>
            <w:tcW w:w="13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17 518 123 082</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5 000 000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18 926 431 584</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17 523 123 082</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в общия марж за поетите задължения (ОМПЗ)</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88 568 416</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83 568 416</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noProof/>
                <w:color w:val="000000"/>
                <w:sz w:val="16"/>
                <w:szCs w:val="16"/>
              </w:rPr>
            </w:pPr>
            <w:r>
              <w:rPr>
                <w:noProof/>
                <w:color w:val="000000"/>
                <w:sz w:val="16"/>
              </w:rPr>
              <w:t xml:space="preserve">1б </w:t>
            </w:r>
          </w:p>
        </w:tc>
        <w:tc>
          <w:tcPr>
            <w:tcW w:w="2586"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Икономическо, социално и териториално сближаване</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50 821 650 263</w:t>
            </w:r>
          </w:p>
        </w:tc>
        <w:tc>
          <w:tcPr>
            <w:tcW w:w="13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49 060 070 880</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50 821 650 263</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49 060 070 880</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15 349 737</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15 349 737</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2.</w:t>
            </w:r>
          </w:p>
        </w:tc>
        <w:tc>
          <w:tcPr>
            <w:tcW w:w="2586"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Устойчив растеж: природни ресурси</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63 104 378 823</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55 865 891 958</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- 488 288 304</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- 488 288 304</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62 616 090 519</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55 377 603 654</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49"/>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1 157 621 177</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1 645 909 481</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705"/>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noProof/>
                <w:color w:val="000000"/>
                <w:sz w:val="16"/>
                <w:szCs w:val="16"/>
              </w:rPr>
            </w:pPr>
            <w:r>
              <w:rPr>
                <w:noProof/>
                <w:color w:val="000000"/>
                <w:sz w:val="16"/>
              </w:rPr>
              <w:t>от които: Европейски фонд за гарантиране на земеделието (ЕФГЗ) — Свързани с пазара разходи и преки плащания</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42 867 624 128</w:t>
            </w:r>
          </w:p>
        </w:tc>
        <w:tc>
          <w:tcPr>
            <w:tcW w:w="13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42 859 334 601</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- 507 288 304</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- 507 288 304</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42 360 335 824</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42 352 046 297</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Нетен трансфер между ЕФГЗ и ЕЗФРСР</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1 081 657 872</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1 588 946 176</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3.</w:t>
            </w:r>
          </w:p>
        </w:tc>
        <w:tc>
          <w:tcPr>
            <w:tcW w:w="2586"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Сигурност и гражданство</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2 669 966 698</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2 258 959 739</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1 380 000 000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758 828 000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4 049 966 698</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3 017 787 739</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123 966 698</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1 503 966 698</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146"/>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4.</w:t>
            </w:r>
          </w:p>
        </w:tc>
        <w:tc>
          <w:tcPr>
            <w:tcW w:w="2586"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Глобална Европа</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8 881 729 361</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9 539 215 403</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150 000 000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615 000 000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9 031 729 361</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10 154 215 403</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9 143 000 000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9 143 000 000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261 270 639</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111 270 639</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5.</w:t>
            </w:r>
          </w:p>
        </w:tc>
        <w:tc>
          <w:tcPr>
            <w:tcW w:w="2586"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Администрация</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8 908 692 052</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8 910 192 052</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23 914 000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23 914 000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8 932 606 052</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8 934 106 052</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574 307 948</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550 393 948</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525"/>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noProof/>
                <w:color w:val="000000"/>
                <w:sz w:val="16"/>
                <w:szCs w:val="16"/>
              </w:rPr>
            </w:pPr>
            <w:r>
              <w:rPr>
                <w:noProof/>
                <w:color w:val="000000"/>
                <w:sz w:val="16"/>
              </w:rPr>
              <w:t>от които: Административни разходи на институциите</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7 096 096 572</w:t>
            </w:r>
          </w:p>
        </w:tc>
        <w:tc>
          <w:tcPr>
            <w:tcW w:w="13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7 097 596 572</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23 914 000</w:t>
            </w:r>
          </w:p>
        </w:tc>
        <w:tc>
          <w:tcPr>
            <w:tcW w:w="128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23 914 000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7 120 010 572</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7 121 510 572</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582 903 428</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558 989 428</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35"/>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b/>
                <w:bCs/>
                <w:noProof/>
                <w:color w:val="000000"/>
                <w:sz w:val="16"/>
                <w:szCs w:val="16"/>
              </w:rPr>
            </w:pPr>
            <w:r>
              <w:rPr>
                <w:b/>
                <w:noProof/>
                <w:color w:val="000000"/>
                <w:sz w:val="16"/>
              </w:rPr>
              <w:t>6.</w:t>
            </w:r>
          </w:p>
        </w:tc>
        <w:tc>
          <w:tcPr>
            <w:tcW w:w="2586"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Компенсации</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3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171"/>
          <w:jc w:val="center"/>
        </w:trPr>
        <w:tc>
          <w:tcPr>
            <w:tcW w:w="2962"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2962"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Общо</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153 307 848 781</w:t>
            </w:r>
          </w:p>
        </w:tc>
        <w:tc>
          <w:tcPr>
            <w:tcW w:w="138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143 152 453 114</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1 070 625 696</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914 453 696</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154 378 474 477</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144 066 906 810</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123 966 698</w:t>
            </w:r>
          </w:p>
        </w:tc>
        <w:tc>
          <w:tcPr>
            <w:tcW w:w="13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lang w:val="en-GB"/>
              </w:rPr>
            </w:pPr>
            <w:r>
              <w:rPr>
                <w:b/>
                <w:i/>
                <w:noProof/>
                <w:color w:val="000000"/>
                <w:sz w:val="16"/>
              </w:rPr>
              <w:t xml:space="preserve"> </w:t>
            </w:r>
            <w:r>
              <w:rPr>
                <w:b/>
                <w:i/>
                <w:noProof/>
                <w:color w:val="000000"/>
                <w:sz w:val="16"/>
                <w:lang w:val="en-GB"/>
              </w:rPr>
              <w:t>98 619 078</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1 503 966 698</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808 604 378</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От които в общия марж за поетите задължения (ОМПЗ)</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r>
      <w:tr>
        <w:trPr>
          <w:trHeight w:val="270"/>
          <w:jc w:val="center"/>
        </w:trPr>
        <w:tc>
          <w:tcPr>
            <w:tcW w:w="2962"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Таван</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8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r>
      <w:tr>
        <w:trPr>
          <w:trHeight w:val="223"/>
          <w:jc w:val="center"/>
        </w:trPr>
        <w:tc>
          <w:tcPr>
            <w:tcW w:w="2962"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Марж</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2 097 117 917</w:t>
            </w:r>
          </w:p>
        </w:tc>
        <w:tc>
          <w:tcPr>
            <w:tcW w:w="138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lang w:val="en-GB"/>
              </w:rPr>
            </w:pPr>
            <w:r>
              <w:rPr>
                <w:b/>
                <w:i/>
                <w:noProof/>
                <w:color w:val="000000"/>
                <w:sz w:val="16"/>
              </w:rPr>
              <w:t xml:space="preserve">1 </w:t>
            </w:r>
            <w:r>
              <w:rPr>
                <w:b/>
                <w:i/>
                <w:noProof/>
                <w:color w:val="000000"/>
                <w:sz w:val="16"/>
                <w:lang w:val="en-GB"/>
              </w:rPr>
              <w:t>631 165 964</w:t>
            </w:r>
          </w:p>
        </w:tc>
        <w:tc>
          <w:tcPr>
            <w:tcW w:w="128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8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2 406 492 221</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1 426 697 568</w:t>
            </w:r>
          </w:p>
        </w:tc>
      </w:tr>
      <w:tr>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jc w:val="right"/>
              <w:rPr>
                <w:noProof/>
                <w:color w:val="000000"/>
                <w:sz w:val="16"/>
                <w:szCs w:val="16"/>
              </w:rPr>
            </w:pPr>
            <w:r>
              <w:rPr>
                <w:noProof/>
                <w:color w:val="000000"/>
                <w:sz w:val="16"/>
              </w:rPr>
              <w:t> </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Други специални инструменти</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8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c>
          <w:tcPr>
            <w:tcW w:w="128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28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r>
      <w:tr>
        <w:trPr>
          <w:trHeight w:val="270"/>
          <w:jc w:val="center"/>
        </w:trPr>
        <w:tc>
          <w:tcPr>
            <w:tcW w:w="2962"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Всичко</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153 832 460 781</w:t>
            </w:r>
          </w:p>
        </w:tc>
        <w:tc>
          <w:tcPr>
            <w:tcW w:w="138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143 541 453 114</w:t>
            </w:r>
          </w:p>
        </w:tc>
        <w:tc>
          <w:tcPr>
            <w:tcW w:w="128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1 070 625 696</w:t>
            </w:r>
          </w:p>
        </w:tc>
        <w:tc>
          <w:tcPr>
            <w:tcW w:w="128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914 453 696</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154 903 086 477</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144 455 906 810</w:t>
            </w:r>
          </w:p>
        </w:tc>
      </w:tr>
    </w:tbl>
    <w:p>
      <w:pPr>
        <w:pStyle w:val="Text1"/>
        <w:ind w:left="0"/>
        <w:rPr>
          <w:noProof/>
          <w:sz w:val="6"/>
          <w:szCs w:val="6"/>
          <w:lang w:val="en-GB"/>
        </w:rPr>
      </w:pPr>
    </w:p>
    <w:sectPr>
      <w:headerReference w:type="even" r:id="rId35"/>
      <w:headerReference w:type="default" r:id="rId36"/>
      <w:footerReference w:type="even" r:id="rId37"/>
      <w:footerReference w:type="default" r:id="rId38"/>
      <w:headerReference w:type="first" r:id="rId39"/>
      <w:footerReference w:type="first" r:id="rId40"/>
      <w:pgSz w:w="11907" w:h="16839"/>
      <w:pgMar w:top="426" w:right="1021" w:bottom="851" w:left="1021" w:header="709"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ru-RU"/>
        </w:rPr>
      </w:pPr>
      <w:r>
        <w:rPr>
          <w:rStyle w:val="FootnoteReference"/>
        </w:rPr>
        <w:footnoteRef/>
      </w:r>
      <w:r>
        <w:t xml:space="preserve"> </w:t>
      </w:r>
      <w:r>
        <w:tab/>
        <w:t>ОВ L 298, 26.10.2012</w:t>
      </w:r>
      <w:r>
        <w:rPr>
          <w:lang w:val="en-GB"/>
        </w:rPr>
        <w:t> </w:t>
      </w:r>
      <w:r>
        <w:t>г., стр. 1</w:t>
      </w:r>
      <w:r>
        <w:rPr>
          <w:sz w:val="18"/>
        </w:rPr>
        <w:t>.</w:t>
      </w:r>
    </w:p>
  </w:footnote>
  <w:footnote w:id="3">
    <w:p>
      <w:pPr>
        <w:pStyle w:val="FootnoteText"/>
        <w:rPr>
          <w:lang w:val="ru-RU"/>
        </w:rPr>
      </w:pPr>
      <w:r>
        <w:rPr>
          <w:rStyle w:val="FootnoteReference"/>
        </w:rPr>
        <w:footnoteRef/>
      </w:r>
      <w:r>
        <w:t xml:space="preserve"> </w:t>
      </w:r>
      <w:r>
        <w:tab/>
        <w:t>СOM(2015) 300, 24.6.2015 г.</w:t>
      </w:r>
    </w:p>
  </w:footnote>
  <w:footnote w:id="4">
    <w:p>
      <w:pPr>
        <w:pStyle w:val="FootnoteText"/>
        <w:rPr>
          <w:lang w:val="ru-RU"/>
        </w:rPr>
      </w:pPr>
      <w:r>
        <w:rPr>
          <w:rStyle w:val="FootnoteReference"/>
        </w:rPr>
        <w:footnoteRef/>
      </w:r>
      <w:r>
        <w:t xml:space="preserve"> </w:t>
      </w:r>
      <w:r>
        <w:tab/>
        <w:t>СOM(2015) 317, 26.6.2015 г.</w:t>
      </w:r>
    </w:p>
  </w:footnote>
  <w:footnote w:id="5">
    <w:p>
      <w:pPr>
        <w:pStyle w:val="FootnoteText"/>
      </w:pPr>
      <w:r>
        <w:rPr>
          <w:rStyle w:val="FootnoteReference"/>
        </w:rPr>
        <w:footnoteRef/>
      </w:r>
      <w:r>
        <w:t xml:space="preserve"> </w:t>
      </w:r>
      <w:r>
        <w:tab/>
        <w:t>В МФР за периода 2014—2020</w:t>
      </w:r>
      <w:r>
        <w:rPr>
          <w:lang w:val="en-GB"/>
        </w:rPr>
        <w:t> </w:t>
      </w:r>
      <w:r>
        <w:t>г. първоначалният подтаван за ЕФГЗ за 2016</w:t>
      </w:r>
      <w:r>
        <w:rPr>
          <w:lang w:val="en-GB"/>
        </w:rPr>
        <w:t> </w:t>
      </w:r>
      <w:r>
        <w:t>г. възлиза на 44 368</w:t>
      </w:r>
      <w:r>
        <w:rPr>
          <w:lang w:val="en-GB"/>
        </w:rPr>
        <w:t> </w:t>
      </w:r>
      <w:r>
        <w:t>млн. EUR. Като се вземе предвид нетната сума от 678,7 млн. EUR, която трябва да се прехвърли към Фонда за развитие на селските райони и която вече беше включена в ПБ за 2016</w:t>
      </w:r>
      <w:r>
        <w:rPr>
          <w:lang w:val="en-GB"/>
        </w:rPr>
        <w:t> </w:t>
      </w:r>
      <w:r>
        <w:t>г., наличното нетно салдо за разходи по линия на ЕФГЗ („нетният подтаван“) възлиза на 43 949,3 млн. EUR. Нуждите за ЕФГЗ за 2016</w:t>
      </w:r>
      <w:r>
        <w:rPr>
          <w:lang w:val="en-GB"/>
        </w:rPr>
        <w:t> </w:t>
      </w:r>
      <w:r>
        <w:t>г. се оценяват на базата на този „нетен подтаван“ за ЕФГЗ.</w:t>
      </w:r>
    </w:p>
  </w:footnote>
  <w:footnote w:id="6">
    <w:p>
      <w:pPr>
        <w:pStyle w:val="FootnoteText"/>
      </w:pPr>
      <w:r>
        <w:rPr>
          <w:rStyle w:val="FootnoteReference"/>
        </w:rPr>
        <w:footnoteRef/>
      </w:r>
      <w:r>
        <w:t xml:space="preserve"> </w:t>
      </w:r>
      <w:r>
        <w:tab/>
        <w:t>Процентът на корекцията във връзка с финансовата дисциплина е установен в Регламент (ЕС) № 2015/1146 на Европейския парламент и на Съвета от 8 юли 2015 г. за определяне на предвидената в Регламент (ЕС) №</w:t>
      </w:r>
      <w:r>
        <w:rPr>
          <w:lang w:val="en-GB"/>
        </w:rPr>
        <w:t> </w:t>
      </w:r>
      <w:r>
        <w:t>1306/2013 ставка на корекция на директните плащания за календарната 2015</w:t>
      </w:r>
      <w:r>
        <w:rPr>
          <w:lang w:val="en-GB"/>
        </w:rPr>
        <w:t> </w:t>
      </w:r>
      <w:r>
        <w:t>г. Въз основа на ПВК 2/2016 не се очаква промяна на настоящия темп, тъй като въздействието на новите суми, разпределени за различните схеми за преки помощи, е незначително.</w:t>
      </w:r>
    </w:p>
  </w:footnote>
  <w:footnote w:id="7">
    <w:p>
      <w:pPr>
        <w:pStyle w:val="FootnoteText"/>
        <w:rPr>
          <w:spacing w:val="-4"/>
        </w:rPr>
      </w:pPr>
      <w:r>
        <w:rPr>
          <w:rStyle w:val="FootnoteReference"/>
        </w:rPr>
        <w:footnoteRef/>
      </w:r>
      <w:r>
        <w:t xml:space="preserve"> </w:t>
      </w:r>
      <w:r>
        <w:tab/>
      </w:r>
      <w:r>
        <w:rPr>
          <w:spacing w:val="-4"/>
        </w:rPr>
        <w:t>Член 35 от Регламент (ЕС) №</w:t>
      </w:r>
      <w:r>
        <w:rPr>
          <w:spacing w:val="-4"/>
          <w:lang w:val="en-GB"/>
        </w:rPr>
        <w:t> </w:t>
      </w:r>
      <w:r>
        <w:rPr>
          <w:spacing w:val="-4"/>
        </w:rPr>
        <w:t>1308/2013 на Европейския парламент и на Съвета от 17 декември 2013</w:t>
      </w:r>
      <w:r>
        <w:rPr>
          <w:spacing w:val="-4"/>
          <w:lang w:val="en-GB"/>
        </w:rPr>
        <w:t> </w:t>
      </w:r>
      <w:r>
        <w:rPr>
          <w:spacing w:val="-4"/>
        </w:rPr>
        <w:t>г. за установяване на обща организация на пазарите на селскостопански продукти и за отмяна на регламенти (ЕИО) №</w:t>
      </w:r>
      <w:r>
        <w:rPr>
          <w:spacing w:val="-4"/>
          <w:lang w:val="en-GB"/>
        </w:rPr>
        <w:t> </w:t>
      </w:r>
      <w:r>
        <w:rPr>
          <w:spacing w:val="-4"/>
        </w:rPr>
        <w:t>922/72, (ЕИО) №</w:t>
      </w:r>
      <w:r>
        <w:rPr>
          <w:spacing w:val="-4"/>
          <w:lang w:val="en-GB"/>
        </w:rPr>
        <w:t> </w:t>
      </w:r>
      <w:r>
        <w:rPr>
          <w:spacing w:val="-4"/>
        </w:rPr>
        <w:t>234/79, (ЕО) №</w:t>
      </w:r>
      <w:r>
        <w:rPr>
          <w:spacing w:val="-4"/>
          <w:lang w:val="en-GB"/>
        </w:rPr>
        <w:t> </w:t>
      </w:r>
      <w:r>
        <w:rPr>
          <w:spacing w:val="-4"/>
        </w:rPr>
        <w:t>1037/2001 и (ЕО) №</w:t>
      </w:r>
      <w:r>
        <w:rPr>
          <w:spacing w:val="-4"/>
          <w:lang w:val="en-GB"/>
        </w:rPr>
        <w:t> </w:t>
      </w:r>
      <w:r>
        <w:rPr>
          <w:spacing w:val="-4"/>
        </w:rPr>
        <w:t>1234/2007 (ОВ L 347, 20.12.2013</w:t>
      </w:r>
      <w:r>
        <w:rPr>
          <w:spacing w:val="-4"/>
          <w:lang w:val="en-GB"/>
        </w:rPr>
        <w:t> </w:t>
      </w:r>
      <w:r>
        <w:rPr>
          <w:spacing w:val="-4"/>
        </w:rPr>
        <w:t xml:space="preserve">г., стр. 674). </w:t>
      </w:r>
    </w:p>
  </w:footnote>
  <w:footnote w:id="8">
    <w:p>
      <w:pPr>
        <w:pStyle w:val="FootnoteText"/>
      </w:pPr>
      <w:r>
        <w:rPr>
          <w:rStyle w:val="FootnoteReference"/>
        </w:rPr>
        <w:footnoteRef/>
      </w:r>
      <w:r>
        <w:t xml:space="preserve"> </w:t>
      </w:r>
      <w:r>
        <w:tab/>
        <w:t>Това разширяване бе прието от Комисията през август 2015 г. посредством Делегиран Регламент (ЕС) № 1369/2015 от 7.8.2015</w:t>
      </w:r>
      <w:r>
        <w:rPr>
          <w:lang w:val="en-GB"/>
        </w:rPr>
        <w:t> </w:t>
      </w:r>
      <w:r>
        <w:t>г. за изменение на Делегиран Регламент (ЕС) № 1031/2014 за определяне на допълнителни временни извънредни мерки за подпомагане на производителите на някои видове плодове и зеленчуци (ОВ L 211, 8.8.2015 г.).</w:t>
      </w:r>
    </w:p>
  </w:footnote>
  <w:footnote w:id="9">
    <w:p>
      <w:pPr>
        <w:pStyle w:val="FootnoteText"/>
        <w:rPr>
          <w:rStyle w:val="FootnoteReference"/>
        </w:rPr>
      </w:pPr>
      <w:r>
        <w:rPr>
          <w:rStyle w:val="FootnoteReference"/>
        </w:rPr>
        <w:footnoteRef/>
      </w:r>
      <w:r>
        <w:rPr>
          <w:rStyle w:val="FootnoteReference"/>
        </w:rPr>
        <w:t xml:space="preserve"> </w:t>
      </w:r>
      <w:r>
        <w:tab/>
        <w:t>Регламент (ЕС) №</w:t>
      </w:r>
      <w:r>
        <w:rPr>
          <w:lang w:val="en-GB"/>
        </w:rPr>
        <w:t> </w:t>
      </w:r>
      <w:r>
        <w:t>228/2013 на Европейския парламент и на Съвета от 13 март 2013</w:t>
      </w:r>
      <w:r>
        <w:rPr>
          <w:lang w:val="en-GB"/>
        </w:rPr>
        <w:t> </w:t>
      </w:r>
      <w:r>
        <w:t>г. за определяне на специфични мерки за селското стопанство в най-отдалечените региони на Съюза и за отмяна на Регламент (ЕО) №</w:t>
      </w:r>
      <w:r>
        <w:rPr>
          <w:lang w:val="en-GB"/>
        </w:rPr>
        <w:t> </w:t>
      </w:r>
      <w:r>
        <w:t>247/2006 на Съвета (OВ L 78, 20.3.2013</w:t>
      </w:r>
      <w:r>
        <w:rPr>
          <w:lang w:val="en-GB"/>
        </w:rPr>
        <w:t> </w:t>
      </w:r>
      <w:r>
        <w:t>г., стр. 23).</w:t>
      </w:r>
    </w:p>
  </w:footnote>
  <w:footnote w:id="10">
    <w:p>
      <w:pPr>
        <w:pStyle w:val="FootnoteText"/>
      </w:pPr>
      <w:r>
        <w:rPr>
          <w:rStyle w:val="FootnoteReference"/>
        </w:rPr>
        <w:footnoteRef/>
      </w:r>
      <w:r>
        <w:t xml:space="preserve"> </w:t>
      </w:r>
      <w:r>
        <w:tab/>
        <w:t>Съответните правни актове за тези допълнителни мерки ще бъдат приети възможно най-скоро от Комисията под формата на регламенти за изпълнение или делегирани регламенти.</w:t>
      </w:r>
    </w:p>
  </w:footnote>
  <w:footnote w:id="11">
    <w:p>
      <w:pPr>
        <w:pStyle w:val="FootnoteText"/>
      </w:pPr>
      <w:r>
        <w:rPr>
          <w:rStyle w:val="FootnoteReference"/>
        </w:rPr>
        <w:footnoteRef/>
      </w:r>
      <w:r>
        <w:t xml:space="preserve"> </w:t>
      </w:r>
      <w:r>
        <w:tab/>
        <w:t>Регламент за изпълнение (ЕС) 2015/360 на Комисията от 5 март 2015 г. за започване на частно складиране на свинско месо и за предварително определяне на размера на помощта (ОВ L 62, 6.3.2015 г., стр. 16).</w:t>
      </w:r>
    </w:p>
  </w:footnote>
  <w:footnote w:id="12">
    <w:p>
      <w:pPr>
        <w:pStyle w:val="FootnoteText"/>
      </w:pPr>
      <w:r>
        <w:rPr>
          <w:rStyle w:val="FootnoteReference"/>
        </w:rPr>
        <w:footnoteRef/>
      </w:r>
      <w:r>
        <w:t xml:space="preserve"> </w:t>
      </w:r>
      <w:r>
        <w:tab/>
        <w:t>OВ L 163, 2.7.1996</w:t>
      </w:r>
      <w:r>
        <w:rPr>
          <w:lang w:val="pt-PT"/>
        </w:rPr>
        <w:t> </w:t>
      </w:r>
      <w:r>
        <w:t>г., стр. 1.</w:t>
      </w:r>
    </w:p>
  </w:footnote>
  <w:footnote w:id="13">
    <w:p>
      <w:pPr>
        <w:pStyle w:val="FootnoteText"/>
        <w:rPr>
          <w:lang w:val="ru-RU"/>
        </w:rPr>
      </w:pPr>
      <w:r>
        <w:rPr>
          <w:rStyle w:val="FootnoteReference"/>
        </w:rPr>
        <w:footnoteRef/>
      </w:r>
      <w:r>
        <w:t xml:space="preserve"> </w:t>
      </w:r>
      <w:r>
        <w:tab/>
        <w:t>ОВ С 373, 20.12.2013 г., стр</w:t>
      </w:r>
      <w:r>
        <w:rPr>
          <w:lang w:val="pt-PT"/>
        </w:rPr>
        <w:t>.</w:t>
      </w:r>
      <w:r>
        <w:t> 1.</w:t>
      </w:r>
    </w:p>
  </w:footnote>
  <w:footnote w:id="14">
    <w:p>
      <w:pPr>
        <w:pStyle w:val="FootnoteText"/>
        <w:rPr>
          <w:lang w:val="pt-PT"/>
        </w:rPr>
      </w:pPr>
      <w:r>
        <w:rPr>
          <w:rStyle w:val="FootnoteReference"/>
        </w:rPr>
        <w:footnoteRef/>
      </w:r>
      <w:r>
        <w:t xml:space="preserve"> </w:t>
      </w:r>
      <w:r>
        <w:tab/>
        <w:t>COM(2015) 490, 23.9.2015</w:t>
      </w:r>
      <w:r>
        <w:rPr>
          <w:lang w:val="pt-PT"/>
        </w:rPr>
        <w:t> </w:t>
      </w:r>
      <w:r>
        <w:t>г.</w:t>
      </w:r>
    </w:p>
  </w:footnote>
  <w:footnote w:id="15">
    <w:p>
      <w:pPr>
        <w:pStyle w:val="FootnoteText"/>
        <w:rPr>
          <w:lang w:val="pt-PT"/>
        </w:rPr>
      </w:pPr>
      <w:r>
        <w:rPr>
          <w:rStyle w:val="FootnoteReference"/>
        </w:rPr>
        <w:footnoteRef/>
      </w:r>
      <w:r>
        <w:t xml:space="preserve"> </w:t>
      </w:r>
      <w:r>
        <w:tab/>
        <w:t>COM(2015) 485, 30.9.2015</w:t>
      </w:r>
      <w:r>
        <w:rPr>
          <w:lang w:val="pt-PT"/>
        </w:rPr>
        <w:t> </w:t>
      </w:r>
      <w:r>
        <w:t>г.</w:t>
      </w:r>
    </w:p>
  </w:footnote>
  <w:footnote w:id="16">
    <w:p>
      <w:pPr>
        <w:pStyle w:val="FootnoteText"/>
        <w:rPr>
          <w:lang w:val="pt-PT"/>
        </w:rPr>
      </w:pPr>
      <w:r>
        <w:rPr>
          <w:rStyle w:val="FootnoteReference"/>
        </w:rPr>
        <w:footnoteRef/>
      </w:r>
      <w:r>
        <w:t xml:space="preserve"> </w:t>
      </w:r>
      <w:r>
        <w:tab/>
        <w:t>ОВ L 150, 20.5.2014 г., стр. 112.</w:t>
      </w:r>
    </w:p>
  </w:footnote>
  <w:footnote w:id="17">
    <w:p>
      <w:pPr>
        <w:pStyle w:val="FootnoteText"/>
        <w:rPr>
          <w:lang w:val="ru-RU"/>
        </w:rPr>
      </w:pPr>
      <w:r>
        <w:rPr>
          <w:rStyle w:val="FootnoteReference"/>
        </w:rPr>
        <w:footnoteRef/>
      </w:r>
      <w:r>
        <w:t xml:space="preserve"> </w:t>
      </w:r>
      <w:r>
        <w:tab/>
        <w:t>COM(2015) 238, 27.5.2015</w:t>
      </w:r>
      <w:r>
        <w:rPr>
          <w:lang w:val="pt-PT"/>
        </w:rPr>
        <w:t> </w:t>
      </w:r>
      <w:r>
        <w:t>г.</w:t>
      </w:r>
    </w:p>
  </w:footnote>
  <w:footnote w:id="18">
    <w:p>
      <w:pPr>
        <w:pStyle w:val="FootnoteText"/>
      </w:pPr>
      <w:r>
        <w:rPr>
          <w:rStyle w:val="FootnoteReference"/>
        </w:rPr>
        <w:footnoteRef/>
      </w:r>
      <w:r>
        <w:t xml:space="preserve"> </w:t>
      </w:r>
      <w:r>
        <w:tab/>
      </w:r>
      <w:r>
        <w:rPr>
          <w:lang w:val="en-GB" w:eastAsia="de-DE" w:bidi="ar-SA"/>
        </w:rPr>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(ОВ L 169, 1.7.2015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
    <w:nsid w:val="2F6F6245"/>
    <w:multiLevelType w:val="hybridMultilevel"/>
    <w:tmpl w:val="A844B9DE"/>
    <w:lvl w:ilvl="0" w:tplc="0809000F">
      <w:start w:val="1"/>
      <w:numFmt w:val="decimal"/>
      <w:lvlText w:val="%1."/>
      <w:lvlJc w:val="left"/>
      <w:pPr>
        <w:ind w:left="720" w:hanging="360"/>
      </w:pPr>
    </w:lvl>
    <w:lvl w:ilvl="1" w:tplc="2954F7A4">
      <w:start w:val="1"/>
      <mc:AlternateContent>
        <mc:Choice Requires="w14">
          <w:numFmt w:val="custom" w:format="а, й, к, ..."/>
        </mc:Choice>
        <mc:Fallback>
          <w:numFmt w:val="decimal"/>
        </mc:Fallback>
      </mc:AlternateContent>
      <w:lvlText w:val="%2)"/>
      <w:lvlJc w:val="left"/>
      <w:pPr>
        <w:ind w:left="1353" w:hanging="360"/>
      </w:pPr>
      <w:rPr>
        <w:rFonts w:hint="default"/>
        <w:sz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A52C4F"/>
    <w:multiLevelType w:val="singleLevel"/>
    <w:tmpl w:val="CEFC5A24"/>
    <w:lvl w:ilvl="0">
      <w:start w:val="1"/>
      <w:numFmt w:val="bullet"/>
      <w:lvlRestart w:val="0"/>
      <w:pStyle w:val="Tiret0"/>
      <w:lvlText w:val="–"/>
      <w:lvlJc w:val="left"/>
      <w:pPr>
        <w:tabs>
          <w:tab w:val="num" w:pos="4819"/>
        </w:tabs>
        <w:ind w:left="4819" w:hanging="850"/>
      </w:pPr>
    </w:lvl>
  </w:abstractNum>
  <w:abstractNum w:abstractNumId="3">
    <w:nsid w:val="35623BC6"/>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8157C2"/>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7">
    <w:nsid w:val="5ACF7A83"/>
    <w:multiLevelType w:val="hybridMultilevel"/>
    <w:tmpl w:val="7170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5304AB"/>
    <w:multiLevelType w:val="hybridMultilevel"/>
    <w:tmpl w:val="70248038"/>
    <w:lvl w:ilvl="0" w:tplc="8A36BA8C">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1">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
  </w:num>
  <w:num w:numId="2">
    <w:abstractNumId w:val="6"/>
  </w:num>
  <w:num w:numId="3">
    <w:abstractNumId w:val="10"/>
  </w:num>
  <w:num w:numId="4">
    <w:abstractNumId w:val="5"/>
  </w:num>
  <w:num w:numId="5">
    <w:abstractNumId w:val="0"/>
  </w:num>
  <w:num w:numId="6">
    <w:abstractNumId w:val="11"/>
  </w:num>
  <w:num w:numId="7">
    <w:abstractNumId w:val="8"/>
  </w:num>
  <w:num w:numId="8">
    <w:abstractNumId w:val="4"/>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E7B77F550F7479EBE1470316BB4CD1D"/>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3"/>
    <w:docVar w:name="LW_REF.INTERNE" w:val="&lt;UNUSED&gt;"/>
    <w:docVar w:name="LW_SOUS.TITRE.OBJ.CP" w:val="&lt;UNUSED&gt;"/>
    <w:docVar w:name="LW_SUPERTITRE" w:val="&lt;UNUSED&gt;"/>
    <w:docVar w:name="LW_TITRE.OBJ.CP" w:val="\u1040?\u1082?\u1090?\u1091?\u1072?\u1083?\u1080?\u1079?\u1080?\u1088?\u1072?\u1085?\u1077? \u1087?\u1086? \u1088?\u1077?\u1076?\u1086?\u1074?\u1077? \u1085?\u1072? \u1087?\u1088?\u1086?\u1075?\u1085?\u1086?\u1079?\u1085?\u1080?\u1090?\u1077? \u1085?\u1091?\u1078?\u1076?\u1080? \u1079?\u1072? \u1089?\u1077?\u1083?\u1089?\u1082?\u1086?\u1089?\u1090?\u1086?\u1087?\u1072?\u1085?\u1089?\u1082?\u1080?\u1090?\u1077? \u1088?\u1072?\u1079?\u1093?\u1086?\u1076?\u1080? \u1080? \u1079?\u1072? \u1088?\u1080?\u1073?\u1072?\u1088?\u1089?\u1090?\u1074?\u1086?_x000b_\u1059?\u1087?\u1088?\u1072?\u1074?\u1083?\u1077?\u1085?\u1080?\u1077? \u1085?\u1072? \u1082?\u1088?\u1080?\u1079?\u1072?\u1090?\u1072? \u1089? \u1073?\u1077?\u1078?\u1072?\u1085?\u1094?\u1080?\u1090?\u1077?: \u1085?\u1077?\u1079?\u1072?\u1073?\u1072?\u1074?\u1085?\u1080? \u1073?\u1102?\u1076?\u1078?\u1077?\u1090?\u1085?\u1080? \u1084?\u1077?\u1088?\u1082?\u1080? \u1087?\u1086? \u1077?\u1074?\u1088?\u1086?\u1087?\u1077?\u1081?\u1089?\u1082?\u1072?\u1090?\u1072? \u1087?\u1088?\u1086?\u1075?\u1088?\u1072?\u1084?\u1072? \u1079?\u1072? \u1084?\u1080?\u1075?\u1088?\u1072?\u1094?\u1080?\u1103?\u1090?\u1072?"/>
    <w:docVar w:name="LW_TITRE.OBJ.CP_PREVIOUS" w:val="&lt;UNUSED&gt;"/>
    <w:docVar w:name="LW_TYPE.DOC.CP" w:val="\u1055?\u1048?\u1057?\u1052?\u1054? \u1047?\u1040? \u1042?\u1053?\u1040?\u1057?\u1071?\u1053?\u1045? \u1053?\u1040? \u1050?\u1054?\u1056?\u1045?\u1050?\u1062?\u1048?\u1048? \u8470? 2 _x000b_\u1050?\u1066?\u1052? \u1055?\u1056?\u1054?\u1045?\u1050?\u1058?\u1040? \u1053?\u1040? \u1050?\u1054?\u1056?\u1048?\u1043?\u1048?\u1056?\u1040?\u1065? \u1041?\u1070?\u1044?\u1046?\u1045?\u1058? \u1047?\u1040? 2016 \u1043?."/>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Times New Roman Bold" w:hAnsi="Times New Roman Bold" w:cs="Arial"/>
      <w:b/>
      <w:bCs/>
      <w:smallCaps/>
      <w:noProof/>
      <w:kern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rPr>
  </w:style>
  <w:style w:type="paragraph" w:customStyle="1" w:styleId="ManualHeading2">
    <w:name w:val="Manual Heading 2"/>
    <w:basedOn w:val="Normal"/>
    <w:next w:val="Normal"/>
    <w:pPr>
      <w:keepNext/>
      <w:tabs>
        <w:tab w:val="left" w:pos="850"/>
      </w:tabs>
      <w:spacing w:before="120" w:after="12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uiPriority w:val="20"/>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7"/>
      </w:numPr>
      <w:spacing w:before="120" w:after="120"/>
      <w:jc w:val="both"/>
    </w:pPr>
  </w:style>
  <w:style w:type="paragraph" w:customStyle="1" w:styleId="ListNumberLevel2">
    <w:name w:val="List Number (Level 2)"/>
    <w:basedOn w:val="Normal"/>
    <w:pPr>
      <w:numPr>
        <w:ilvl w:val="1"/>
        <w:numId w:val="7"/>
      </w:numPr>
      <w:spacing w:before="120" w:after="120"/>
      <w:jc w:val="both"/>
    </w:pPr>
  </w:style>
  <w:style w:type="paragraph" w:customStyle="1" w:styleId="ListNumberLevel3">
    <w:name w:val="List Number (Level 3)"/>
    <w:basedOn w:val="Normal"/>
    <w:pPr>
      <w:numPr>
        <w:ilvl w:val="2"/>
        <w:numId w:val="7"/>
      </w:numPr>
      <w:spacing w:before="120" w:after="120"/>
      <w:jc w:val="both"/>
    </w:pPr>
  </w:style>
  <w:style w:type="paragraph" w:customStyle="1" w:styleId="ListNumberLevel4">
    <w:name w:val="List Number (Level 4)"/>
    <w:basedOn w:val="Normal"/>
    <w:pPr>
      <w:numPr>
        <w:ilvl w:val="3"/>
        <w:numId w:val="7"/>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customStyle="1" w:styleId="Point0number">
    <w:name w:val="Point 0 (number)"/>
    <w:basedOn w:val="Normal"/>
    <w:uiPriority w:val="99"/>
    <w:pPr>
      <w:numPr>
        <w:numId w:val="6"/>
      </w:numPr>
      <w:spacing w:before="120" w:after="120"/>
      <w:jc w:val="both"/>
    </w:pPr>
  </w:style>
  <w:style w:type="paragraph" w:customStyle="1" w:styleId="Point1number">
    <w:name w:val="Point 1 (number)"/>
    <w:basedOn w:val="Normal"/>
    <w:uiPriority w:val="99"/>
    <w:pPr>
      <w:numPr>
        <w:ilvl w:val="2"/>
        <w:numId w:val="6"/>
      </w:numPr>
      <w:spacing w:before="120" w:after="120"/>
      <w:jc w:val="both"/>
    </w:pPr>
  </w:style>
  <w:style w:type="paragraph" w:customStyle="1" w:styleId="Point2number">
    <w:name w:val="Point 2 (number)"/>
    <w:basedOn w:val="Normal"/>
    <w:uiPriority w:val="99"/>
    <w:pPr>
      <w:numPr>
        <w:ilvl w:val="4"/>
        <w:numId w:val="6"/>
      </w:numPr>
      <w:spacing w:before="120" w:after="120"/>
      <w:jc w:val="both"/>
    </w:pPr>
  </w:style>
  <w:style w:type="paragraph" w:customStyle="1" w:styleId="Point3number">
    <w:name w:val="Point 3 (number)"/>
    <w:basedOn w:val="Normal"/>
    <w:uiPriority w:val="99"/>
    <w:pPr>
      <w:numPr>
        <w:ilvl w:val="6"/>
        <w:numId w:val="6"/>
      </w:numPr>
      <w:spacing w:before="120" w:after="120"/>
      <w:jc w:val="both"/>
    </w:pPr>
  </w:style>
  <w:style w:type="paragraph" w:customStyle="1" w:styleId="Point0letter">
    <w:name w:val="Point 0 (letter)"/>
    <w:basedOn w:val="Normal"/>
    <w:uiPriority w:val="99"/>
    <w:pPr>
      <w:numPr>
        <w:ilvl w:val="1"/>
        <w:numId w:val="6"/>
      </w:numPr>
      <w:spacing w:before="120" w:after="120"/>
      <w:jc w:val="both"/>
    </w:pPr>
  </w:style>
  <w:style w:type="paragraph" w:customStyle="1" w:styleId="Point1letter">
    <w:name w:val="Point 1 (letter)"/>
    <w:basedOn w:val="Normal"/>
    <w:uiPriority w:val="99"/>
    <w:pPr>
      <w:numPr>
        <w:ilvl w:val="3"/>
        <w:numId w:val="6"/>
      </w:numPr>
      <w:spacing w:before="120" w:after="120"/>
      <w:jc w:val="both"/>
    </w:pPr>
  </w:style>
  <w:style w:type="paragraph" w:customStyle="1" w:styleId="Point2letter">
    <w:name w:val="Point 2 (letter)"/>
    <w:basedOn w:val="Normal"/>
    <w:uiPriority w:val="99"/>
    <w:pPr>
      <w:numPr>
        <w:ilvl w:val="5"/>
        <w:numId w:val="6"/>
      </w:numPr>
      <w:spacing w:before="120" w:after="120"/>
      <w:jc w:val="both"/>
    </w:pPr>
  </w:style>
  <w:style w:type="paragraph" w:customStyle="1" w:styleId="Point3letter">
    <w:name w:val="Point 3 (letter)"/>
    <w:basedOn w:val="Normal"/>
    <w:uiPriority w:val="99"/>
    <w:pPr>
      <w:numPr>
        <w:ilvl w:val="7"/>
        <w:numId w:val="6"/>
      </w:numPr>
      <w:spacing w:before="120" w:after="120"/>
      <w:jc w:val="both"/>
    </w:pPr>
  </w:style>
  <w:style w:type="paragraph" w:customStyle="1" w:styleId="Point4letter">
    <w:name w:val="Point 4 (letter)"/>
    <w:basedOn w:val="Normal"/>
    <w:uiPriority w:val="99"/>
    <w:pPr>
      <w:numPr>
        <w:ilvl w:val="8"/>
        <w:numId w:val="6"/>
      </w:numPr>
      <w:spacing w:before="120" w:after="120"/>
      <w:jc w:val="both"/>
    </w:pPr>
  </w:style>
  <w:style w:type="character" w:customStyle="1" w:styleId="dwd">
    <w:name w:val="_dwd"/>
  </w:style>
  <w:style w:type="paragraph" w:styleId="Revision">
    <w:name w:val="Revision"/>
    <w:hidden/>
    <w:uiPriority w:val="99"/>
    <w:semiHidden/>
    <w:rPr>
      <w:sz w:val="24"/>
      <w:szCs w:val="24"/>
    </w:rPr>
  </w:style>
  <w:style w:type="character" w:customStyle="1" w:styleId="Heading1Char">
    <w:name w:val="Heading 1 Char"/>
    <w:link w:val="Heading1"/>
    <w:rPr>
      <w:rFonts w:ascii="Times New Roman Bold" w:hAnsi="Times New Roman Bold" w:cs="Arial"/>
      <w:b/>
      <w:bCs/>
      <w:smallCaps/>
      <w:noProof/>
      <w:kern w:val="32"/>
      <w:sz w:val="24"/>
      <w:szCs w:val="32"/>
    </w:rPr>
  </w:style>
  <w:style w:type="character" w:customStyle="1" w:styleId="contents">
    <w:name w:val="contents"/>
  </w:style>
  <w:style w:type="paragraph" w:customStyle="1" w:styleId="ManualHeading3">
    <w:name w:val="Manual Heading 3"/>
    <w:basedOn w:val="Normal"/>
    <w:next w:val="Text1"/>
    <w:pPr>
      <w:keepNext/>
      <w:tabs>
        <w:tab w:val="left" w:pos="850"/>
      </w:tabs>
      <w:spacing w:before="120" w:after="120"/>
      <w:ind w:left="850" w:hanging="850"/>
      <w:jc w:val="both"/>
      <w:outlineLvl w:val="2"/>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Times New Roman Bold" w:hAnsi="Times New Roman Bold" w:cs="Arial"/>
      <w:b/>
      <w:bCs/>
      <w:smallCaps/>
      <w:noProof/>
      <w:kern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rPr>
  </w:style>
  <w:style w:type="paragraph" w:customStyle="1" w:styleId="ManualHeading2">
    <w:name w:val="Manual Heading 2"/>
    <w:basedOn w:val="Normal"/>
    <w:next w:val="Normal"/>
    <w:pPr>
      <w:keepNext/>
      <w:tabs>
        <w:tab w:val="left" w:pos="850"/>
      </w:tabs>
      <w:spacing w:before="120" w:after="12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uiPriority w:val="20"/>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7"/>
      </w:numPr>
      <w:spacing w:before="120" w:after="120"/>
      <w:jc w:val="both"/>
    </w:pPr>
  </w:style>
  <w:style w:type="paragraph" w:customStyle="1" w:styleId="ListNumberLevel2">
    <w:name w:val="List Number (Level 2)"/>
    <w:basedOn w:val="Normal"/>
    <w:pPr>
      <w:numPr>
        <w:ilvl w:val="1"/>
        <w:numId w:val="7"/>
      </w:numPr>
      <w:spacing w:before="120" w:after="120"/>
      <w:jc w:val="both"/>
    </w:pPr>
  </w:style>
  <w:style w:type="paragraph" w:customStyle="1" w:styleId="ListNumberLevel3">
    <w:name w:val="List Number (Level 3)"/>
    <w:basedOn w:val="Normal"/>
    <w:pPr>
      <w:numPr>
        <w:ilvl w:val="2"/>
        <w:numId w:val="7"/>
      </w:numPr>
      <w:spacing w:before="120" w:after="120"/>
      <w:jc w:val="both"/>
    </w:pPr>
  </w:style>
  <w:style w:type="paragraph" w:customStyle="1" w:styleId="ListNumberLevel4">
    <w:name w:val="List Number (Level 4)"/>
    <w:basedOn w:val="Normal"/>
    <w:pPr>
      <w:numPr>
        <w:ilvl w:val="3"/>
        <w:numId w:val="7"/>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customStyle="1" w:styleId="Point0number">
    <w:name w:val="Point 0 (number)"/>
    <w:basedOn w:val="Normal"/>
    <w:uiPriority w:val="99"/>
    <w:pPr>
      <w:numPr>
        <w:numId w:val="6"/>
      </w:numPr>
      <w:spacing w:before="120" w:after="120"/>
      <w:jc w:val="both"/>
    </w:pPr>
  </w:style>
  <w:style w:type="paragraph" w:customStyle="1" w:styleId="Point1number">
    <w:name w:val="Point 1 (number)"/>
    <w:basedOn w:val="Normal"/>
    <w:uiPriority w:val="99"/>
    <w:pPr>
      <w:numPr>
        <w:ilvl w:val="2"/>
        <w:numId w:val="6"/>
      </w:numPr>
      <w:spacing w:before="120" w:after="120"/>
      <w:jc w:val="both"/>
    </w:pPr>
  </w:style>
  <w:style w:type="paragraph" w:customStyle="1" w:styleId="Point2number">
    <w:name w:val="Point 2 (number)"/>
    <w:basedOn w:val="Normal"/>
    <w:uiPriority w:val="99"/>
    <w:pPr>
      <w:numPr>
        <w:ilvl w:val="4"/>
        <w:numId w:val="6"/>
      </w:numPr>
      <w:spacing w:before="120" w:after="120"/>
      <w:jc w:val="both"/>
    </w:pPr>
  </w:style>
  <w:style w:type="paragraph" w:customStyle="1" w:styleId="Point3number">
    <w:name w:val="Point 3 (number)"/>
    <w:basedOn w:val="Normal"/>
    <w:uiPriority w:val="99"/>
    <w:pPr>
      <w:numPr>
        <w:ilvl w:val="6"/>
        <w:numId w:val="6"/>
      </w:numPr>
      <w:spacing w:before="120" w:after="120"/>
      <w:jc w:val="both"/>
    </w:pPr>
  </w:style>
  <w:style w:type="paragraph" w:customStyle="1" w:styleId="Point0letter">
    <w:name w:val="Point 0 (letter)"/>
    <w:basedOn w:val="Normal"/>
    <w:uiPriority w:val="99"/>
    <w:pPr>
      <w:numPr>
        <w:ilvl w:val="1"/>
        <w:numId w:val="6"/>
      </w:numPr>
      <w:spacing w:before="120" w:after="120"/>
      <w:jc w:val="both"/>
    </w:pPr>
  </w:style>
  <w:style w:type="paragraph" w:customStyle="1" w:styleId="Point1letter">
    <w:name w:val="Point 1 (letter)"/>
    <w:basedOn w:val="Normal"/>
    <w:uiPriority w:val="99"/>
    <w:pPr>
      <w:numPr>
        <w:ilvl w:val="3"/>
        <w:numId w:val="6"/>
      </w:numPr>
      <w:spacing w:before="120" w:after="120"/>
      <w:jc w:val="both"/>
    </w:pPr>
  </w:style>
  <w:style w:type="paragraph" w:customStyle="1" w:styleId="Point2letter">
    <w:name w:val="Point 2 (letter)"/>
    <w:basedOn w:val="Normal"/>
    <w:uiPriority w:val="99"/>
    <w:pPr>
      <w:numPr>
        <w:ilvl w:val="5"/>
        <w:numId w:val="6"/>
      </w:numPr>
      <w:spacing w:before="120" w:after="120"/>
      <w:jc w:val="both"/>
    </w:pPr>
  </w:style>
  <w:style w:type="paragraph" w:customStyle="1" w:styleId="Point3letter">
    <w:name w:val="Point 3 (letter)"/>
    <w:basedOn w:val="Normal"/>
    <w:uiPriority w:val="99"/>
    <w:pPr>
      <w:numPr>
        <w:ilvl w:val="7"/>
        <w:numId w:val="6"/>
      </w:numPr>
      <w:spacing w:before="120" w:after="120"/>
      <w:jc w:val="both"/>
    </w:pPr>
  </w:style>
  <w:style w:type="paragraph" w:customStyle="1" w:styleId="Point4letter">
    <w:name w:val="Point 4 (letter)"/>
    <w:basedOn w:val="Normal"/>
    <w:uiPriority w:val="99"/>
    <w:pPr>
      <w:numPr>
        <w:ilvl w:val="8"/>
        <w:numId w:val="6"/>
      </w:numPr>
      <w:spacing w:before="120" w:after="120"/>
      <w:jc w:val="both"/>
    </w:pPr>
  </w:style>
  <w:style w:type="character" w:customStyle="1" w:styleId="dwd">
    <w:name w:val="_dwd"/>
  </w:style>
  <w:style w:type="paragraph" w:styleId="Revision">
    <w:name w:val="Revision"/>
    <w:hidden/>
    <w:uiPriority w:val="99"/>
    <w:semiHidden/>
    <w:rPr>
      <w:sz w:val="24"/>
      <w:szCs w:val="24"/>
    </w:rPr>
  </w:style>
  <w:style w:type="character" w:customStyle="1" w:styleId="Heading1Char">
    <w:name w:val="Heading 1 Char"/>
    <w:link w:val="Heading1"/>
    <w:rPr>
      <w:rFonts w:ascii="Times New Roman Bold" w:hAnsi="Times New Roman Bold" w:cs="Arial"/>
      <w:b/>
      <w:bCs/>
      <w:smallCaps/>
      <w:noProof/>
      <w:kern w:val="32"/>
      <w:sz w:val="24"/>
      <w:szCs w:val="32"/>
    </w:rPr>
  </w:style>
  <w:style w:type="character" w:customStyle="1" w:styleId="contents">
    <w:name w:val="contents"/>
  </w:style>
  <w:style w:type="paragraph" w:customStyle="1" w:styleId="ManualHeading3">
    <w:name w:val="Manual Heading 3"/>
    <w:basedOn w:val="Normal"/>
    <w:next w:val="Text1"/>
    <w:pPr>
      <w:keepNext/>
      <w:tabs>
        <w:tab w:val="left" w:pos="850"/>
      </w:tabs>
      <w:spacing w:before="120" w:after="120"/>
      <w:ind w:left="850" w:hanging="850"/>
      <w:jc w:val="both"/>
      <w:outlineLvl w:val="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153">
      <w:bodyDiv w:val="1"/>
      <w:marLeft w:val="0"/>
      <w:marRight w:val="0"/>
      <w:marTop w:val="0"/>
      <w:marBottom w:val="0"/>
      <w:divBdr>
        <w:top w:val="none" w:sz="0" w:space="0" w:color="auto"/>
        <w:left w:val="none" w:sz="0" w:space="0" w:color="auto"/>
        <w:bottom w:val="none" w:sz="0" w:space="0" w:color="auto"/>
        <w:right w:val="none" w:sz="0" w:space="0" w:color="auto"/>
      </w:divBdr>
    </w:div>
    <w:div w:id="109977746">
      <w:bodyDiv w:val="1"/>
      <w:marLeft w:val="0"/>
      <w:marRight w:val="0"/>
      <w:marTop w:val="0"/>
      <w:marBottom w:val="0"/>
      <w:divBdr>
        <w:top w:val="none" w:sz="0" w:space="0" w:color="auto"/>
        <w:left w:val="none" w:sz="0" w:space="0" w:color="auto"/>
        <w:bottom w:val="none" w:sz="0" w:space="0" w:color="auto"/>
        <w:right w:val="none" w:sz="0" w:space="0" w:color="auto"/>
      </w:divBdr>
    </w:div>
    <w:div w:id="330766934">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054045569">
      <w:bodyDiv w:val="1"/>
      <w:marLeft w:val="0"/>
      <w:marRight w:val="0"/>
      <w:marTop w:val="0"/>
      <w:marBottom w:val="0"/>
      <w:divBdr>
        <w:top w:val="none" w:sz="0" w:space="0" w:color="auto"/>
        <w:left w:val="none" w:sz="0" w:space="0" w:color="auto"/>
        <w:bottom w:val="none" w:sz="0" w:space="0" w:color="auto"/>
        <w:right w:val="none" w:sz="0" w:space="0" w:color="auto"/>
      </w:divBdr>
    </w:div>
    <w:div w:id="1055620782">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00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8CF7-844D-4502-8DCC-AE934C3C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8631</Words>
  <Characters>44628</Characters>
  <Application>Microsoft Office Word</Application>
  <DocSecurity>0</DocSecurity>
  <Lines>1394</Lines>
  <Paragraphs>719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52540</CharactersWithSpaces>
  <SharedDoc>false</SharedDoc>
  <HLinks>
    <vt:vector size="96" baseType="variant">
      <vt:variant>
        <vt:i4>1572921</vt:i4>
      </vt:variant>
      <vt:variant>
        <vt:i4>89</vt:i4>
      </vt:variant>
      <vt:variant>
        <vt:i4>0</vt:i4>
      </vt:variant>
      <vt:variant>
        <vt:i4>5</vt:i4>
      </vt:variant>
      <vt:variant>
        <vt:lpwstr/>
      </vt:variant>
      <vt:variant>
        <vt:lpwstr>_Toc431481495</vt:lpwstr>
      </vt:variant>
      <vt:variant>
        <vt:i4>1572921</vt:i4>
      </vt:variant>
      <vt:variant>
        <vt:i4>83</vt:i4>
      </vt:variant>
      <vt:variant>
        <vt:i4>0</vt:i4>
      </vt:variant>
      <vt:variant>
        <vt:i4>5</vt:i4>
      </vt:variant>
      <vt:variant>
        <vt:lpwstr/>
      </vt:variant>
      <vt:variant>
        <vt:lpwstr>_Toc431481494</vt:lpwstr>
      </vt:variant>
      <vt:variant>
        <vt:i4>1572921</vt:i4>
      </vt:variant>
      <vt:variant>
        <vt:i4>77</vt:i4>
      </vt:variant>
      <vt:variant>
        <vt:i4>0</vt:i4>
      </vt:variant>
      <vt:variant>
        <vt:i4>5</vt:i4>
      </vt:variant>
      <vt:variant>
        <vt:lpwstr/>
      </vt:variant>
      <vt:variant>
        <vt:lpwstr>_Toc431481493</vt:lpwstr>
      </vt:variant>
      <vt:variant>
        <vt:i4>1572921</vt:i4>
      </vt:variant>
      <vt:variant>
        <vt:i4>71</vt:i4>
      </vt:variant>
      <vt:variant>
        <vt:i4>0</vt:i4>
      </vt:variant>
      <vt:variant>
        <vt:i4>5</vt:i4>
      </vt:variant>
      <vt:variant>
        <vt:lpwstr/>
      </vt:variant>
      <vt:variant>
        <vt:lpwstr>_Toc431481492</vt:lpwstr>
      </vt:variant>
      <vt:variant>
        <vt:i4>1572921</vt:i4>
      </vt:variant>
      <vt:variant>
        <vt:i4>65</vt:i4>
      </vt:variant>
      <vt:variant>
        <vt:i4>0</vt:i4>
      </vt:variant>
      <vt:variant>
        <vt:i4>5</vt:i4>
      </vt:variant>
      <vt:variant>
        <vt:lpwstr/>
      </vt:variant>
      <vt:variant>
        <vt:lpwstr>_Toc431481491</vt:lpwstr>
      </vt:variant>
      <vt:variant>
        <vt:i4>1572921</vt:i4>
      </vt:variant>
      <vt:variant>
        <vt:i4>59</vt:i4>
      </vt:variant>
      <vt:variant>
        <vt:i4>0</vt:i4>
      </vt:variant>
      <vt:variant>
        <vt:i4>5</vt:i4>
      </vt:variant>
      <vt:variant>
        <vt:lpwstr/>
      </vt:variant>
      <vt:variant>
        <vt:lpwstr>_Toc431481490</vt:lpwstr>
      </vt:variant>
      <vt:variant>
        <vt:i4>1638457</vt:i4>
      </vt:variant>
      <vt:variant>
        <vt:i4>53</vt:i4>
      </vt:variant>
      <vt:variant>
        <vt:i4>0</vt:i4>
      </vt:variant>
      <vt:variant>
        <vt:i4>5</vt:i4>
      </vt:variant>
      <vt:variant>
        <vt:lpwstr/>
      </vt:variant>
      <vt:variant>
        <vt:lpwstr>_Toc431481489</vt:lpwstr>
      </vt:variant>
      <vt:variant>
        <vt:i4>1638457</vt:i4>
      </vt:variant>
      <vt:variant>
        <vt:i4>47</vt:i4>
      </vt:variant>
      <vt:variant>
        <vt:i4>0</vt:i4>
      </vt:variant>
      <vt:variant>
        <vt:i4>5</vt:i4>
      </vt:variant>
      <vt:variant>
        <vt:lpwstr/>
      </vt:variant>
      <vt:variant>
        <vt:lpwstr>_Toc431481488</vt:lpwstr>
      </vt:variant>
      <vt:variant>
        <vt:i4>1638457</vt:i4>
      </vt:variant>
      <vt:variant>
        <vt:i4>41</vt:i4>
      </vt:variant>
      <vt:variant>
        <vt:i4>0</vt:i4>
      </vt:variant>
      <vt:variant>
        <vt:i4>5</vt:i4>
      </vt:variant>
      <vt:variant>
        <vt:lpwstr/>
      </vt:variant>
      <vt:variant>
        <vt:lpwstr>_Toc431481487</vt:lpwstr>
      </vt:variant>
      <vt:variant>
        <vt:i4>1638457</vt:i4>
      </vt:variant>
      <vt:variant>
        <vt:i4>35</vt:i4>
      </vt:variant>
      <vt:variant>
        <vt:i4>0</vt:i4>
      </vt:variant>
      <vt:variant>
        <vt:i4>5</vt:i4>
      </vt:variant>
      <vt:variant>
        <vt:lpwstr/>
      </vt:variant>
      <vt:variant>
        <vt:lpwstr>_Toc431481486</vt:lpwstr>
      </vt:variant>
      <vt:variant>
        <vt:i4>1638457</vt:i4>
      </vt:variant>
      <vt:variant>
        <vt:i4>29</vt:i4>
      </vt:variant>
      <vt:variant>
        <vt:i4>0</vt:i4>
      </vt:variant>
      <vt:variant>
        <vt:i4>5</vt:i4>
      </vt:variant>
      <vt:variant>
        <vt:lpwstr/>
      </vt:variant>
      <vt:variant>
        <vt:lpwstr>_Toc431481485</vt:lpwstr>
      </vt:variant>
      <vt:variant>
        <vt:i4>1638457</vt:i4>
      </vt:variant>
      <vt:variant>
        <vt:i4>23</vt:i4>
      </vt:variant>
      <vt:variant>
        <vt:i4>0</vt:i4>
      </vt:variant>
      <vt:variant>
        <vt:i4>5</vt:i4>
      </vt:variant>
      <vt:variant>
        <vt:lpwstr/>
      </vt:variant>
      <vt:variant>
        <vt:lpwstr>_Toc431481484</vt:lpwstr>
      </vt:variant>
      <vt:variant>
        <vt:i4>1638457</vt:i4>
      </vt:variant>
      <vt:variant>
        <vt:i4>17</vt:i4>
      </vt:variant>
      <vt:variant>
        <vt:i4>0</vt:i4>
      </vt:variant>
      <vt:variant>
        <vt:i4>5</vt:i4>
      </vt:variant>
      <vt:variant>
        <vt:lpwstr/>
      </vt:variant>
      <vt:variant>
        <vt:lpwstr>_Toc431481483</vt:lpwstr>
      </vt:variant>
      <vt:variant>
        <vt:i4>1638457</vt:i4>
      </vt:variant>
      <vt:variant>
        <vt:i4>11</vt:i4>
      </vt:variant>
      <vt:variant>
        <vt:i4>0</vt:i4>
      </vt:variant>
      <vt:variant>
        <vt:i4>5</vt:i4>
      </vt:variant>
      <vt:variant>
        <vt:lpwstr/>
      </vt:variant>
      <vt:variant>
        <vt:lpwstr>_Toc431481482</vt:lpwstr>
      </vt:variant>
      <vt:variant>
        <vt:i4>1638457</vt:i4>
      </vt:variant>
      <vt:variant>
        <vt:i4>5</vt:i4>
      </vt:variant>
      <vt:variant>
        <vt:i4>0</vt:i4>
      </vt:variant>
      <vt:variant>
        <vt:i4>5</vt:i4>
      </vt:variant>
      <vt:variant>
        <vt:lpwstr/>
      </vt:variant>
      <vt:variant>
        <vt:lpwstr>_Toc431481481</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DIGIT/A3</cp:lastModifiedBy>
  <cp:revision>52</cp:revision>
  <cp:lastPrinted>2015-10-05T09:37:00Z</cp:lastPrinted>
  <dcterms:created xsi:type="dcterms:W3CDTF">2015-10-05T15:40:00Z</dcterms:created>
  <dcterms:modified xsi:type="dcterms:W3CDTF">2015-10-19T12:05:00Z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