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5DF4876AA01A4D6D8FFEA7F1B4D96DE6" style="width:450.5pt;height:442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Приложениe II: Прояви по линия на предходната програма „Перикъл“, осъществени през 2014 г.</w:t>
      </w:r>
    </w:p>
    <w:tbl>
      <w:tblPr>
        <w:tblW w:w="10207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2126"/>
        <w:gridCol w:w="2126"/>
      </w:tblGrid>
      <w:tr>
        <w:trPr>
          <w:trHeight w:val="1325"/>
        </w:trPr>
        <w:tc>
          <w:tcPr>
            <w:tcW w:w="1844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Организатор</w:t>
            </w:r>
          </w:p>
        </w:tc>
        <w:tc>
          <w:tcPr>
            <w:tcW w:w="4111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Дейност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Дата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Общ размер на средствата, отпуснати по програмата „Перикъл“ (2007—2013 г.)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Наръчник за борба с фалшифицирането на еврото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(актуализация на списъка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 компетентните органи)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Първо полугодие на 2014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1500</w:t>
            </w:r>
          </w:p>
        </w:tc>
      </w:tr>
      <w:tr>
        <w:trPr>
          <w:trHeight w:val="563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Обмен на служители между НЦАМ (националния център за анализ на монети) на Гърция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 други НЦАМ от ЕС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Атина 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27 януари — 28 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февруари 2014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20 000</w:t>
            </w:r>
          </w:p>
        </w:tc>
      </w:tr>
      <w:tr>
        <w:trPr>
          <w:trHeight w:val="564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Основна цел на проявата: </w:t>
            </w:r>
            <w:r>
              <w:rPr>
                <w:rFonts w:ascii="Times New Roman" w:hAnsi="Times New Roman"/>
                <w:noProof/>
              </w:rPr>
              <w:t>Обучение по класифициране на фалшифицирани евромонети.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ЛАТВИЯ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Полиция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Безвъзмездни средства</w:t>
            </w:r>
          </w:p>
        </w:tc>
        <w:tc>
          <w:tcPr>
            <w:tcW w:w="411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Обмен на служители през 2014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Италия, Испания,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Португалия, Германия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 февруари — 16 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май 2014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23 373</w:t>
            </w:r>
          </w:p>
        </w:tc>
      </w:tr>
      <w:tr>
        <w:trPr>
          <w:trHeight w:val="997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РУМЪНИЯ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GIRP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Безвъзмездни средства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Тактическо техническо обучение: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Укрепване на защитата на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еврото в Румъния,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Югоизточна Европа и Турция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като държава — кандидатка за членство в ЕС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Букурещ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25—27 февруари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2014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48 286</w:t>
            </w:r>
          </w:p>
        </w:tc>
      </w:tr>
      <w:tr>
        <w:trPr>
          <w:trHeight w:val="811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Основна цел на проявата: </w:t>
            </w:r>
            <w:r>
              <w:rPr>
                <w:rFonts w:ascii="Times New Roman" w:hAnsi="Times New Roman"/>
                <w:noProof/>
              </w:rPr>
              <w:t>Обучение във връзка с методи за откриване на фалшифицирани евро, събиране на доказателства с цел последващи съдебни действия и разследване.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CCAFM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Безвъзмездни средства</w:t>
            </w:r>
          </w:p>
        </w:tc>
        <w:tc>
          <w:tcPr>
            <w:tcW w:w="411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Обмен на служители във връзка с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методи за разследване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на фалшифицирането на пари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Италия, Алжир, Мароко, Тунис,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Кот д’Ивоар, Гана, Нигерия,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Сенегал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Италия, Тунис,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Сенегал, Мароко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8 март — 18 юни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2014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42 425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lastRenderedPageBreak/>
              <w:t xml:space="preserve">Основна цел на проявата: </w:t>
            </w:r>
            <w:r>
              <w:rPr>
                <w:rFonts w:ascii="Times New Roman" w:hAnsi="Times New Roman"/>
                <w:noProof/>
              </w:rPr>
              <w:t>Обучение във връзка с методи за откриване на фалшифицирани евро, събиране на доказателства с цел последващи съдебни действия и разследване; укрепване на сътрудничеството и обмен на ноу-хау между правоприлагащите органи.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Тактическо техническо обучение: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Защита на еврото срещу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фалшифициране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Перейра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19—21 март 2014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118 137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Основна цел на проявата: </w:t>
            </w:r>
            <w:r>
              <w:rPr>
                <w:rFonts w:ascii="Times New Roman" w:hAnsi="Times New Roman"/>
                <w:noProof/>
              </w:rPr>
              <w:t>Обучение във връзка с методи за откриване на фалшифицирани евро, събиране на доказателства с цел последващи съдебни действия и разследване.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ИСПАНИЯ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Безвъзмездни средства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Семинар: Ден на борбата срещу фалшивите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пари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Беналмадена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24 април 2014 г.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76 554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Основна цел на проявата: </w:t>
            </w:r>
            <w:r>
              <w:rPr>
                <w:rFonts w:ascii="Times New Roman" w:hAnsi="Times New Roman"/>
                <w:noProof/>
              </w:rPr>
              <w:t>Обучение за откриване на фалшифицирани евро.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11-а конференция за еврото в Югоизточна Европа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Будва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19—23 май 2014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196 125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Изграждане на институции (създаване на национални централни бюра на основание на Международната конвенция за премахване и преследване фабрикуването на фалшиви парични знаци, Женева, 20 април 1929 г.), укрепване на сътрудничеството и обмен на ноу-хау.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ХЪРВАТИЯ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НЦБ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Безвъзмездни средства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Балканска мрежа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за защита на еврото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Загреб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11—13 септември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2014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35 360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Изграждане на институции (създаване на национални централни бюра на основание на Международната конвенция за премахване и преследване фабрикуването на фалшиви парични знаци, Женева, 20 април 1929 г.), укрепване на сътрудничеството и обмен на ноу-хау.</w:t>
            </w:r>
          </w:p>
        </w:tc>
      </w:tr>
    </w:tbl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ACCOMPAGNANT.CP" w:val="\u1082?\u1098?\u1084? 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5DF4876AA01A4D6D8FFEA7F1B4D96DE6"/>
    <w:docVar w:name="LW_CROSSREFERENCE" w:val="&lt;UNUSED&gt;"/>
    <w:docVar w:name="LW_DocType" w:val="NORMAL"/>
    <w:docVar w:name="LW_EMISSION" w:val="19.10.2015"/>
    <w:docVar w:name="LW_EMISSION_ISODATE" w:val="2015-10-19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0?\u1079?\u1087?\u1098?\u1083?\u1085?\u1077?\u1085?\u1080?\u1077?\u1090?\u1086? \u1080? \u1088?\u1077?\u1079?\u1091?\u1083?\u1090?\u1072?\u1090?\u1080?\u1090?\u1077? \u1087?\u1088?\u1077?\u1079? 2014 \u1075?. \u1085?\u1072? \u1087?\u1088?\u1086?\u1075?\u1088?\u1072?\u1084?\u1072?\u1090?\u1072? \u8222?\u1055?\u1077?\u1088?\u1080?\u1082?\u1098?\u1083?\u8220? \u1079?\u1072? \u1079?\u1072?\u1097?\u1080?\u1090?\u1072? \u1085?\u1072? \u1077?\u1074?\u1088?\u1086?\u1090?\u1086? \u1089?\u1088?\u1077?\u1097?\u1091? \u1092?\u1072?\u1083?\u1096?\u1080?\u1092?\u1080?\u1094?\u1080?\u1088?\u1072?\u1085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5) 507"/>
    <w:docVar w:name="LW_REF.INTERNE" w:val="&lt;UNUSED&gt;"/>
    <w:docVar w:name="LW_SUPERTITRE" w:val="&lt;UNUSED&gt;"/>
    <w:docVar w:name="LW_TITRE.OBJ.CP" w:val="\u1055?\u1088?\u1086?\u1103?\u1074?\u1080? \u1087?\u1086? \u1083?\u1080?\u1085?\u1080?\u1103? \u1085?\u1072? \u1087?\u1088?\u1077?\u1076?\u1093?\u1086?\u1076?\u1085?\u1072?\u1090?\u1072? \u1087?\u1088?\u1086?\u1075?\u1088?\u1072?\u1084?\u1072? \u8222?\u1055?\u1077?\u1088?\u1080?\u1082?\u1098?\u1083?\u8220?, \u1086?\u1089?\u1098?\u1097?\u1077?\u1089?\u1090?\u1074?\u1077?\u1085?\u1080? \u1087?\u1088?\u1077?\u1079? 2014 \u1075?.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465</Words>
  <Characters>2695</Characters>
  <Application>Microsoft Office Word</Application>
  <DocSecurity>0</DocSecurity>
  <Lines>149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BOREEL Daniel (ECFIN)</dc:creator>
  <cp:keywords/>
  <cp:lastModifiedBy>DIGIT/A3</cp:lastModifiedBy>
  <cp:revision>10</cp:revision>
  <cp:lastPrinted>2015-05-07T08:04:00Z</cp:lastPrinted>
  <dcterms:created xsi:type="dcterms:W3CDTF">2015-09-14T17:31:00Z</dcterms:created>
  <dcterms:modified xsi:type="dcterms:W3CDTF">2015-10-12T08:17:00Z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