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FE7" w:rsidRDefault="002307DB">
      <w:pPr>
        <w:pStyle w:val="Pagedecouverture"/>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70223562F62F4780B1173CD8A2BDEC65" style="width:450.75pt;height:438pt">
            <v:imagedata r:id="rId9" o:title=""/>
          </v:shape>
        </w:pict>
      </w:r>
    </w:p>
    <w:p w:rsidR="00277FE7" w:rsidRDefault="00277FE7">
      <w:pPr>
        <w:rPr>
          <w:noProof/>
          <w:sz w:val="20"/>
          <w:szCs w:val="20"/>
        </w:rPr>
        <w:sectPr w:rsidR="00277FE7">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0"/>
          <w:cols w:space="720"/>
          <w:docGrid w:linePitch="360"/>
        </w:sectPr>
      </w:pPr>
    </w:p>
    <w:p w:rsidR="00277FE7" w:rsidRDefault="002307DB">
      <w:pPr>
        <w:pStyle w:val="Typeacteprincipal"/>
        <w:rPr>
          <w:noProof/>
          <w:sz w:val="20"/>
          <w:szCs w:val="20"/>
        </w:rPr>
      </w:pPr>
      <w:r>
        <w:rPr>
          <w:noProof/>
          <w:sz w:val="20"/>
          <w:szCs w:val="20"/>
        </w:rPr>
        <w:lastRenderedPageBreak/>
        <w:br/>
      </w:r>
      <w:r>
        <w:rPr>
          <w:noProof/>
          <w:sz w:val="20"/>
          <w:szCs w:val="20"/>
        </w:rPr>
        <w:br/>
      </w:r>
    </w:p>
    <w:p w:rsidR="00277FE7" w:rsidRDefault="002307DB">
      <w:pPr>
        <w:pStyle w:val="Titrearticle"/>
        <w:jc w:val="both"/>
        <w:rPr>
          <w:i w:val="0"/>
          <w:noProof/>
          <w:sz w:val="20"/>
          <w:szCs w:val="20"/>
        </w:rPr>
      </w:pPr>
      <w:r>
        <w:rPr>
          <w:b/>
          <w:i w:val="0"/>
          <w:noProof/>
          <w:sz w:val="20"/>
          <w:szCs w:val="20"/>
        </w:rPr>
        <w:t>Annexe 7, première partie, article 5, paragraphe 2, alinéa i)</w:t>
      </w:r>
    </w:p>
    <w:p w:rsidR="00277FE7" w:rsidRDefault="002307DB">
      <w:pPr>
        <w:rPr>
          <w:noProof/>
          <w:sz w:val="20"/>
          <w:szCs w:val="20"/>
        </w:rPr>
      </w:pPr>
      <w:r>
        <w:rPr>
          <w:i/>
          <w:noProof/>
          <w:sz w:val="20"/>
          <w:szCs w:val="20"/>
        </w:rPr>
        <w:t>Modifier</w:t>
      </w:r>
      <w:r>
        <w:rPr>
          <w:noProof/>
          <w:sz w:val="20"/>
          <w:szCs w:val="20"/>
        </w:rPr>
        <w:t xml:space="preserve"> comme suit:</w:t>
      </w:r>
    </w:p>
    <w:p w:rsidR="00277FE7" w:rsidRDefault="002307DB">
      <w:pPr>
        <w:rPr>
          <w:noProof/>
          <w:sz w:val="20"/>
          <w:szCs w:val="20"/>
        </w:rPr>
      </w:pPr>
      <w:r>
        <w:rPr>
          <w:noProof/>
          <w:sz w:val="20"/>
          <w:szCs w:val="20"/>
        </w:rPr>
        <w:t>i)</w:t>
      </w:r>
      <w:r>
        <w:rPr>
          <w:noProof/>
          <w:sz w:val="20"/>
          <w:szCs w:val="20"/>
        </w:rPr>
        <w:tab/>
        <w:t xml:space="preserve">Les bâches </w:t>
      </w:r>
      <w:r>
        <w:rPr>
          <w:noProof/>
          <w:sz w:val="20"/>
          <w:szCs w:val="20"/>
        </w:rPr>
        <w:t>coulissantes, plancher, portes et tous autres éléments constitutifs du conteneur doivent être assemblés soit au moyen de dispositifs ne pouvant être enlevés et remis en place de l’extérieur sans laisser de traces visibles, soit selon des méthodes ayant pou</w:t>
      </w:r>
      <w:r>
        <w:rPr>
          <w:noProof/>
          <w:sz w:val="20"/>
          <w:szCs w:val="20"/>
        </w:rPr>
        <w:t>r effet de constituer un ensemble ne pouvant être modifié sans laisser de traces visibles.</w:t>
      </w:r>
    </w:p>
    <w:p w:rsidR="00277FE7" w:rsidRDefault="002307DB">
      <w:pPr>
        <w:pStyle w:val="Titrearticle"/>
        <w:jc w:val="both"/>
        <w:rPr>
          <w:b/>
          <w:i w:val="0"/>
          <w:noProof/>
          <w:sz w:val="20"/>
          <w:szCs w:val="20"/>
        </w:rPr>
      </w:pPr>
      <w:r>
        <w:rPr>
          <w:b/>
          <w:i w:val="0"/>
          <w:noProof/>
          <w:sz w:val="20"/>
          <w:szCs w:val="20"/>
        </w:rPr>
        <w:t>Annexe 7, première partie, article 5, paragraphe 2, alinéa iii)</w:t>
      </w:r>
    </w:p>
    <w:p w:rsidR="00277FE7" w:rsidRDefault="002307DB">
      <w:pPr>
        <w:rPr>
          <w:noProof/>
          <w:sz w:val="20"/>
          <w:szCs w:val="20"/>
        </w:rPr>
      </w:pPr>
      <w:r>
        <w:rPr>
          <w:i/>
          <w:noProof/>
          <w:sz w:val="20"/>
          <w:szCs w:val="20"/>
        </w:rPr>
        <w:t>Modifier</w:t>
      </w:r>
      <w:r>
        <w:rPr>
          <w:noProof/>
          <w:sz w:val="20"/>
          <w:szCs w:val="20"/>
        </w:rPr>
        <w:t xml:space="preserve"> comme suit:</w:t>
      </w:r>
    </w:p>
    <w:p w:rsidR="00277FE7" w:rsidRDefault="002307DB">
      <w:pPr>
        <w:rPr>
          <w:noProof/>
          <w:sz w:val="20"/>
          <w:szCs w:val="20"/>
        </w:rPr>
      </w:pPr>
      <w:r>
        <w:rPr>
          <w:noProof/>
          <w:sz w:val="20"/>
          <w:szCs w:val="20"/>
        </w:rPr>
        <w:t>iii)</w:t>
      </w:r>
      <w:r>
        <w:rPr>
          <w:noProof/>
          <w:sz w:val="20"/>
          <w:szCs w:val="20"/>
        </w:rPr>
        <w:tab/>
        <w:t>Le système de guidage et les dispositifs de tension des bâches coulissantes</w:t>
      </w:r>
      <w:r>
        <w:rPr>
          <w:noProof/>
          <w:sz w:val="20"/>
          <w:szCs w:val="20"/>
        </w:rPr>
        <w:t xml:space="preserve"> ainsi que les autres parties mobiles doivent être assemblés de telle manière qu’on ne puisse ouvrir ni fermer de l’extérieur sans laisser de traces visibles les portes et autres parties mobiles une fois celles-ci fermées et scellées pour la douane. Le sys</w:t>
      </w:r>
      <w:r>
        <w:rPr>
          <w:noProof/>
          <w:sz w:val="20"/>
          <w:szCs w:val="20"/>
        </w:rPr>
        <w:t xml:space="preserve">tème de guidage et les dispositifs de tension des bâches coulissantes ainsi que les autres parties mobiles doivent être assemblés de telle manière qu’il soit impossible d’accéder au conteneur sans laisser de traces visibles une fois que les dispositifs de </w:t>
      </w:r>
      <w:r>
        <w:rPr>
          <w:noProof/>
          <w:sz w:val="20"/>
          <w:szCs w:val="20"/>
        </w:rPr>
        <w:t>fermeture ont été scellés. Le croquis n° 9 figurant en appendice au présent Règlement illustre un exemple d’un tel système de construction.</w:t>
      </w:r>
    </w:p>
    <w:p w:rsidR="00277FE7" w:rsidRDefault="002307DB">
      <w:pPr>
        <w:pStyle w:val="Titrearticle"/>
        <w:jc w:val="both"/>
        <w:rPr>
          <w:b/>
          <w:i w:val="0"/>
          <w:noProof/>
          <w:sz w:val="20"/>
          <w:szCs w:val="20"/>
        </w:rPr>
      </w:pPr>
      <w:r>
        <w:rPr>
          <w:b/>
          <w:i w:val="0"/>
          <w:noProof/>
          <w:sz w:val="20"/>
          <w:szCs w:val="20"/>
        </w:rPr>
        <w:t>Annexe 7, première partie, nouvel article 6</w:t>
      </w:r>
    </w:p>
    <w:p w:rsidR="00277FE7" w:rsidRDefault="002307DB">
      <w:pPr>
        <w:rPr>
          <w:i/>
          <w:noProof/>
          <w:sz w:val="20"/>
          <w:szCs w:val="20"/>
        </w:rPr>
      </w:pPr>
      <w:r>
        <w:rPr>
          <w:i/>
          <w:noProof/>
          <w:sz w:val="20"/>
          <w:szCs w:val="20"/>
        </w:rPr>
        <w:t>Après</w:t>
      </w:r>
      <w:r>
        <w:rPr>
          <w:noProof/>
          <w:sz w:val="20"/>
          <w:szCs w:val="20"/>
        </w:rPr>
        <w:t xml:space="preserve"> l’article 5 modifié, </w:t>
      </w:r>
      <w:r>
        <w:rPr>
          <w:i/>
          <w:noProof/>
          <w:sz w:val="20"/>
          <w:szCs w:val="20"/>
        </w:rPr>
        <w:t>ajouter</w:t>
      </w:r>
      <w:r>
        <w:rPr>
          <w:noProof/>
          <w:sz w:val="20"/>
          <w:szCs w:val="20"/>
        </w:rPr>
        <w:t xml:space="preserve"> un nouvel article 6, libellé comme su</w:t>
      </w:r>
      <w:r>
        <w:rPr>
          <w:noProof/>
          <w:sz w:val="20"/>
          <w:szCs w:val="20"/>
        </w:rPr>
        <w:t>it:</w:t>
      </w:r>
    </w:p>
    <w:p w:rsidR="00277FE7" w:rsidRDefault="002307DB">
      <w:pPr>
        <w:pStyle w:val="Titrearticle"/>
        <w:rPr>
          <w:b/>
          <w:noProof/>
          <w:sz w:val="20"/>
          <w:szCs w:val="20"/>
        </w:rPr>
      </w:pPr>
      <w:r>
        <w:rPr>
          <w:b/>
          <w:noProof/>
          <w:sz w:val="20"/>
          <w:szCs w:val="20"/>
        </w:rPr>
        <w:t>Article 6</w:t>
      </w:r>
    </w:p>
    <w:p w:rsidR="00277FE7" w:rsidRDefault="002307DB">
      <w:pPr>
        <w:jc w:val="center"/>
        <w:rPr>
          <w:noProof/>
          <w:sz w:val="20"/>
          <w:szCs w:val="20"/>
        </w:rPr>
      </w:pPr>
      <w:r>
        <w:rPr>
          <w:noProof/>
          <w:sz w:val="20"/>
          <w:szCs w:val="20"/>
          <w:u w:val="single"/>
        </w:rPr>
        <w:t>Conteneurs à bâche de toit coulissante</w:t>
      </w:r>
    </w:p>
    <w:p w:rsidR="00277FE7" w:rsidRDefault="002307DB">
      <w:pPr>
        <w:pStyle w:val="NumPar1"/>
        <w:numPr>
          <w:ilvl w:val="0"/>
          <w:numId w:val="9"/>
        </w:numPr>
        <w:rPr>
          <w:noProof/>
          <w:sz w:val="20"/>
          <w:szCs w:val="20"/>
        </w:rPr>
      </w:pPr>
      <w:r>
        <w:rPr>
          <w:noProof/>
          <w:sz w:val="20"/>
          <w:szCs w:val="20"/>
        </w:rPr>
        <w:t xml:space="preserve">Lorsqu’il y a lieu, les dispositions des articles 1, 2, 3, 4 et 5 du présent Règlement s’appliquent aux conteneurs à bâche de toit coulissante. En outre, ces conteneurs doivent être conformes aux </w:t>
      </w:r>
      <w:r>
        <w:rPr>
          <w:noProof/>
          <w:sz w:val="20"/>
          <w:szCs w:val="20"/>
        </w:rPr>
        <w:t>dispositions du présent article.</w:t>
      </w:r>
    </w:p>
    <w:p w:rsidR="00277FE7" w:rsidRDefault="002307DB">
      <w:pPr>
        <w:pStyle w:val="NumPar1"/>
        <w:numPr>
          <w:ilvl w:val="0"/>
          <w:numId w:val="9"/>
        </w:numPr>
        <w:rPr>
          <w:noProof/>
          <w:sz w:val="20"/>
          <w:szCs w:val="20"/>
        </w:rPr>
      </w:pPr>
      <w:r>
        <w:rPr>
          <w:noProof/>
          <w:sz w:val="20"/>
          <w:szCs w:val="20"/>
        </w:rPr>
        <w:t>La bâche de toit coulissante doit être conforme aux prescriptions des alinéas i) à iii) ci-après:</w:t>
      </w:r>
    </w:p>
    <w:p w:rsidR="00277FE7" w:rsidRDefault="002307DB">
      <w:pPr>
        <w:pStyle w:val="Index1"/>
        <w:ind w:left="1435" w:hanging="585"/>
        <w:rPr>
          <w:noProof/>
          <w:sz w:val="20"/>
          <w:szCs w:val="20"/>
        </w:rPr>
      </w:pPr>
      <w:r>
        <w:rPr>
          <w:noProof/>
          <w:sz w:val="20"/>
          <w:szCs w:val="20"/>
        </w:rPr>
        <w:t>i)</w:t>
      </w:r>
      <w:r>
        <w:rPr>
          <w:noProof/>
          <w:sz w:val="20"/>
          <w:szCs w:val="20"/>
        </w:rPr>
        <w:tab/>
        <w:t>La bâche de toit coulissante doit être assemblée soit au moyen de dispositifs ne pouvant être enlevés et remis en place de</w:t>
      </w:r>
      <w:r>
        <w:rPr>
          <w:noProof/>
          <w:sz w:val="20"/>
          <w:szCs w:val="20"/>
        </w:rPr>
        <w:t xml:space="preserve"> l’extérieur sans laisser de traces visibles, soit par des méthodes ayant pour effet de constituer un ensemble ne pouvant être modifié sans laisser de traces visibles.</w:t>
      </w:r>
    </w:p>
    <w:p w:rsidR="00277FE7" w:rsidRDefault="002307DB">
      <w:pPr>
        <w:pStyle w:val="Index1"/>
        <w:ind w:left="1435" w:hanging="585"/>
        <w:rPr>
          <w:noProof/>
          <w:sz w:val="20"/>
          <w:szCs w:val="20"/>
        </w:rPr>
      </w:pPr>
      <w:r>
        <w:rPr>
          <w:noProof/>
          <w:sz w:val="20"/>
          <w:szCs w:val="20"/>
        </w:rPr>
        <w:t>ii)</w:t>
      </w:r>
      <w:r>
        <w:rPr>
          <w:noProof/>
          <w:sz w:val="20"/>
          <w:szCs w:val="20"/>
        </w:rPr>
        <w:tab/>
        <w:t>La bâche de toit coulissante doit recouvrir la partie pleine du toit à l’avant du co</w:t>
      </w:r>
      <w:r>
        <w:rPr>
          <w:noProof/>
          <w:sz w:val="20"/>
          <w:szCs w:val="20"/>
        </w:rPr>
        <w:t>nteneur de telle manière qu’elle ne puisse être tirée par-dessus l’arête supérieure de la longrine supérieure. Dans la longueur du conteneur, des deux côtés, un câble en acier précontraint doit être inséré dans l’ourlet de la bâche de toit de telle manière</w:t>
      </w:r>
      <w:r>
        <w:rPr>
          <w:noProof/>
          <w:sz w:val="20"/>
          <w:szCs w:val="20"/>
        </w:rPr>
        <w:t xml:space="preserve"> qu’on ne puisse le retirer et le réinsérer sans laisser de traces visibles. La bâche de toit doit être fixée au chariot de coulissage de telle manière qu’on ne puisse la retirer et la fixer de nouveau sans laisser de traces visibles.</w:t>
      </w:r>
    </w:p>
    <w:p w:rsidR="00277FE7" w:rsidRDefault="002307DB">
      <w:pPr>
        <w:pStyle w:val="Index1"/>
        <w:ind w:left="1435" w:hanging="585"/>
        <w:rPr>
          <w:noProof/>
          <w:sz w:val="20"/>
          <w:szCs w:val="20"/>
        </w:rPr>
      </w:pPr>
      <w:r>
        <w:rPr>
          <w:noProof/>
          <w:sz w:val="20"/>
          <w:szCs w:val="20"/>
        </w:rPr>
        <w:t xml:space="preserve"> iii)</w:t>
      </w:r>
      <w:r>
        <w:rPr>
          <w:noProof/>
          <w:sz w:val="20"/>
          <w:szCs w:val="20"/>
        </w:rPr>
        <w:tab/>
        <w:t>Le système de g</w:t>
      </w:r>
      <w:r>
        <w:rPr>
          <w:noProof/>
          <w:sz w:val="20"/>
          <w:szCs w:val="20"/>
        </w:rPr>
        <w:t>uidage et les dispositifs de tension de la bâche de toit coulissante ainsi que les autres parties mobiles doivent être assemblés de manière qu’on ne puisse ouvrir ni fermer de l’extérieur les portes, le toit et les autres parties mobiles sans laisser de tr</w:t>
      </w:r>
      <w:r>
        <w:rPr>
          <w:noProof/>
          <w:sz w:val="20"/>
          <w:szCs w:val="20"/>
        </w:rPr>
        <w:t>aces visibles une fois qu’ils sont fermés et scellés pour la douane. Le système de guidage et les dispositifs de tension de la bâche de toit coulissante ainsi que les autres parties mobiles doivent être assemblés de telle manière que, une fois que les disp</w:t>
      </w:r>
      <w:r>
        <w:rPr>
          <w:noProof/>
          <w:sz w:val="20"/>
          <w:szCs w:val="20"/>
        </w:rPr>
        <w:t>ositifs de fermeture ont été scellés, il soit impossible d’accéder au conteneur sans laisser de traces visibles.</w:t>
      </w:r>
    </w:p>
    <w:p w:rsidR="00277FE7" w:rsidRDefault="002307DB">
      <w:pPr>
        <w:rPr>
          <w:noProof/>
          <w:sz w:val="20"/>
          <w:szCs w:val="20"/>
        </w:rPr>
      </w:pPr>
      <w:r>
        <w:rPr>
          <w:noProof/>
          <w:sz w:val="20"/>
          <w:szCs w:val="20"/>
        </w:rPr>
        <w:t>Le croquis n° 10 figurant en appendice au présent Règlement illustre un exemple possible d’un tel système de construction.</w:t>
      </w:r>
    </w:p>
    <w:p w:rsidR="00277FE7" w:rsidRDefault="002307DB">
      <w:pPr>
        <w:spacing w:before="0" w:after="200" w:line="276" w:lineRule="auto"/>
        <w:jc w:val="left"/>
        <w:rPr>
          <w:noProof/>
          <w:sz w:val="20"/>
          <w:szCs w:val="20"/>
        </w:rPr>
      </w:pPr>
      <w:r>
        <w:rPr>
          <w:noProof/>
          <w:sz w:val="20"/>
          <w:szCs w:val="20"/>
        </w:rPr>
        <w:br w:type="page"/>
      </w:r>
    </w:p>
    <w:p w:rsidR="00277FE7" w:rsidRDefault="002307DB">
      <w:pPr>
        <w:rPr>
          <w:noProof/>
          <w:sz w:val="20"/>
          <w:szCs w:val="20"/>
        </w:rPr>
      </w:pPr>
      <w:r>
        <w:rPr>
          <w:noProof/>
          <w:sz w:val="20"/>
          <w:szCs w:val="20"/>
          <w:lang w:val="en-GB" w:eastAsia="en-GB" w:bidi="ar-SA"/>
        </w:rPr>
        <w:lastRenderedPageBreak/>
        <w:drawing>
          <wp:inline distT="0" distB="0" distL="0" distR="0">
            <wp:extent cx="5761355" cy="737177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1355" cy="7371779"/>
                    </a:xfrm>
                    <a:prstGeom prst="rect">
                      <a:avLst/>
                    </a:prstGeom>
                    <a:noFill/>
                    <a:ln>
                      <a:noFill/>
                    </a:ln>
                  </pic:spPr>
                </pic:pic>
              </a:graphicData>
            </a:graphic>
          </wp:inline>
        </w:drawing>
      </w:r>
    </w:p>
    <w:p w:rsidR="00277FE7" w:rsidRDefault="002307DB">
      <w:pPr>
        <w:rPr>
          <w:noProof/>
          <w:sz w:val="20"/>
          <w:szCs w:val="20"/>
        </w:rPr>
      </w:pPr>
      <w:r>
        <w:rPr>
          <w:noProof/>
          <w:sz w:val="20"/>
          <w:szCs w:val="20"/>
        </w:rPr>
        <w:br w:type="page"/>
      </w:r>
    </w:p>
    <w:p w:rsidR="00277FE7" w:rsidRDefault="00277FE7">
      <w:pPr>
        <w:rPr>
          <w:noProof/>
          <w:sz w:val="20"/>
          <w:szCs w:val="20"/>
        </w:rPr>
      </w:pPr>
    </w:p>
    <w:p w:rsidR="00277FE7" w:rsidRDefault="002307DB">
      <w:pPr>
        <w:rPr>
          <w:noProof/>
          <w:sz w:val="20"/>
          <w:szCs w:val="20"/>
        </w:rPr>
      </w:pPr>
      <w:r>
        <w:rPr>
          <w:noProof/>
          <w:sz w:val="20"/>
          <w:szCs w:val="20"/>
          <w:lang w:val="en-GB" w:eastAsia="en-GB" w:bidi="ar-SA"/>
        </w:rPr>
        <w:drawing>
          <wp:inline distT="0" distB="0" distL="0" distR="0">
            <wp:extent cx="5761355" cy="68374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1355" cy="6837419"/>
                    </a:xfrm>
                    <a:prstGeom prst="rect">
                      <a:avLst/>
                    </a:prstGeom>
                    <a:noFill/>
                    <a:ln>
                      <a:noFill/>
                    </a:ln>
                  </pic:spPr>
                </pic:pic>
              </a:graphicData>
            </a:graphic>
          </wp:inline>
        </w:drawing>
      </w:r>
    </w:p>
    <w:p w:rsidR="00277FE7" w:rsidRDefault="002307DB">
      <w:pPr>
        <w:rPr>
          <w:noProof/>
          <w:sz w:val="20"/>
          <w:szCs w:val="20"/>
        </w:rPr>
      </w:pPr>
      <w:r>
        <w:rPr>
          <w:noProof/>
          <w:sz w:val="20"/>
          <w:szCs w:val="20"/>
        </w:rPr>
        <w:br w:type="page"/>
      </w:r>
    </w:p>
    <w:p w:rsidR="00277FE7" w:rsidRDefault="00277FE7">
      <w:pPr>
        <w:rPr>
          <w:noProof/>
          <w:sz w:val="20"/>
          <w:szCs w:val="20"/>
        </w:rPr>
      </w:pPr>
    </w:p>
    <w:p w:rsidR="00277FE7" w:rsidRDefault="002307DB">
      <w:pPr>
        <w:rPr>
          <w:noProof/>
          <w:sz w:val="20"/>
          <w:szCs w:val="20"/>
        </w:rPr>
      </w:pPr>
      <w:r>
        <w:rPr>
          <w:noProof/>
          <w:sz w:val="20"/>
          <w:szCs w:val="20"/>
          <w:lang w:val="en-GB" w:eastAsia="en-GB" w:bidi="ar-SA"/>
        </w:rPr>
        <w:drawing>
          <wp:inline distT="0" distB="0" distL="0" distR="0">
            <wp:extent cx="5761355" cy="58186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1355" cy="5818653"/>
                    </a:xfrm>
                    <a:prstGeom prst="rect">
                      <a:avLst/>
                    </a:prstGeom>
                    <a:noFill/>
                    <a:ln>
                      <a:noFill/>
                    </a:ln>
                  </pic:spPr>
                </pic:pic>
              </a:graphicData>
            </a:graphic>
          </wp:inline>
        </w:drawing>
      </w:r>
    </w:p>
    <w:p w:rsidR="00277FE7" w:rsidRDefault="002307DB">
      <w:pPr>
        <w:rPr>
          <w:noProof/>
          <w:sz w:val="20"/>
          <w:szCs w:val="20"/>
        </w:rPr>
      </w:pPr>
      <w:r>
        <w:rPr>
          <w:noProof/>
          <w:sz w:val="20"/>
          <w:szCs w:val="20"/>
        </w:rPr>
        <w:br w:type="page"/>
      </w:r>
    </w:p>
    <w:p w:rsidR="00277FE7" w:rsidRDefault="002307DB">
      <w:pPr>
        <w:rPr>
          <w:noProof/>
          <w:sz w:val="20"/>
          <w:szCs w:val="20"/>
        </w:rPr>
      </w:pPr>
      <w:r>
        <w:rPr>
          <w:noProof/>
          <w:sz w:val="20"/>
          <w:szCs w:val="20"/>
          <w:lang w:val="en-GB" w:eastAsia="en-GB" w:bidi="ar-SA"/>
        </w:rPr>
        <w:drawing>
          <wp:inline distT="0" distB="0" distL="0" distR="0">
            <wp:extent cx="5761355" cy="7533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1355" cy="7533595"/>
                    </a:xfrm>
                    <a:prstGeom prst="rect">
                      <a:avLst/>
                    </a:prstGeom>
                    <a:noFill/>
                    <a:ln>
                      <a:noFill/>
                    </a:ln>
                  </pic:spPr>
                </pic:pic>
              </a:graphicData>
            </a:graphic>
          </wp:inline>
        </w:drawing>
      </w:r>
    </w:p>
    <w:p w:rsidR="00277FE7" w:rsidRDefault="002307DB">
      <w:pPr>
        <w:rPr>
          <w:noProof/>
          <w:sz w:val="20"/>
          <w:szCs w:val="20"/>
        </w:rPr>
      </w:pPr>
      <w:r>
        <w:rPr>
          <w:noProof/>
          <w:sz w:val="20"/>
          <w:szCs w:val="20"/>
        </w:rPr>
        <w:br w:type="page"/>
      </w:r>
    </w:p>
    <w:p w:rsidR="00277FE7" w:rsidRDefault="00277FE7">
      <w:pPr>
        <w:rPr>
          <w:noProof/>
          <w:sz w:val="20"/>
          <w:szCs w:val="20"/>
        </w:rPr>
      </w:pPr>
    </w:p>
    <w:p w:rsidR="00277FE7" w:rsidRDefault="002307DB">
      <w:pPr>
        <w:rPr>
          <w:noProof/>
          <w:sz w:val="20"/>
          <w:szCs w:val="20"/>
        </w:rPr>
      </w:pPr>
      <w:r>
        <w:rPr>
          <w:noProof/>
          <w:sz w:val="20"/>
          <w:szCs w:val="20"/>
          <w:lang w:val="en-GB" w:eastAsia="en-GB" w:bidi="ar-SA"/>
        </w:rPr>
        <w:drawing>
          <wp:inline distT="0" distB="0" distL="0" distR="0">
            <wp:extent cx="5761355" cy="49792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1355" cy="4979232"/>
                    </a:xfrm>
                    <a:prstGeom prst="rect">
                      <a:avLst/>
                    </a:prstGeom>
                    <a:noFill/>
                    <a:ln>
                      <a:noFill/>
                    </a:ln>
                  </pic:spPr>
                </pic:pic>
              </a:graphicData>
            </a:graphic>
          </wp:inline>
        </w:drawing>
      </w:r>
    </w:p>
    <w:p w:rsidR="00277FE7" w:rsidRDefault="002307DB">
      <w:pPr>
        <w:rPr>
          <w:noProof/>
          <w:sz w:val="20"/>
          <w:szCs w:val="20"/>
        </w:rPr>
      </w:pPr>
      <w:r>
        <w:rPr>
          <w:noProof/>
          <w:sz w:val="20"/>
          <w:szCs w:val="20"/>
        </w:rPr>
        <w:br w:type="page"/>
      </w:r>
    </w:p>
    <w:p w:rsidR="00277FE7" w:rsidRDefault="00277FE7">
      <w:pPr>
        <w:rPr>
          <w:noProof/>
          <w:sz w:val="20"/>
          <w:szCs w:val="20"/>
        </w:rPr>
      </w:pPr>
    </w:p>
    <w:p w:rsidR="00277FE7" w:rsidRDefault="002307DB">
      <w:pPr>
        <w:rPr>
          <w:noProof/>
          <w:sz w:val="20"/>
          <w:szCs w:val="20"/>
        </w:rPr>
      </w:pPr>
      <w:r>
        <w:rPr>
          <w:noProof/>
          <w:sz w:val="20"/>
          <w:szCs w:val="20"/>
          <w:lang w:val="en-GB" w:eastAsia="en-GB" w:bidi="ar-SA"/>
        </w:rPr>
        <w:drawing>
          <wp:inline distT="0" distB="0" distL="0" distR="0">
            <wp:extent cx="5761355" cy="59767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1355" cy="5976797"/>
                    </a:xfrm>
                    <a:prstGeom prst="rect">
                      <a:avLst/>
                    </a:prstGeom>
                    <a:noFill/>
                    <a:ln>
                      <a:noFill/>
                    </a:ln>
                  </pic:spPr>
                </pic:pic>
              </a:graphicData>
            </a:graphic>
          </wp:inline>
        </w:drawing>
      </w:r>
    </w:p>
    <w:sectPr w:rsidR="00277FE7" w:rsidSect="002307DB">
      <w:footerReference w:type="default" r:id="rId22"/>
      <w:footerReference w:type="first" r:id="rId23"/>
      <w:pgSz w:w="11907" w:h="16839"/>
      <w:pgMar w:top="1134" w:right="1417" w:bottom="1134" w:left="1417" w:header="709" w:footer="709"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FE7" w:rsidRDefault="002307DB">
      <w:pPr>
        <w:spacing w:before="0" w:after="0"/>
      </w:pPr>
      <w:r>
        <w:separator/>
      </w:r>
    </w:p>
  </w:endnote>
  <w:endnote w:type="continuationSeparator" w:id="0">
    <w:p w:rsidR="00277FE7" w:rsidRDefault="002307D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7DB" w:rsidRDefault="002307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FE7" w:rsidRDefault="002307DB">
    <w:pPr>
      <w:pStyle w:val="Footer"/>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proofErr w:type="spellStart"/>
    <w:r>
      <w:rPr>
        <w:rFonts w:ascii="Arial" w:hAnsi="Arial" w:cs="Arial"/>
        <w:b/>
        <w:sz w:val="48"/>
      </w:rPr>
      <w:t>FR</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7DB" w:rsidRDefault="002307D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FE7" w:rsidRDefault="002307DB">
    <w:pPr>
      <w:pStyle w:val="Footer"/>
      <w:rPr>
        <w:rFonts w:ascii="Arial" w:hAnsi="Arial" w:cs="Arial"/>
        <w:b/>
        <w:sz w:val="48"/>
      </w:rPr>
    </w:pPr>
    <w:bookmarkStart w:id="0" w:name="_GoBack"/>
    <w:bookmarkEnd w:id="0"/>
    <w:r>
      <w:rPr>
        <w:rFonts w:ascii="Arial" w:hAnsi="Arial" w:cs="Arial"/>
        <w:b/>
        <w:sz w:val="48"/>
      </w:rPr>
      <w:t>FR</w:t>
    </w:r>
    <w:r>
      <w:rPr>
        <w:rFonts w:ascii="Arial" w:hAnsi="Arial" w:cs="Arial"/>
        <w:b/>
        <w:sz w:val="48"/>
      </w:rPr>
      <w:tab/>
    </w:r>
    <w:r>
      <w:fldChar w:fldCharType="begin"/>
    </w:r>
    <w:r>
      <w:instrText xml:space="preserve"> PAGE  \* MERGEFORMAT </w:instrText>
    </w:r>
    <w:r>
      <w:fldChar w:fldCharType="separate"/>
    </w:r>
    <w:r>
      <w:rPr>
        <w:noProof/>
      </w:rPr>
      <w:t>2</w:t>
    </w:r>
    <w:r>
      <w:fldChar w:fldCharType="end"/>
    </w:r>
    <w: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FR</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FE7" w:rsidRDefault="00277F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FE7" w:rsidRDefault="002307DB">
      <w:pPr>
        <w:spacing w:before="0" w:after="0"/>
      </w:pPr>
      <w:r>
        <w:separator/>
      </w:r>
    </w:p>
  </w:footnote>
  <w:footnote w:type="continuationSeparator" w:id="0">
    <w:p w:rsidR="00277FE7" w:rsidRDefault="002307D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7DB" w:rsidRDefault="002307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7DB" w:rsidRDefault="002307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7DB" w:rsidRDefault="002307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4EACDA2"/>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2EA0321C"/>
    <w:lvl w:ilvl="0">
      <w:start w:val="1"/>
      <w:numFmt w:val="decimal"/>
      <w:pStyle w:val="ListNumber3"/>
      <w:lvlText w:val="%1."/>
      <w:lvlJc w:val="left"/>
      <w:pPr>
        <w:tabs>
          <w:tab w:val="num" w:pos="926"/>
        </w:tabs>
        <w:ind w:left="926" w:hanging="360"/>
      </w:pPr>
    </w:lvl>
  </w:abstractNum>
  <w:abstractNum w:abstractNumId="2">
    <w:nsid w:val="FFFFFF7F"/>
    <w:multiLevelType w:val="singleLevel"/>
    <w:tmpl w:val="3B5A648A"/>
    <w:lvl w:ilvl="0">
      <w:start w:val="1"/>
      <w:numFmt w:val="decimal"/>
      <w:pStyle w:val="ListNumber2"/>
      <w:lvlText w:val="%1."/>
      <w:lvlJc w:val="left"/>
      <w:pPr>
        <w:tabs>
          <w:tab w:val="num" w:pos="643"/>
        </w:tabs>
        <w:ind w:left="643" w:hanging="360"/>
      </w:pPr>
    </w:lvl>
  </w:abstractNum>
  <w:abstractNum w:abstractNumId="3">
    <w:nsid w:val="FFFFFF81"/>
    <w:multiLevelType w:val="singleLevel"/>
    <w:tmpl w:val="732A969C"/>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AB80CF76"/>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C6203F2C"/>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02F4A39C"/>
    <w:lvl w:ilvl="0">
      <w:start w:val="1"/>
      <w:numFmt w:val="decimal"/>
      <w:pStyle w:val="ListNumber"/>
      <w:lvlText w:val="%1."/>
      <w:lvlJc w:val="left"/>
      <w:pPr>
        <w:tabs>
          <w:tab w:val="num" w:pos="360"/>
        </w:tabs>
        <w:ind w:left="360" w:hanging="360"/>
      </w:pPr>
    </w:lvl>
  </w:abstractNum>
  <w:abstractNum w:abstractNumId="7">
    <w:nsid w:val="FFFFFF89"/>
    <w:multiLevelType w:val="singleLevel"/>
    <w:tmpl w:val="FD28B2C2"/>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9">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1">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4">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5">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6">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7">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8">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9">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21">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7"/>
  </w:num>
  <w:num w:numId="2">
    <w:abstractNumId w:val="5"/>
  </w:num>
  <w:num w:numId="3">
    <w:abstractNumId w:val="4"/>
  </w:num>
  <w:num w:numId="4">
    <w:abstractNumId w:val="3"/>
  </w:num>
  <w:num w:numId="5">
    <w:abstractNumId w:val="6"/>
  </w:num>
  <w:num w:numId="6">
    <w:abstractNumId w:val="2"/>
  </w:num>
  <w:num w:numId="7">
    <w:abstractNumId w:val="1"/>
  </w:num>
  <w:num w:numId="8">
    <w:abstractNumId w:val="0"/>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2"/>
  </w:num>
  <w:num w:numId="12">
    <w:abstractNumId w:val="20"/>
  </w:num>
  <w:num w:numId="13">
    <w:abstractNumId w:val="11"/>
  </w:num>
  <w:num w:numId="14">
    <w:abstractNumId w:val="13"/>
  </w:num>
  <w:num w:numId="15">
    <w:abstractNumId w:val="9"/>
  </w:num>
  <w:num w:numId="16">
    <w:abstractNumId w:val="19"/>
  </w:num>
  <w:num w:numId="17">
    <w:abstractNumId w:val="8"/>
  </w:num>
  <w:num w:numId="18">
    <w:abstractNumId w:val="14"/>
  </w:num>
  <w:num w:numId="19">
    <w:abstractNumId w:val="16"/>
  </w:num>
  <w:num w:numId="20">
    <w:abstractNumId w:val="17"/>
  </w:num>
  <w:num w:numId="21">
    <w:abstractNumId w:val="10"/>
  </w:num>
  <w:num w:numId="22">
    <w:abstractNumId w:val="15"/>
  </w:num>
  <w:num w:numId="23">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defaultTabStop w:val="720"/>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QCDateTime" w:val="2015-10-12 08:13:41"/>
    <w:docVar w:name="DQCResult_Distribution" w:val="0;0"/>
    <w:docVar w:name="DQCResult_DocumentContent" w:val="0;0"/>
    <w:docVar w:name="DQCResult_DocumentSize" w:val="0;0"/>
    <w:docVar w:name="DQCResult_DocumentVersions" w:val="0;0"/>
    <w:docVar w:name="DQCResult_ExistenceOfMacros" w:val="0;0"/>
    <w:docVar w:name="DQCResult_InvalidFootnotes" w:val="0;0"/>
    <w:docVar w:name="DQCResult_LinkedStyles" w:val="0;0"/>
    <w:docVar w:name="DQCResult_ModifiedMargins" w:val="0;3"/>
    <w:docVar w:name="DQCResult_ModifiedMarkers" w:val="0;0"/>
    <w:docVar w:name="DQCResult_ModifiedNumbering" w:val="0;0"/>
    <w:docVar w:name="DQCResult_Objects" w:val="0;0"/>
    <w:docVar w:name="DQCResult_Sections" w:val="0;1"/>
    <w:docVar w:name="DQCResult_StructureCheck" w:val="0;0"/>
    <w:docVar w:name="DQCResult_SuperfluousWhitespace" w:val="0;5"/>
    <w:docVar w:name="DQCResult_UnknownFonts" w:val="0;0"/>
    <w:docVar w:name="DQCResult_UnknownStyles" w:val="0;3"/>
    <w:docVar w:name="DQCStatus" w:val="Yellow"/>
    <w:docVar w:name="DQCVersion" w:val="3"/>
    <w:docVar w:name="DQCWithWarnings" w:val="0"/>
    <w:docVar w:name="LW_ACCOMPAGNANT.CP" w:val="à la"/>
    <w:docVar w:name="LW_ANNEX_NBR_FIRST" w:val="1"/>
    <w:docVar w:name="LW_ANNEX_NBR_LAST" w:val="1"/>
    <w:docVar w:name="LW_CONFIDENCE" w:val=" "/>
    <w:docVar w:name="LW_CONST_RESTREINT_UE" w:val="RESTREINT UE"/>
    <w:docVar w:name="LW_CORRIGENDUM" w:val="&lt;UNUSED&gt;"/>
    <w:docVar w:name="LW_COVERPAGE_GUID" w:val="70223562F62F4780B1173CD8A2BDEC65"/>
    <w:docVar w:name="LW_CROSSREFERENCE" w:val="&lt;UNUSED&gt;"/>
    <w:docVar w:name="LW_DocType" w:val="ANNEX"/>
    <w:docVar w:name="LW_EMISSION" w:val="20.10.2015"/>
    <w:docVar w:name="LW_EMISSION_ISODATE" w:val="2015-10-20"/>
    <w:docVar w:name="LW_EMISSION_LOCATION" w:val="BRX"/>
    <w:docVar w:name="LW_EMISSION_PREFIX" w:val="Bruxelles, le "/>
    <w:docVar w:name="LW_EMISSION_SUFFIX" w:val=" "/>
    <w:docVar w:name="LW_ID_DOCSTRUCTURE" w:val="COM/ANNEX"/>
    <w:docVar w:name="LW_ID_DOCTYPE" w:val="SG-017"/>
    <w:docVar w:name="LW_LANGUE" w:val="FR"/>
    <w:docVar w:name="LW_MARKING" w:val="&lt;UNUSED&gt;"/>
    <w:docVar w:name="LW_NOM.INST" w:val="COMMISSION EUROPÉENNE"/>
    <w:docVar w:name="LW_NOM.INST_JOINTDOC" w:val="&lt;EMPTY&gt;"/>
    <w:docVar w:name="LW_OBJETACTEPRINCIPAL.CP" w:val="relative à la position à adopter, au nom de l\u8217?Union européenne, au sein du comité de gestion de la convention TIR, en ce qui concerne la proposition visant à modifier la convention douanière relative au transport international de marchandises sous le couvert de carnets TIR_x000b_"/>
    <w:docVar w:name="LW_PART_NBR" w:val="2"/>
    <w:docVar w:name="LW_PART_NBR_TOTAL" w:val="2"/>
    <w:docVar w:name="LW_REF.INST.NEW" w:val="COM"/>
    <w:docVar w:name="LW_REF.INST.NEW_ADOPTED" w:val="final"/>
    <w:docVar w:name="LW_REF.INST.NEW_TEXT" w:val="(2015) 512"/>
    <w:docVar w:name="LW_REF.INTERNE" w:val="&lt;UNUSED&gt;"/>
    <w:docVar w:name="LW_SUPERTITRE" w:val="&lt;UNUSED&gt;"/>
    <w:docVar w:name="LW_TITRE.OBJ.CP" w:val="&lt;UNUSED&gt;"/>
    <w:docVar w:name="LW_TYPE.DOC.CP" w:val="ANNEXE"/>
    <w:docVar w:name="LW_TYPEACTEPRINCIPAL.CP" w:val="Proposition de décision du Conseil_x000b_"/>
  </w:docVars>
  <w:rsids>
    <w:rsidRoot w:val="00277FE7"/>
    <w:rsid w:val="002307DB"/>
    <w:rsid w:val="00277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rPr>
  </w:style>
  <w:style w:type="paragraph" w:styleId="Heading1">
    <w:name w:val="heading 1"/>
    <w:basedOn w:val="Normal"/>
    <w:next w:val="Text1"/>
    <w:link w:val="Heading1Char"/>
    <w:uiPriority w:val="9"/>
    <w:qFormat/>
    <w:pPr>
      <w:keepNext/>
      <w:numPr>
        <w:numId w:val="16"/>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16"/>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16"/>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16"/>
      </w:numPr>
      <w:outlineLvl w:val="3"/>
    </w:pPr>
    <w:rPr>
      <w:rFonts w:eastAsiaTheme="majorEastAsia"/>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pPr>
      <w:suppressAutoHyphens/>
      <w:spacing w:before="0" w:line="240" w:lineRule="atLeast"/>
      <w:ind w:left="1134" w:right="1134"/>
    </w:pPr>
    <w:rPr>
      <w:rFonts w:eastAsia="Times New Roman"/>
      <w:sz w:val="20"/>
      <w:szCs w:val="20"/>
    </w:rPr>
  </w:style>
  <w:style w:type="paragraph" w:customStyle="1" w:styleId="H1G">
    <w:name w:val="_ H_1_G"/>
    <w:basedOn w:val="Normal"/>
    <w:next w:val="Normal"/>
    <w:pPr>
      <w:keepNext/>
      <w:keepLines/>
      <w:tabs>
        <w:tab w:val="right" w:pos="851"/>
      </w:tabs>
      <w:suppressAutoHyphens/>
      <w:spacing w:before="360" w:after="240" w:line="270" w:lineRule="exact"/>
      <w:ind w:left="1134" w:right="1134" w:hanging="1134"/>
      <w:jc w:val="left"/>
    </w:pPr>
    <w:rPr>
      <w:rFonts w:eastAsia="Times New Roman"/>
      <w:b/>
      <w:szCs w:val="20"/>
    </w:rPr>
  </w:style>
  <w:style w:type="character" w:customStyle="1" w:styleId="SingleTxtGChar">
    <w:name w:val="_ Single Txt_G Char"/>
    <w:link w:val="SingleTxtG"/>
    <w:rPr>
      <w:rFonts w:ascii="Times New Roman" w:eastAsia="Times New Roman" w:hAnsi="Times New Roman" w:cs="Times New Roman"/>
      <w:sz w:val="20"/>
      <w:szCs w:val="20"/>
      <w:lang w:val="fr-FR"/>
    </w:rPr>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fr-FR"/>
    </w:r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Number">
    <w:name w:val="List Number"/>
    <w:basedOn w:val="Normal"/>
    <w:uiPriority w:val="99"/>
    <w:semiHidden/>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fr-F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fr-FR"/>
    </w:rPr>
  </w:style>
  <w:style w:type="character" w:styleId="Hyperlink">
    <w:name w:val="Hyperlink"/>
    <w:basedOn w:val="DefaultParagraphFont"/>
    <w:uiPriority w:val="99"/>
    <w:unhideWhenUsed/>
    <w:rPr>
      <w:color w:val="0000FF" w:themeColor="hyperlink"/>
      <w:u w:val="single"/>
    </w:rPr>
  </w:style>
  <w:style w:type="paragraph" w:styleId="Index1">
    <w:name w:val="index 1"/>
    <w:basedOn w:val="Normal"/>
    <w:next w:val="Normal"/>
    <w:autoRedefine/>
    <w:uiPriority w:val="99"/>
    <w:unhideWhenUsed/>
    <w:pPr>
      <w:spacing w:before="0" w:after="0"/>
      <w:ind w:left="240" w:hanging="240"/>
    </w:pPr>
  </w:style>
  <w:style w:type="paragraph" w:styleId="Header">
    <w:name w:val="header"/>
    <w:basedOn w:val="Normal"/>
    <w:link w:val="HeaderChar"/>
    <w:uiPriority w:val="99"/>
    <w:unhideWhenUsed/>
    <w:pPr>
      <w:tabs>
        <w:tab w:val="center" w:pos="4535"/>
        <w:tab w:val="right" w:pos="9071"/>
      </w:tabs>
      <w:spacing w:before="0"/>
    </w:pPr>
    <w:rPr>
      <w:lang w:eastAsia="en-US" w:bidi="ar-SA"/>
    </w:rPr>
  </w:style>
  <w:style w:type="character" w:customStyle="1" w:styleId="HeaderChar">
    <w:name w:val="Header Char"/>
    <w:basedOn w:val="DefaultParagraphFont"/>
    <w:link w:val="Header"/>
    <w:uiPriority w:val="99"/>
    <w:rPr>
      <w:rFonts w:ascii="Times New Roman" w:hAnsi="Times New Roman" w:cs="Times New Roman"/>
      <w:sz w:val="24"/>
      <w:lang w:eastAsia="en-US" w:bidi="ar-SA"/>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shd w:val="clear" w:color="auto" w:fill="auto"/>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rPr>
      <w:lang w:eastAsia="en-US" w:bidi="ar-SA"/>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10"/>
      </w:numPr>
    </w:pPr>
  </w:style>
  <w:style w:type="paragraph" w:customStyle="1" w:styleId="Tiret1">
    <w:name w:val="Tiret 1"/>
    <w:basedOn w:val="Point1"/>
    <w:pPr>
      <w:numPr>
        <w:numId w:val="11"/>
      </w:numPr>
    </w:pPr>
  </w:style>
  <w:style w:type="paragraph" w:customStyle="1" w:styleId="Tiret2">
    <w:name w:val="Tiret 2"/>
    <w:basedOn w:val="Point2"/>
    <w:pPr>
      <w:numPr>
        <w:numId w:val="12"/>
      </w:numPr>
    </w:pPr>
  </w:style>
  <w:style w:type="paragraph" w:customStyle="1" w:styleId="Tiret3">
    <w:name w:val="Tiret 3"/>
    <w:basedOn w:val="Point3"/>
    <w:pPr>
      <w:numPr>
        <w:numId w:val="13"/>
      </w:numPr>
    </w:pPr>
  </w:style>
  <w:style w:type="paragraph" w:customStyle="1" w:styleId="Tiret4">
    <w:name w:val="Tiret 4"/>
    <w:basedOn w:val="Point4"/>
    <w:pPr>
      <w:numPr>
        <w:numId w:val="14"/>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15"/>
      </w:numPr>
    </w:pPr>
  </w:style>
  <w:style w:type="paragraph" w:customStyle="1" w:styleId="NumPar2">
    <w:name w:val="NumPar 2"/>
    <w:basedOn w:val="Normal"/>
    <w:next w:val="Text1"/>
    <w:pPr>
      <w:numPr>
        <w:ilvl w:val="1"/>
        <w:numId w:val="15"/>
      </w:numPr>
    </w:pPr>
  </w:style>
  <w:style w:type="paragraph" w:customStyle="1" w:styleId="NumPar3">
    <w:name w:val="NumPar 3"/>
    <w:basedOn w:val="Normal"/>
    <w:next w:val="Text1"/>
    <w:pPr>
      <w:numPr>
        <w:ilvl w:val="2"/>
        <w:numId w:val="15"/>
      </w:numPr>
    </w:pPr>
  </w:style>
  <w:style w:type="paragraph" w:customStyle="1" w:styleId="NumPar4">
    <w:name w:val="NumPar 4"/>
    <w:basedOn w:val="Normal"/>
    <w:next w:val="Text1"/>
    <w:pPr>
      <w:numPr>
        <w:ilvl w:val="3"/>
        <w:numId w:val="15"/>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17"/>
      </w:numPr>
    </w:pPr>
  </w:style>
  <w:style w:type="paragraph" w:customStyle="1" w:styleId="Point1number">
    <w:name w:val="Point 1 (number)"/>
    <w:basedOn w:val="Normal"/>
    <w:pPr>
      <w:numPr>
        <w:ilvl w:val="2"/>
        <w:numId w:val="17"/>
      </w:numPr>
    </w:pPr>
  </w:style>
  <w:style w:type="paragraph" w:customStyle="1" w:styleId="Point2number">
    <w:name w:val="Point 2 (number)"/>
    <w:basedOn w:val="Normal"/>
    <w:pPr>
      <w:numPr>
        <w:ilvl w:val="4"/>
        <w:numId w:val="17"/>
      </w:numPr>
    </w:pPr>
  </w:style>
  <w:style w:type="paragraph" w:customStyle="1" w:styleId="Point3number">
    <w:name w:val="Point 3 (number)"/>
    <w:basedOn w:val="Normal"/>
    <w:pPr>
      <w:numPr>
        <w:ilvl w:val="6"/>
        <w:numId w:val="17"/>
      </w:numPr>
    </w:pPr>
  </w:style>
  <w:style w:type="paragraph" w:customStyle="1" w:styleId="Point0letter">
    <w:name w:val="Point 0 (letter)"/>
    <w:basedOn w:val="Normal"/>
    <w:pPr>
      <w:numPr>
        <w:ilvl w:val="1"/>
        <w:numId w:val="17"/>
      </w:numPr>
    </w:pPr>
  </w:style>
  <w:style w:type="paragraph" w:customStyle="1" w:styleId="Point1letter">
    <w:name w:val="Point 1 (letter)"/>
    <w:basedOn w:val="Normal"/>
    <w:pPr>
      <w:numPr>
        <w:ilvl w:val="3"/>
        <w:numId w:val="17"/>
      </w:numPr>
    </w:pPr>
  </w:style>
  <w:style w:type="paragraph" w:customStyle="1" w:styleId="Point2letter">
    <w:name w:val="Point 2 (letter)"/>
    <w:basedOn w:val="Normal"/>
    <w:pPr>
      <w:numPr>
        <w:ilvl w:val="5"/>
        <w:numId w:val="17"/>
      </w:numPr>
    </w:pPr>
  </w:style>
  <w:style w:type="paragraph" w:customStyle="1" w:styleId="Point3letter">
    <w:name w:val="Point 3 (letter)"/>
    <w:basedOn w:val="Normal"/>
    <w:pPr>
      <w:numPr>
        <w:ilvl w:val="7"/>
        <w:numId w:val="17"/>
      </w:numPr>
    </w:pPr>
  </w:style>
  <w:style w:type="paragraph" w:customStyle="1" w:styleId="Point4letter">
    <w:name w:val="Point 4 (letter)"/>
    <w:basedOn w:val="Normal"/>
    <w:pPr>
      <w:numPr>
        <w:ilvl w:val="8"/>
        <w:numId w:val="17"/>
      </w:numPr>
    </w:pPr>
  </w:style>
  <w:style w:type="paragraph" w:customStyle="1" w:styleId="Bullet0">
    <w:name w:val="Bullet 0"/>
    <w:basedOn w:val="Normal"/>
    <w:pPr>
      <w:numPr>
        <w:numId w:val="18"/>
      </w:numPr>
    </w:pPr>
  </w:style>
  <w:style w:type="paragraph" w:customStyle="1" w:styleId="Bullet1">
    <w:name w:val="Bullet 1"/>
    <w:basedOn w:val="Normal"/>
    <w:pPr>
      <w:numPr>
        <w:numId w:val="19"/>
      </w:numPr>
    </w:pPr>
  </w:style>
  <w:style w:type="paragraph" w:customStyle="1" w:styleId="Bullet2">
    <w:name w:val="Bullet 2"/>
    <w:basedOn w:val="Normal"/>
    <w:pPr>
      <w:numPr>
        <w:numId w:val="20"/>
      </w:numPr>
    </w:pPr>
  </w:style>
  <w:style w:type="paragraph" w:customStyle="1" w:styleId="Bullet3">
    <w:name w:val="Bullet 3"/>
    <w:basedOn w:val="Normal"/>
    <w:pPr>
      <w:numPr>
        <w:numId w:val="21"/>
      </w:numPr>
    </w:pPr>
  </w:style>
  <w:style w:type="paragraph" w:customStyle="1" w:styleId="Bullet4">
    <w:name w:val="Bullet 4"/>
    <w:basedOn w:val="Normal"/>
    <w:pPr>
      <w:numPr>
        <w:numId w:val="22"/>
      </w:numPr>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23"/>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ous-titreobjet">
    <w:name w:val="Sous-titre objet"/>
    <w:basedOn w:val="Normal"/>
    <w:pPr>
      <w:spacing w:before="0" w:after="0"/>
      <w:jc w:val="center"/>
    </w:pPr>
    <w:rPr>
      <w:b/>
    </w:r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180" w:after="180"/>
      <w:jc w:val="center"/>
    </w:pPr>
    <w:rPr>
      <w:b/>
    </w:rPr>
  </w:style>
  <w:style w:type="paragraph" w:customStyle="1" w:styleId="Typedudocument">
    <w:name w:val="Type du document"/>
    <w:basedOn w:val="Normal"/>
    <w:next w:val="Titreobje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pPr>
      <w:spacing w:before="0" w:after="0"/>
    </w:p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rPr>
  </w:style>
  <w:style w:type="paragraph" w:styleId="Heading1">
    <w:name w:val="heading 1"/>
    <w:basedOn w:val="Normal"/>
    <w:next w:val="Text1"/>
    <w:link w:val="Heading1Char"/>
    <w:uiPriority w:val="9"/>
    <w:qFormat/>
    <w:pPr>
      <w:keepNext/>
      <w:numPr>
        <w:numId w:val="16"/>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16"/>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16"/>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16"/>
      </w:numPr>
      <w:outlineLvl w:val="3"/>
    </w:pPr>
    <w:rPr>
      <w:rFonts w:eastAsiaTheme="majorEastAsia"/>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pPr>
      <w:suppressAutoHyphens/>
      <w:spacing w:before="0" w:line="240" w:lineRule="atLeast"/>
      <w:ind w:left="1134" w:right="1134"/>
    </w:pPr>
    <w:rPr>
      <w:rFonts w:eastAsia="Times New Roman"/>
      <w:sz w:val="20"/>
      <w:szCs w:val="20"/>
    </w:rPr>
  </w:style>
  <w:style w:type="paragraph" w:customStyle="1" w:styleId="H1G">
    <w:name w:val="_ H_1_G"/>
    <w:basedOn w:val="Normal"/>
    <w:next w:val="Normal"/>
    <w:pPr>
      <w:keepNext/>
      <w:keepLines/>
      <w:tabs>
        <w:tab w:val="right" w:pos="851"/>
      </w:tabs>
      <w:suppressAutoHyphens/>
      <w:spacing w:before="360" w:after="240" w:line="270" w:lineRule="exact"/>
      <w:ind w:left="1134" w:right="1134" w:hanging="1134"/>
      <w:jc w:val="left"/>
    </w:pPr>
    <w:rPr>
      <w:rFonts w:eastAsia="Times New Roman"/>
      <w:b/>
      <w:szCs w:val="20"/>
    </w:rPr>
  </w:style>
  <w:style w:type="character" w:customStyle="1" w:styleId="SingleTxtGChar">
    <w:name w:val="_ Single Txt_G Char"/>
    <w:link w:val="SingleTxtG"/>
    <w:rPr>
      <w:rFonts w:ascii="Times New Roman" w:eastAsia="Times New Roman" w:hAnsi="Times New Roman" w:cs="Times New Roman"/>
      <w:sz w:val="20"/>
      <w:szCs w:val="20"/>
      <w:lang w:val="fr-FR"/>
    </w:rPr>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fr-FR"/>
    </w:r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Number">
    <w:name w:val="List Number"/>
    <w:basedOn w:val="Normal"/>
    <w:uiPriority w:val="99"/>
    <w:semiHidden/>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fr-F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fr-FR"/>
    </w:rPr>
  </w:style>
  <w:style w:type="character" w:styleId="Hyperlink">
    <w:name w:val="Hyperlink"/>
    <w:basedOn w:val="DefaultParagraphFont"/>
    <w:uiPriority w:val="99"/>
    <w:unhideWhenUsed/>
    <w:rPr>
      <w:color w:val="0000FF" w:themeColor="hyperlink"/>
      <w:u w:val="single"/>
    </w:rPr>
  </w:style>
  <w:style w:type="paragraph" w:styleId="Index1">
    <w:name w:val="index 1"/>
    <w:basedOn w:val="Normal"/>
    <w:next w:val="Normal"/>
    <w:autoRedefine/>
    <w:uiPriority w:val="99"/>
    <w:unhideWhenUsed/>
    <w:pPr>
      <w:spacing w:before="0" w:after="0"/>
      <w:ind w:left="240" w:hanging="240"/>
    </w:pPr>
  </w:style>
  <w:style w:type="paragraph" w:styleId="Header">
    <w:name w:val="header"/>
    <w:basedOn w:val="Normal"/>
    <w:link w:val="HeaderChar"/>
    <w:uiPriority w:val="99"/>
    <w:unhideWhenUsed/>
    <w:pPr>
      <w:tabs>
        <w:tab w:val="center" w:pos="4535"/>
        <w:tab w:val="right" w:pos="9071"/>
      </w:tabs>
      <w:spacing w:before="0"/>
    </w:pPr>
    <w:rPr>
      <w:lang w:eastAsia="en-US" w:bidi="ar-SA"/>
    </w:rPr>
  </w:style>
  <w:style w:type="character" w:customStyle="1" w:styleId="HeaderChar">
    <w:name w:val="Header Char"/>
    <w:basedOn w:val="DefaultParagraphFont"/>
    <w:link w:val="Header"/>
    <w:uiPriority w:val="99"/>
    <w:rPr>
      <w:rFonts w:ascii="Times New Roman" w:hAnsi="Times New Roman" w:cs="Times New Roman"/>
      <w:sz w:val="24"/>
      <w:lang w:eastAsia="en-US" w:bidi="ar-SA"/>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shd w:val="clear" w:color="auto" w:fill="auto"/>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rPr>
      <w:lang w:eastAsia="en-US" w:bidi="ar-SA"/>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10"/>
      </w:numPr>
    </w:pPr>
  </w:style>
  <w:style w:type="paragraph" w:customStyle="1" w:styleId="Tiret1">
    <w:name w:val="Tiret 1"/>
    <w:basedOn w:val="Point1"/>
    <w:pPr>
      <w:numPr>
        <w:numId w:val="11"/>
      </w:numPr>
    </w:pPr>
  </w:style>
  <w:style w:type="paragraph" w:customStyle="1" w:styleId="Tiret2">
    <w:name w:val="Tiret 2"/>
    <w:basedOn w:val="Point2"/>
    <w:pPr>
      <w:numPr>
        <w:numId w:val="12"/>
      </w:numPr>
    </w:pPr>
  </w:style>
  <w:style w:type="paragraph" w:customStyle="1" w:styleId="Tiret3">
    <w:name w:val="Tiret 3"/>
    <w:basedOn w:val="Point3"/>
    <w:pPr>
      <w:numPr>
        <w:numId w:val="13"/>
      </w:numPr>
    </w:pPr>
  </w:style>
  <w:style w:type="paragraph" w:customStyle="1" w:styleId="Tiret4">
    <w:name w:val="Tiret 4"/>
    <w:basedOn w:val="Point4"/>
    <w:pPr>
      <w:numPr>
        <w:numId w:val="14"/>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15"/>
      </w:numPr>
    </w:pPr>
  </w:style>
  <w:style w:type="paragraph" w:customStyle="1" w:styleId="NumPar2">
    <w:name w:val="NumPar 2"/>
    <w:basedOn w:val="Normal"/>
    <w:next w:val="Text1"/>
    <w:pPr>
      <w:numPr>
        <w:ilvl w:val="1"/>
        <w:numId w:val="15"/>
      </w:numPr>
    </w:pPr>
  </w:style>
  <w:style w:type="paragraph" w:customStyle="1" w:styleId="NumPar3">
    <w:name w:val="NumPar 3"/>
    <w:basedOn w:val="Normal"/>
    <w:next w:val="Text1"/>
    <w:pPr>
      <w:numPr>
        <w:ilvl w:val="2"/>
        <w:numId w:val="15"/>
      </w:numPr>
    </w:pPr>
  </w:style>
  <w:style w:type="paragraph" w:customStyle="1" w:styleId="NumPar4">
    <w:name w:val="NumPar 4"/>
    <w:basedOn w:val="Normal"/>
    <w:next w:val="Text1"/>
    <w:pPr>
      <w:numPr>
        <w:ilvl w:val="3"/>
        <w:numId w:val="15"/>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17"/>
      </w:numPr>
    </w:pPr>
  </w:style>
  <w:style w:type="paragraph" w:customStyle="1" w:styleId="Point1number">
    <w:name w:val="Point 1 (number)"/>
    <w:basedOn w:val="Normal"/>
    <w:pPr>
      <w:numPr>
        <w:ilvl w:val="2"/>
        <w:numId w:val="17"/>
      </w:numPr>
    </w:pPr>
  </w:style>
  <w:style w:type="paragraph" w:customStyle="1" w:styleId="Point2number">
    <w:name w:val="Point 2 (number)"/>
    <w:basedOn w:val="Normal"/>
    <w:pPr>
      <w:numPr>
        <w:ilvl w:val="4"/>
        <w:numId w:val="17"/>
      </w:numPr>
    </w:pPr>
  </w:style>
  <w:style w:type="paragraph" w:customStyle="1" w:styleId="Point3number">
    <w:name w:val="Point 3 (number)"/>
    <w:basedOn w:val="Normal"/>
    <w:pPr>
      <w:numPr>
        <w:ilvl w:val="6"/>
        <w:numId w:val="17"/>
      </w:numPr>
    </w:pPr>
  </w:style>
  <w:style w:type="paragraph" w:customStyle="1" w:styleId="Point0letter">
    <w:name w:val="Point 0 (letter)"/>
    <w:basedOn w:val="Normal"/>
    <w:pPr>
      <w:numPr>
        <w:ilvl w:val="1"/>
        <w:numId w:val="17"/>
      </w:numPr>
    </w:pPr>
  </w:style>
  <w:style w:type="paragraph" w:customStyle="1" w:styleId="Point1letter">
    <w:name w:val="Point 1 (letter)"/>
    <w:basedOn w:val="Normal"/>
    <w:pPr>
      <w:numPr>
        <w:ilvl w:val="3"/>
        <w:numId w:val="17"/>
      </w:numPr>
    </w:pPr>
  </w:style>
  <w:style w:type="paragraph" w:customStyle="1" w:styleId="Point2letter">
    <w:name w:val="Point 2 (letter)"/>
    <w:basedOn w:val="Normal"/>
    <w:pPr>
      <w:numPr>
        <w:ilvl w:val="5"/>
        <w:numId w:val="17"/>
      </w:numPr>
    </w:pPr>
  </w:style>
  <w:style w:type="paragraph" w:customStyle="1" w:styleId="Point3letter">
    <w:name w:val="Point 3 (letter)"/>
    <w:basedOn w:val="Normal"/>
    <w:pPr>
      <w:numPr>
        <w:ilvl w:val="7"/>
        <w:numId w:val="17"/>
      </w:numPr>
    </w:pPr>
  </w:style>
  <w:style w:type="paragraph" w:customStyle="1" w:styleId="Point4letter">
    <w:name w:val="Point 4 (letter)"/>
    <w:basedOn w:val="Normal"/>
    <w:pPr>
      <w:numPr>
        <w:ilvl w:val="8"/>
        <w:numId w:val="17"/>
      </w:numPr>
    </w:pPr>
  </w:style>
  <w:style w:type="paragraph" w:customStyle="1" w:styleId="Bullet0">
    <w:name w:val="Bullet 0"/>
    <w:basedOn w:val="Normal"/>
    <w:pPr>
      <w:numPr>
        <w:numId w:val="18"/>
      </w:numPr>
    </w:pPr>
  </w:style>
  <w:style w:type="paragraph" w:customStyle="1" w:styleId="Bullet1">
    <w:name w:val="Bullet 1"/>
    <w:basedOn w:val="Normal"/>
    <w:pPr>
      <w:numPr>
        <w:numId w:val="19"/>
      </w:numPr>
    </w:pPr>
  </w:style>
  <w:style w:type="paragraph" w:customStyle="1" w:styleId="Bullet2">
    <w:name w:val="Bullet 2"/>
    <w:basedOn w:val="Normal"/>
    <w:pPr>
      <w:numPr>
        <w:numId w:val="20"/>
      </w:numPr>
    </w:pPr>
  </w:style>
  <w:style w:type="paragraph" w:customStyle="1" w:styleId="Bullet3">
    <w:name w:val="Bullet 3"/>
    <w:basedOn w:val="Normal"/>
    <w:pPr>
      <w:numPr>
        <w:numId w:val="21"/>
      </w:numPr>
    </w:pPr>
  </w:style>
  <w:style w:type="paragraph" w:customStyle="1" w:styleId="Bullet4">
    <w:name w:val="Bullet 4"/>
    <w:basedOn w:val="Normal"/>
    <w:pPr>
      <w:numPr>
        <w:numId w:val="22"/>
      </w:numPr>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23"/>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ous-titreobjet">
    <w:name w:val="Sous-titre objet"/>
    <w:basedOn w:val="Normal"/>
    <w:pPr>
      <w:spacing w:before="0" w:after="0"/>
      <w:jc w:val="center"/>
    </w:pPr>
    <w:rPr>
      <w:b/>
    </w:r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180" w:after="180"/>
      <w:jc w:val="center"/>
    </w:pPr>
    <w:rPr>
      <w:b/>
    </w:rPr>
  </w:style>
  <w:style w:type="paragraph" w:customStyle="1" w:styleId="Typedudocument">
    <w:name w:val="Type du document"/>
    <w:basedOn w:val="Normal"/>
    <w:next w:val="Titreobje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pPr>
      <w:spacing w:before="0" w:after="0"/>
    </w:p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ANNEX.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BEBE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21FB8-C0FB-430B-BF75-6D499D576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ANNEX.dotm</Template>
  <TotalTime>1</TotalTime>
  <Pages>8</Pages>
  <Words>557</Words>
  <Characters>2875</Characters>
  <Application>Microsoft Office Word</Application>
  <DocSecurity>0</DocSecurity>
  <Lines>55</Lines>
  <Paragraphs>24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JELINKOVA HARANTOVA Lenka (TAXUD)</dc:creator>
  <cp:lastModifiedBy>LAGES CARVALHO Patrick (SG)</cp:lastModifiedBy>
  <cp:revision>8</cp:revision>
  <dcterms:created xsi:type="dcterms:W3CDTF">2015-10-06T15:25:00Z</dcterms:created>
  <dcterms:modified xsi:type="dcterms:W3CDTF">2015-10-16T13:36:00Z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COM/ANNEX</vt:lpwstr>
  </property>
  <property fmtid="{D5CDD505-2E9C-101B-9397-08002B2CF9AE}" pid="3" name="Classification">
    <vt:lpwstr> </vt:lpwstr>
  </property>
  <property fmtid="{D5CDD505-2E9C-101B-9397-08002B2CF9AE}" pid="4" name="Version">
    <vt:lpwstr>5.84.2.0</vt:lpwstr>
  </property>
  <property fmtid="{D5CDD505-2E9C-101B-9397-08002B2CF9AE}" pid="5" name="Last edited using">
    <vt:lpwstr>LW 5.8.4, Build 20150407</vt:lpwstr>
  </property>
  <property fmtid="{D5CDD505-2E9C-101B-9397-08002B2CF9AE}" pid="6" name="Created using">
    <vt:lpwstr>LW 5.8.4, Build 20150407</vt:lpwstr>
  </property>
  <property fmtid="{D5CDD505-2E9C-101B-9397-08002B2CF9AE}" pid="7" name="First annex">
    <vt:lpwstr>1</vt:lpwstr>
  </property>
  <property fmtid="{D5CDD505-2E9C-101B-9397-08002B2CF9AE}" pid="8" name="Last annex">
    <vt:lpwstr>1</vt:lpwstr>
  </property>
  <property fmtid="{D5CDD505-2E9C-101B-9397-08002B2CF9AE}" pid="9" name="Part">
    <vt:lpwstr>2</vt:lpwstr>
  </property>
  <property fmtid="{D5CDD505-2E9C-101B-9397-08002B2CF9AE}" pid="10" name="Total parts">
    <vt:lpwstr>2</vt:lpwstr>
  </property>
  <property fmtid="{D5CDD505-2E9C-101B-9397-08002B2CF9AE}" pid="11" name="LWTemplateID">
    <vt:lpwstr>SG-017</vt:lpwstr>
  </property>
  <property fmtid="{D5CDD505-2E9C-101B-9397-08002B2CF9AE}" pid="12" name="DQCStatus">
    <vt:lpwstr>Yellow (DQC version 03)</vt:lpwstr>
  </property>
</Properties>
</file>