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5A5" w:rsidRDefault="00535A94">
      <w:pPr>
        <w:pStyle w:val="Pagedecouverture"/>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1F2245444C94392AACD4B1AE902766B" style="width:450.75pt;height:442.5pt">
            <v:imagedata r:id="rId9" o:title=""/>
          </v:shape>
        </w:pict>
      </w:r>
    </w:p>
    <w:p w:rsidR="00FB25A5" w:rsidRDefault="00FB25A5">
      <w:pPr>
        <w:rPr>
          <w:noProof/>
        </w:rPr>
        <w:sectPr w:rsidR="00FB25A5">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0"/>
          <w:cols w:space="720"/>
          <w:docGrid w:linePitch="360"/>
        </w:sectPr>
      </w:pPr>
    </w:p>
    <w:p w:rsidR="00FB25A5" w:rsidRDefault="00535A94">
      <w:pPr>
        <w:pStyle w:val="ManualHeading1"/>
        <w:rPr>
          <w:noProof/>
        </w:rPr>
      </w:pPr>
      <w:r>
        <w:rPr>
          <w:noProof/>
        </w:rPr>
        <w:lastRenderedPageBreak/>
        <w:t xml:space="preserve">Amendments to the Customs Convention on the International Transport of goods under cover of TIR carnets </w:t>
      </w:r>
      <w:r>
        <w:rPr>
          <w:noProof/>
        </w:rPr>
        <w:t>(TIR Convention 1975)</w:t>
      </w:r>
    </w:p>
    <w:p w:rsidR="00FB25A5" w:rsidRDefault="00535A94">
      <w:pPr>
        <w:pStyle w:val="Titrearticle"/>
        <w:jc w:val="both"/>
        <w:rPr>
          <w:b/>
          <w:i w:val="0"/>
          <w:noProof/>
          <w:sz w:val="20"/>
          <w:szCs w:val="20"/>
          <w:u w:val="single"/>
        </w:rPr>
      </w:pPr>
      <w:r>
        <w:rPr>
          <w:b/>
          <w:i w:val="0"/>
          <w:noProof/>
          <w:sz w:val="20"/>
          <w:szCs w:val="20"/>
        </w:rPr>
        <w:t xml:space="preserve">Annex 6, new </w:t>
      </w:r>
      <w:r>
        <w:rPr>
          <w:b/>
          <w:i w:val="0"/>
          <w:noProof/>
          <w:sz w:val="20"/>
          <w:szCs w:val="20"/>
          <w:u w:val="single"/>
        </w:rPr>
        <w:t>Explanatory</w:t>
      </w:r>
      <w:r>
        <w:rPr>
          <w:b/>
          <w:i w:val="0"/>
          <w:noProof/>
          <w:sz w:val="20"/>
          <w:szCs w:val="20"/>
        </w:rPr>
        <w:t xml:space="preserve"> Note 0.42 </w:t>
      </w:r>
      <w:r>
        <w:rPr>
          <w:b/>
          <w:i w:val="0"/>
          <w:noProof/>
          <w:sz w:val="20"/>
          <w:szCs w:val="20"/>
          <w:u w:val="single"/>
        </w:rPr>
        <w:t>bis</w:t>
      </w:r>
    </w:p>
    <w:p w:rsidR="00FB25A5" w:rsidRDefault="00535A94">
      <w:pPr>
        <w:rPr>
          <w:noProof/>
          <w:sz w:val="20"/>
          <w:szCs w:val="20"/>
        </w:rPr>
      </w:pPr>
      <w:r>
        <w:rPr>
          <w:i/>
          <w:noProof/>
          <w:sz w:val="20"/>
          <w:szCs w:val="20"/>
        </w:rPr>
        <w:t>Add</w:t>
      </w:r>
      <w:r>
        <w:rPr>
          <w:noProof/>
          <w:sz w:val="20"/>
          <w:szCs w:val="20"/>
        </w:rPr>
        <w:t xml:space="preserve"> a new Explanatory Note to Article 42 </w:t>
      </w:r>
      <w:r>
        <w:rPr>
          <w:noProof/>
          <w:sz w:val="20"/>
          <w:szCs w:val="20"/>
          <w:u w:val="single"/>
        </w:rPr>
        <w:t>bis</w:t>
      </w:r>
      <w:r>
        <w:rPr>
          <w:noProof/>
          <w:sz w:val="20"/>
          <w:szCs w:val="20"/>
        </w:rPr>
        <w:t xml:space="preserve"> to </w:t>
      </w:r>
      <w:r>
        <w:rPr>
          <w:i/>
          <w:noProof/>
          <w:sz w:val="20"/>
          <w:szCs w:val="20"/>
        </w:rPr>
        <w:t>read</w:t>
      </w:r>
      <w:r>
        <w:rPr>
          <w:noProof/>
          <w:sz w:val="20"/>
          <w:szCs w:val="20"/>
        </w:rPr>
        <w:t xml:space="preserve"> as follows:</w:t>
      </w:r>
    </w:p>
    <w:p w:rsidR="00FB25A5" w:rsidRDefault="00535A94">
      <w:pPr>
        <w:pStyle w:val="Text1"/>
        <w:ind w:left="0"/>
        <w:rPr>
          <w:noProof/>
          <w:sz w:val="20"/>
          <w:szCs w:val="20"/>
        </w:rPr>
      </w:pPr>
      <w:r>
        <w:rPr>
          <w:noProof/>
          <w:sz w:val="20"/>
          <w:szCs w:val="20"/>
        </w:rPr>
        <w:t xml:space="preserve">“0.42 </w:t>
      </w:r>
      <w:r>
        <w:rPr>
          <w:noProof/>
          <w:sz w:val="20"/>
          <w:szCs w:val="20"/>
          <w:u w:val="single"/>
        </w:rPr>
        <w:t>bis</w:t>
      </w:r>
      <w:r>
        <w:rPr>
          <w:noProof/>
          <w:sz w:val="20"/>
          <w:szCs w:val="20"/>
        </w:rPr>
        <w:tab/>
        <w:t xml:space="preserve">The term </w:t>
      </w:r>
      <w:r>
        <w:rPr>
          <w:noProof/>
          <w:sz w:val="20"/>
          <w:szCs w:val="20"/>
          <w:lang w:val="en-US"/>
        </w:rPr>
        <w:t xml:space="preserve">“immediately” in </w:t>
      </w:r>
      <w:r>
        <w:rPr>
          <w:noProof/>
          <w:sz w:val="20"/>
          <w:szCs w:val="20"/>
        </w:rPr>
        <w:t>Article 42</w:t>
      </w:r>
      <w:r>
        <w:rPr>
          <w:noProof/>
          <w:sz w:val="20"/>
          <w:szCs w:val="20"/>
          <w:lang w:val="en-US"/>
        </w:rPr>
        <w:t xml:space="preserve"> </w:t>
      </w:r>
      <w:r>
        <w:rPr>
          <w:noProof/>
          <w:sz w:val="20"/>
          <w:szCs w:val="20"/>
          <w:u w:val="single"/>
        </w:rPr>
        <w:t>bis</w:t>
      </w:r>
      <w:r>
        <w:rPr>
          <w:noProof/>
          <w:sz w:val="20"/>
          <w:szCs w:val="20"/>
        </w:rPr>
        <w:t xml:space="preserve"> </w:t>
      </w:r>
      <w:r>
        <w:rPr>
          <w:noProof/>
          <w:sz w:val="20"/>
          <w:szCs w:val="20"/>
          <w:lang w:val="en-US"/>
        </w:rPr>
        <w:t>is understood to mean</w:t>
      </w:r>
      <w:r>
        <w:rPr>
          <w:noProof/>
          <w:sz w:val="20"/>
          <w:szCs w:val="20"/>
        </w:rPr>
        <w:t xml:space="preserve"> that national measures that may affect the application of</w:t>
      </w:r>
      <w:r>
        <w:rPr>
          <w:noProof/>
          <w:sz w:val="20"/>
          <w:szCs w:val="20"/>
        </w:rPr>
        <w:t xml:space="preserve"> the TIR Convention and/or functioning of the TIR system, ought to be communicated in writing to the TIRExB as soon as possible and, if possible, prior to its entry into force so as to allow the TIRExB to efficiently discharge its supervisory functions and</w:t>
      </w:r>
      <w:r>
        <w:rPr>
          <w:noProof/>
          <w:sz w:val="20"/>
          <w:szCs w:val="20"/>
        </w:rPr>
        <w:t xml:space="preserve"> fulfil its responsibility to examine the measure as to its conformity with the TIR Convention in accordance with </w:t>
      </w:r>
      <w:r>
        <w:rPr>
          <w:noProof/>
          <w:sz w:val="20"/>
          <w:szCs w:val="20"/>
          <w:lang w:val="en-US"/>
        </w:rPr>
        <w:t>A</w:t>
      </w:r>
      <w:r>
        <w:rPr>
          <w:noProof/>
          <w:sz w:val="20"/>
          <w:szCs w:val="20"/>
        </w:rPr>
        <w:t>rticle 42</w:t>
      </w:r>
      <w:r>
        <w:rPr>
          <w:noProof/>
          <w:sz w:val="20"/>
          <w:szCs w:val="20"/>
          <w:lang w:val="en-US"/>
        </w:rPr>
        <w:t xml:space="preserve"> </w:t>
      </w:r>
      <w:r>
        <w:rPr>
          <w:noProof/>
          <w:sz w:val="20"/>
          <w:szCs w:val="20"/>
          <w:u w:val="single"/>
        </w:rPr>
        <w:t>bis</w:t>
      </w:r>
      <w:r>
        <w:rPr>
          <w:noProof/>
          <w:sz w:val="20"/>
          <w:szCs w:val="20"/>
        </w:rPr>
        <w:t xml:space="preserve"> and its Terms of Reference as laid down in Annex 8 of the TIR Convention.”</w:t>
      </w:r>
    </w:p>
    <w:p w:rsidR="00FB25A5" w:rsidRDefault="00535A94">
      <w:pPr>
        <w:pStyle w:val="Titrearticle"/>
        <w:jc w:val="both"/>
        <w:rPr>
          <w:rFonts w:eastAsia="Times New Roman"/>
          <w:b/>
          <w:i w:val="0"/>
          <w:noProof/>
          <w:sz w:val="20"/>
          <w:szCs w:val="20"/>
        </w:rPr>
      </w:pPr>
      <w:r>
        <w:rPr>
          <w:rFonts w:eastAsia="Times New Roman"/>
          <w:b/>
          <w:i w:val="0"/>
          <w:noProof/>
          <w:sz w:val="20"/>
          <w:szCs w:val="20"/>
        </w:rPr>
        <w:t>Annex 2, Article 4, paragraph 2, (i)</w:t>
      </w:r>
    </w:p>
    <w:p w:rsidR="00FB25A5" w:rsidRDefault="00535A94">
      <w:pPr>
        <w:pStyle w:val="Text1"/>
        <w:ind w:left="0"/>
        <w:rPr>
          <w:noProof/>
          <w:sz w:val="20"/>
          <w:szCs w:val="20"/>
        </w:rPr>
      </w:pPr>
      <w:r>
        <w:rPr>
          <w:i/>
          <w:noProof/>
          <w:sz w:val="20"/>
          <w:szCs w:val="20"/>
        </w:rPr>
        <w:t xml:space="preserve">For </w:t>
      </w:r>
      <w:r>
        <w:rPr>
          <w:noProof/>
          <w:sz w:val="20"/>
          <w:szCs w:val="20"/>
        </w:rPr>
        <w:t xml:space="preserve">the existing text </w:t>
      </w:r>
      <w:r>
        <w:rPr>
          <w:i/>
          <w:noProof/>
          <w:sz w:val="20"/>
          <w:szCs w:val="20"/>
        </w:rPr>
        <w:t>substitute</w:t>
      </w:r>
      <w:r>
        <w:rPr>
          <w:b/>
          <w:noProof/>
          <w:sz w:val="20"/>
          <w:szCs w:val="20"/>
        </w:rPr>
        <w:t>(</w:t>
      </w:r>
      <w:r>
        <w:rPr>
          <w:noProof/>
          <w:sz w:val="20"/>
          <w:szCs w:val="20"/>
        </w:rPr>
        <w:t>i)</w:t>
      </w:r>
      <w:r>
        <w:rPr>
          <w:noProof/>
          <w:sz w:val="20"/>
          <w:szCs w:val="20"/>
        </w:rPr>
        <w:tab/>
        <w:t xml:space="preserve">The sliding sheets, floor, doors and all other constituent parts of the load compartment shall be assembled either by means of devices which cannot be removed and replaced from the outside without leaving obvious traces, or </w:t>
      </w:r>
      <w:r>
        <w:rPr>
          <w:noProof/>
          <w:sz w:val="20"/>
          <w:szCs w:val="20"/>
        </w:rPr>
        <w:t>by such methods as will produce a structure which cannot be modified without leaving obvious traces.</w:t>
      </w:r>
    </w:p>
    <w:p w:rsidR="00FB25A5" w:rsidRDefault="00535A94">
      <w:pPr>
        <w:pStyle w:val="Titrearticle"/>
        <w:jc w:val="both"/>
        <w:rPr>
          <w:rFonts w:eastAsia="Times New Roman"/>
          <w:b/>
          <w:i w:val="0"/>
          <w:noProof/>
          <w:sz w:val="20"/>
          <w:szCs w:val="20"/>
        </w:rPr>
      </w:pPr>
      <w:r>
        <w:rPr>
          <w:rFonts w:eastAsia="Times New Roman"/>
          <w:b/>
          <w:i w:val="0"/>
          <w:noProof/>
          <w:sz w:val="20"/>
          <w:szCs w:val="20"/>
        </w:rPr>
        <w:t>Annex 2, Article 4, paragraph 2, (iii)</w:t>
      </w:r>
    </w:p>
    <w:p w:rsidR="00FB25A5" w:rsidRDefault="00535A94">
      <w:pPr>
        <w:suppressAutoHyphens/>
        <w:spacing w:before="0" w:line="240" w:lineRule="atLeast"/>
        <w:ind w:right="1134"/>
        <w:rPr>
          <w:rFonts w:eastAsia="Times New Roman"/>
          <w:noProof/>
          <w:sz w:val="20"/>
          <w:szCs w:val="20"/>
        </w:rPr>
      </w:pPr>
      <w:r>
        <w:rPr>
          <w:rFonts w:eastAsia="Times New Roman"/>
          <w:i/>
          <w:noProof/>
          <w:sz w:val="20"/>
          <w:szCs w:val="20"/>
        </w:rPr>
        <w:t xml:space="preserve">For </w:t>
      </w:r>
      <w:r>
        <w:rPr>
          <w:rFonts w:eastAsia="Times New Roman"/>
          <w:noProof/>
          <w:sz w:val="20"/>
          <w:szCs w:val="20"/>
        </w:rPr>
        <w:t xml:space="preserve">the existing text </w:t>
      </w:r>
      <w:r>
        <w:rPr>
          <w:rFonts w:eastAsia="Times New Roman"/>
          <w:i/>
          <w:noProof/>
          <w:sz w:val="20"/>
          <w:szCs w:val="20"/>
        </w:rPr>
        <w:t>substitute</w:t>
      </w:r>
    </w:p>
    <w:p w:rsidR="00FB25A5" w:rsidRDefault="00535A94">
      <w:pPr>
        <w:pStyle w:val="Text1"/>
        <w:ind w:left="0"/>
        <w:rPr>
          <w:noProof/>
          <w:sz w:val="20"/>
          <w:szCs w:val="20"/>
        </w:rPr>
      </w:pPr>
      <w:r>
        <w:rPr>
          <w:rFonts w:eastAsia="Times New Roman"/>
          <w:noProof/>
          <w:sz w:val="20"/>
          <w:szCs w:val="20"/>
        </w:rPr>
        <w:t>(iii)</w:t>
      </w:r>
      <w:r>
        <w:rPr>
          <w:rFonts w:eastAsia="Times New Roman"/>
          <w:noProof/>
          <w:sz w:val="20"/>
          <w:szCs w:val="20"/>
        </w:rPr>
        <w:tab/>
      </w:r>
      <w:r>
        <w:rPr>
          <w:noProof/>
          <w:sz w:val="20"/>
          <w:szCs w:val="20"/>
        </w:rPr>
        <w:t>The sliding sheet guidance, sliding sheet tension devices and other movable p</w:t>
      </w:r>
      <w:r>
        <w:rPr>
          <w:noProof/>
          <w:sz w:val="20"/>
          <w:szCs w:val="20"/>
        </w:rPr>
        <w:t>arts shall be assembled in such a way that when closed, and Customs sealed, doors and other movable parts cannot be opened or closed from the outside without leaving obvious traces. The sliding sheet guidance, sliding sheet tension devices and other movabl</w:t>
      </w:r>
      <w:r>
        <w:rPr>
          <w:noProof/>
          <w:sz w:val="20"/>
          <w:szCs w:val="20"/>
        </w:rPr>
        <w:t>e parts shall be assembled in such a way that it is impossible to gain access to the load compartment without leaving obvious traces once the closing devices have been secured. An example of such a system of construction is given in sketch No. 9 appended t</w:t>
      </w:r>
      <w:r>
        <w:rPr>
          <w:noProof/>
          <w:sz w:val="20"/>
          <w:szCs w:val="20"/>
        </w:rPr>
        <w:t>o these Regulations.</w:t>
      </w:r>
    </w:p>
    <w:p w:rsidR="00FB25A5" w:rsidRDefault="00535A94">
      <w:pPr>
        <w:pStyle w:val="Titrearticle"/>
        <w:jc w:val="both"/>
        <w:rPr>
          <w:b/>
          <w:i w:val="0"/>
          <w:noProof/>
          <w:sz w:val="20"/>
          <w:szCs w:val="20"/>
        </w:rPr>
      </w:pPr>
      <w:r>
        <w:rPr>
          <w:b/>
          <w:i w:val="0"/>
          <w:noProof/>
          <w:sz w:val="20"/>
          <w:szCs w:val="20"/>
        </w:rPr>
        <w:t xml:space="preserve">Annex 2, new </w:t>
      </w:r>
      <w:r>
        <w:rPr>
          <w:rFonts w:eastAsia="Times New Roman"/>
          <w:b/>
          <w:i w:val="0"/>
          <w:noProof/>
          <w:sz w:val="20"/>
          <w:szCs w:val="20"/>
        </w:rPr>
        <w:t>Article</w:t>
      </w:r>
      <w:r>
        <w:rPr>
          <w:b/>
          <w:i w:val="0"/>
          <w:noProof/>
          <w:sz w:val="20"/>
          <w:szCs w:val="20"/>
        </w:rPr>
        <w:t xml:space="preserve"> 5</w:t>
      </w:r>
    </w:p>
    <w:p w:rsidR="00FB25A5" w:rsidRDefault="00535A94">
      <w:pPr>
        <w:rPr>
          <w:noProof/>
          <w:sz w:val="20"/>
          <w:szCs w:val="20"/>
        </w:rPr>
      </w:pPr>
      <w:r>
        <w:rPr>
          <w:i/>
          <w:noProof/>
          <w:sz w:val="20"/>
          <w:szCs w:val="20"/>
        </w:rPr>
        <w:t>After</w:t>
      </w:r>
      <w:r>
        <w:rPr>
          <w:b/>
          <w:noProof/>
          <w:sz w:val="20"/>
          <w:szCs w:val="20"/>
        </w:rPr>
        <w:t xml:space="preserve"> </w:t>
      </w:r>
      <w:r>
        <w:rPr>
          <w:noProof/>
          <w:sz w:val="20"/>
          <w:szCs w:val="20"/>
        </w:rPr>
        <w:t xml:space="preserve">the modified Article 4 </w:t>
      </w:r>
      <w:r>
        <w:rPr>
          <w:i/>
          <w:noProof/>
          <w:sz w:val="20"/>
          <w:szCs w:val="20"/>
        </w:rPr>
        <w:t>insert</w:t>
      </w:r>
    </w:p>
    <w:p w:rsidR="00FB25A5" w:rsidRDefault="00535A94">
      <w:pPr>
        <w:pStyle w:val="Titrearticle"/>
        <w:rPr>
          <w:noProof/>
          <w:sz w:val="20"/>
          <w:szCs w:val="20"/>
          <w:u w:val="single"/>
        </w:rPr>
      </w:pPr>
      <w:r>
        <w:rPr>
          <w:noProof/>
          <w:sz w:val="20"/>
          <w:szCs w:val="20"/>
          <w:u w:val="single"/>
        </w:rPr>
        <w:t>Article 5</w:t>
      </w:r>
    </w:p>
    <w:p w:rsidR="00FB25A5" w:rsidRDefault="00535A94">
      <w:pPr>
        <w:pStyle w:val="Titreobjet"/>
        <w:rPr>
          <w:noProof/>
          <w:sz w:val="20"/>
          <w:szCs w:val="20"/>
        </w:rPr>
      </w:pPr>
      <w:r>
        <w:rPr>
          <w:noProof/>
          <w:sz w:val="20"/>
          <w:szCs w:val="20"/>
        </w:rPr>
        <w:t>Vehicles with a sheeted sliding roof</w:t>
      </w:r>
    </w:p>
    <w:p w:rsidR="00FB25A5" w:rsidRDefault="00535A94">
      <w:pPr>
        <w:pStyle w:val="NumPar1"/>
        <w:numPr>
          <w:ilvl w:val="0"/>
          <w:numId w:val="9"/>
        </w:numPr>
        <w:rPr>
          <w:noProof/>
          <w:sz w:val="20"/>
          <w:szCs w:val="20"/>
        </w:rPr>
      </w:pPr>
      <w:r>
        <w:rPr>
          <w:noProof/>
          <w:sz w:val="20"/>
          <w:szCs w:val="20"/>
        </w:rPr>
        <w:t xml:space="preserve">Where applicable, the provisions of Articles 1, 2, 3 and 4 of these Regulations shall apply to vehicles with a sheeted sliding </w:t>
      </w:r>
      <w:r>
        <w:rPr>
          <w:noProof/>
          <w:sz w:val="20"/>
          <w:szCs w:val="20"/>
        </w:rPr>
        <w:t>roof. In addition, these vehicles shall conform to the provisions of this Article.</w:t>
      </w:r>
    </w:p>
    <w:p w:rsidR="00FB25A5" w:rsidRDefault="00535A94">
      <w:pPr>
        <w:pStyle w:val="NumPar1"/>
        <w:rPr>
          <w:noProof/>
          <w:sz w:val="20"/>
          <w:szCs w:val="20"/>
        </w:rPr>
      </w:pPr>
      <w:r>
        <w:rPr>
          <w:noProof/>
          <w:sz w:val="20"/>
          <w:szCs w:val="20"/>
        </w:rPr>
        <w:t>The sheeted sliding roof shall fulfil the requirements set out in (i) to (iii) below.</w:t>
      </w:r>
    </w:p>
    <w:p w:rsidR="00FB25A5" w:rsidRDefault="00535A94">
      <w:pPr>
        <w:pStyle w:val="Index1"/>
        <w:ind w:left="720" w:hanging="720"/>
        <w:rPr>
          <w:noProof/>
          <w:sz w:val="20"/>
          <w:szCs w:val="20"/>
        </w:rPr>
      </w:pPr>
      <w:r>
        <w:rPr>
          <w:noProof/>
          <w:sz w:val="20"/>
          <w:szCs w:val="20"/>
        </w:rPr>
        <w:t>(i)</w:t>
      </w:r>
      <w:r>
        <w:rPr>
          <w:noProof/>
          <w:sz w:val="20"/>
          <w:szCs w:val="20"/>
        </w:rPr>
        <w:tab/>
        <w:t>The sheeted sliding roof shall be assembled either by means of devices which cannot</w:t>
      </w:r>
      <w:r>
        <w:rPr>
          <w:noProof/>
          <w:sz w:val="20"/>
          <w:szCs w:val="20"/>
        </w:rPr>
        <w:t xml:space="preserve"> be removed and replaced from the outside without leaving obvious traces, or by such methods as will produce a structure which cannot be modified without leaving obvious traces.</w:t>
      </w:r>
    </w:p>
    <w:p w:rsidR="00FB25A5" w:rsidRDefault="00535A94">
      <w:pPr>
        <w:pStyle w:val="Index1"/>
        <w:ind w:left="720" w:hanging="720"/>
        <w:rPr>
          <w:noProof/>
          <w:sz w:val="20"/>
          <w:szCs w:val="20"/>
        </w:rPr>
      </w:pPr>
      <w:r>
        <w:rPr>
          <w:noProof/>
          <w:sz w:val="20"/>
          <w:szCs w:val="20"/>
        </w:rPr>
        <w:t>(ii)</w:t>
      </w:r>
      <w:r>
        <w:rPr>
          <w:noProof/>
          <w:sz w:val="20"/>
          <w:szCs w:val="20"/>
        </w:rPr>
        <w:tab/>
        <w:t>The sliding roof sheet shall overlap with the solid part of the roof at t</w:t>
      </w:r>
      <w:r>
        <w:rPr>
          <w:noProof/>
          <w:sz w:val="20"/>
          <w:szCs w:val="20"/>
        </w:rPr>
        <w:t>he front side of the load compartment, so that the roof sheet cannot be pulled over the top edge of the upper cantrail. In the length of the load compartment, at both sides, in the hem of the roof sheet, a pre-stressed steel cable shall be inserted in such</w:t>
      </w:r>
      <w:r>
        <w:rPr>
          <w:noProof/>
          <w:sz w:val="20"/>
          <w:szCs w:val="20"/>
        </w:rPr>
        <w:t xml:space="preserve"> a way that it cannot be removed and re-inserted without leaving obvious traces. The roof sheet shall be secured to the sliding carriage in such a way that it cannot be removed and re-secured without leaving obvious traces.</w:t>
      </w:r>
    </w:p>
    <w:p w:rsidR="00FB25A5" w:rsidRDefault="00535A94">
      <w:pPr>
        <w:pStyle w:val="Index1"/>
        <w:ind w:left="720" w:hanging="720"/>
        <w:rPr>
          <w:noProof/>
          <w:sz w:val="20"/>
          <w:szCs w:val="20"/>
        </w:rPr>
      </w:pPr>
      <w:r>
        <w:rPr>
          <w:noProof/>
          <w:sz w:val="20"/>
          <w:szCs w:val="20"/>
        </w:rPr>
        <w:t>(iii)</w:t>
      </w:r>
      <w:r>
        <w:rPr>
          <w:noProof/>
          <w:sz w:val="20"/>
          <w:szCs w:val="20"/>
        </w:rPr>
        <w:tab/>
        <w:t>The sliding roof guidance,</w:t>
      </w:r>
      <w:r>
        <w:rPr>
          <w:noProof/>
          <w:sz w:val="20"/>
          <w:szCs w:val="20"/>
        </w:rPr>
        <w:t xml:space="preserve"> the sliding roof tension devices and other movable parts shall be assembled in such a way that when closed, and Customs sealed, doors, roof and other movable parts cannot be opened or closed from the outside without leaving obvious traces. The sliding roo</w:t>
      </w:r>
      <w:r>
        <w:rPr>
          <w:noProof/>
          <w:sz w:val="20"/>
          <w:szCs w:val="20"/>
        </w:rPr>
        <w:t>f guidance, sliding roof tension devices and other movable parts shall be assembled in such a way that it is impossible to gain access to the load compartment without leaving obvious traces once the closing devices have been secured.</w:t>
      </w:r>
    </w:p>
    <w:p w:rsidR="00FB25A5" w:rsidRDefault="00535A94">
      <w:pPr>
        <w:ind w:firstLine="720"/>
        <w:rPr>
          <w:noProof/>
          <w:sz w:val="20"/>
          <w:szCs w:val="20"/>
        </w:rPr>
      </w:pPr>
      <w:r>
        <w:rPr>
          <w:noProof/>
          <w:sz w:val="20"/>
          <w:szCs w:val="20"/>
        </w:rPr>
        <w:lastRenderedPageBreak/>
        <w:t>An example of a possib</w:t>
      </w:r>
      <w:r>
        <w:rPr>
          <w:noProof/>
          <w:sz w:val="20"/>
          <w:szCs w:val="20"/>
        </w:rPr>
        <w:t>le system of construction is shown in sketch No.10, appended to these Regulations.</w:t>
      </w:r>
    </w:p>
    <w:p w:rsidR="00FB25A5" w:rsidRDefault="00535A94">
      <w:pPr>
        <w:spacing w:before="0" w:after="200" w:line="276" w:lineRule="auto"/>
        <w:jc w:val="left"/>
        <w:rPr>
          <w:noProof/>
        </w:rPr>
      </w:pPr>
      <w:r>
        <w:rPr>
          <w:noProof/>
        </w:rPr>
        <w:br w:type="page"/>
      </w:r>
    </w:p>
    <w:p w:rsidR="00FB25A5" w:rsidRDefault="00535A94">
      <w:pPr>
        <w:suppressAutoHyphens/>
        <w:spacing w:before="0" w:line="240" w:lineRule="atLeast"/>
        <w:ind w:right="1134"/>
        <w:rPr>
          <w:rFonts w:eastAsia="Times New Roman"/>
          <w:b/>
          <w:noProof/>
          <w:sz w:val="20"/>
          <w:szCs w:val="20"/>
        </w:rPr>
      </w:pPr>
      <w:r>
        <w:rPr>
          <w:rFonts w:eastAsia="Times New Roman"/>
          <w:b/>
          <w:noProof/>
          <w:sz w:val="20"/>
          <w:szCs w:val="20"/>
        </w:rPr>
        <w:t>Annex 2, Sketch No. 9</w:t>
      </w:r>
    </w:p>
    <w:p w:rsidR="00FB25A5" w:rsidRDefault="00535A94">
      <w:pPr>
        <w:suppressAutoHyphens/>
        <w:spacing w:before="0" w:line="240" w:lineRule="atLeast"/>
        <w:ind w:right="1134"/>
        <w:rPr>
          <w:rFonts w:eastAsia="Times New Roman"/>
          <w:b/>
          <w:noProof/>
          <w:sz w:val="20"/>
          <w:szCs w:val="20"/>
        </w:rPr>
      </w:pPr>
      <w:r>
        <w:rPr>
          <w:rFonts w:eastAsia="Times New Roman"/>
          <w:noProof/>
          <w:sz w:val="20"/>
          <w:szCs w:val="20"/>
        </w:rPr>
        <w:t xml:space="preserve">For the existing Sketch No. 9 </w:t>
      </w:r>
      <w:r>
        <w:rPr>
          <w:rFonts w:eastAsia="Times New Roman"/>
          <w:i/>
          <w:noProof/>
          <w:sz w:val="20"/>
          <w:szCs w:val="20"/>
        </w:rPr>
        <w:t>substitute</w:t>
      </w:r>
    </w:p>
    <w:p w:rsidR="00FB25A5" w:rsidRDefault="00535A94">
      <w:pPr>
        <w:suppressAutoHyphens/>
        <w:spacing w:before="0" w:line="240" w:lineRule="atLeast"/>
        <w:ind w:left="1134" w:right="1134"/>
        <w:jc w:val="center"/>
        <w:rPr>
          <w:rFonts w:eastAsia="Times New Roman"/>
          <w:noProof/>
          <w:sz w:val="20"/>
          <w:szCs w:val="20"/>
          <w:u w:val="single"/>
        </w:rPr>
      </w:pPr>
      <w:r>
        <w:rPr>
          <w:rFonts w:eastAsia="Times New Roman"/>
          <w:noProof/>
          <w:sz w:val="20"/>
          <w:szCs w:val="20"/>
          <w:u w:val="single"/>
        </w:rPr>
        <w:t>Sketch No. 9</w:t>
      </w:r>
    </w:p>
    <w:p w:rsidR="00FB25A5" w:rsidRDefault="00535A94">
      <w:pPr>
        <w:suppressAutoHyphens/>
        <w:spacing w:before="0" w:line="240" w:lineRule="atLeast"/>
        <w:ind w:right="1134"/>
        <w:jc w:val="center"/>
        <w:rPr>
          <w:rFonts w:eastAsia="Times New Roman"/>
          <w:b/>
          <w:noProof/>
          <w:sz w:val="20"/>
          <w:szCs w:val="20"/>
          <w:u w:val="single"/>
        </w:rPr>
      </w:pPr>
      <w:r>
        <w:rPr>
          <w:rFonts w:eastAsia="Times New Roman"/>
          <w:b/>
          <w:noProof/>
          <w:sz w:val="20"/>
          <w:szCs w:val="20"/>
          <w:u w:val="single"/>
        </w:rPr>
        <w:t>EXAMPLE OF A CONSTRUCTION OF A VEHICLE WITH SLIDING SHEETS</w:t>
      </w:r>
    </w:p>
    <w:p w:rsidR="00FB25A5" w:rsidRDefault="00535A94">
      <w:pPr>
        <w:rPr>
          <w:noProof/>
        </w:rPr>
      </w:pPr>
      <w:r>
        <w:rPr>
          <w:noProof/>
        </w:rPr>
        <w:pict>
          <v:shape id="_x0000_i1026" type="#_x0000_t75" style="width:483pt;height:552pt">
            <v:imagedata r:id="rId16" o:title=""/>
          </v:shape>
        </w:pict>
      </w:r>
    </w:p>
    <w:p w:rsidR="00FB25A5" w:rsidRDefault="00535A94">
      <w:pPr>
        <w:rPr>
          <w:noProof/>
        </w:rPr>
      </w:pPr>
      <w:r>
        <w:rPr>
          <w:noProof/>
        </w:rPr>
        <w:br w:type="page"/>
      </w:r>
    </w:p>
    <w:p w:rsidR="00FB25A5" w:rsidRDefault="00535A94">
      <w:pPr>
        <w:rPr>
          <w:noProof/>
          <w:sz w:val="22"/>
        </w:rPr>
      </w:pPr>
      <w:r>
        <w:rPr>
          <w:noProof/>
          <w:sz w:val="22"/>
        </w:rPr>
        <w:t>Sketch No. 9 continued</w:t>
      </w:r>
    </w:p>
    <w:p w:rsidR="00FB25A5" w:rsidRDefault="00535A94">
      <w:pPr>
        <w:rPr>
          <w:noProof/>
        </w:rPr>
      </w:pPr>
      <w:r>
        <w:rPr>
          <w:noProof/>
        </w:rPr>
        <w:pict>
          <v:shape id="_x0000_i1027" type="#_x0000_t75" style="width:483pt;height:572.25pt">
            <v:imagedata r:id="rId17" o:title=""/>
          </v:shape>
        </w:pict>
      </w:r>
    </w:p>
    <w:p w:rsidR="00FB25A5" w:rsidRDefault="00535A94">
      <w:pPr>
        <w:rPr>
          <w:noProof/>
        </w:rPr>
      </w:pPr>
      <w:r>
        <w:rPr>
          <w:noProof/>
        </w:rPr>
        <w:br w:type="page"/>
      </w:r>
    </w:p>
    <w:p w:rsidR="00FB25A5" w:rsidRDefault="00535A94">
      <w:pPr>
        <w:ind w:left="993"/>
        <w:rPr>
          <w:noProof/>
          <w:sz w:val="20"/>
          <w:szCs w:val="20"/>
        </w:rPr>
      </w:pPr>
      <w:r>
        <w:rPr>
          <w:noProof/>
          <w:sz w:val="20"/>
          <w:szCs w:val="20"/>
        </w:rPr>
        <w:t>Sketch No. 9 continued</w:t>
      </w:r>
    </w:p>
    <w:p w:rsidR="00FB25A5" w:rsidRDefault="00535A94">
      <w:pPr>
        <w:rPr>
          <w:noProof/>
        </w:rPr>
      </w:pPr>
      <w:r>
        <w:rPr>
          <w:noProof/>
        </w:rPr>
        <w:pict>
          <v:shape id="_x0000_i1028" type="#_x0000_t75" style="width:483pt;height:606pt">
            <v:imagedata r:id="rId18" o:title=""/>
          </v:shape>
        </w:pict>
      </w:r>
    </w:p>
    <w:p w:rsidR="00FB25A5" w:rsidRDefault="00535A94">
      <w:pPr>
        <w:spacing w:before="0" w:after="200" w:line="276" w:lineRule="auto"/>
        <w:jc w:val="left"/>
        <w:rPr>
          <w:noProof/>
        </w:rPr>
      </w:pPr>
      <w:r>
        <w:rPr>
          <w:noProof/>
        </w:rPr>
        <w:br w:type="page"/>
      </w:r>
    </w:p>
    <w:p w:rsidR="00FB25A5" w:rsidRDefault="00535A94">
      <w:pPr>
        <w:suppressAutoHyphens/>
        <w:spacing w:before="0" w:line="240" w:lineRule="atLeast"/>
        <w:ind w:right="1134"/>
        <w:rPr>
          <w:rFonts w:eastAsia="Times New Roman"/>
          <w:b/>
          <w:noProof/>
          <w:sz w:val="20"/>
          <w:szCs w:val="20"/>
        </w:rPr>
      </w:pPr>
      <w:r>
        <w:rPr>
          <w:rFonts w:eastAsia="Times New Roman"/>
          <w:b/>
          <w:noProof/>
          <w:sz w:val="20"/>
          <w:szCs w:val="20"/>
        </w:rPr>
        <w:t>Annex 2, new Sketch No. 10</w:t>
      </w:r>
    </w:p>
    <w:p w:rsidR="00FB25A5" w:rsidRDefault="00535A94">
      <w:pPr>
        <w:suppressAutoHyphens/>
        <w:spacing w:before="0" w:line="240" w:lineRule="atLeast"/>
        <w:ind w:right="1134"/>
        <w:rPr>
          <w:rFonts w:eastAsia="Times New Roman"/>
          <w:noProof/>
          <w:sz w:val="20"/>
          <w:szCs w:val="20"/>
        </w:rPr>
      </w:pPr>
      <w:r>
        <w:rPr>
          <w:rFonts w:eastAsia="Times New Roman"/>
          <w:i/>
          <w:noProof/>
          <w:sz w:val="20"/>
          <w:szCs w:val="20"/>
        </w:rPr>
        <w:t xml:space="preserve">After </w:t>
      </w:r>
      <w:r>
        <w:rPr>
          <w:rFonts w:eastAsia="Times New Roman"/>
          <w:noProof/>
          <w:sz w:val="20"/>
          <w:szCs w:val="20"/>
        </w:rPr>
        <w:t>new Sketch No. 9</w:t>
      </w:r>
      <w:r>
        <w:rPr>
          <w:rFonts w:eastAsia="Times New Roman"/>
          <w:i/>
          <w:noProof/>
          <w:sz w:val="20"/>
          <w:szCs w:val="20"/>
        </w:rPr>
        <w:t xml:space="preserve"> insert</w:t>
      </w:r>
    </w:p>
    <w:p w:rsidR="00FB25A5" w:rsidRDefault="00535A94">
      <w:pPr>
        <w:suppressAutoHyphens/>
        <w:spacing w:before="0" w:line="240" w:lineRule="atLeast"/>
        <w:ind w:left="1134" w:right="1134"/>
        <w:jc w:val="center"/>
        <w:rPr>
          <w:rFonts w:eastAsia="Times New Roman"/>
          <w:noProof/>
          <w:sz w:val="20"/>
          <w:szCs w:val="20"/>
          <w:u w:val="single"/>
        </w:rPr>
      </w:pPr>
      <w:r>
        <w:rPr>
          <w:rFonts w:eastAsia="Times New Roman"/>
          <w:noProof/>
          <w:sz w:val="20"/>
          <w:szCs w:val="20"/>
          <w:u w:val="single"/>
        </w:rPr>
        <w:t>Sketch No. 10</w:t>
      </w:r>
    </w:p>
    <w:p w:rsidR="00FB25A5" w:rsidRDefault="00535A94">
      <w:pPr>
        <w:suppressAutoHyphens/>
        <w:spacing w:before="0" w:line="240" w:lineRule="atLeast"/>
        <w:ind w:left="1134" w:right="1134"/>
        <w:jc w:val="center"/>
        <w:rPr>
          <w:rFonts w:eastAsia="Times New Roman"/>
          <w:b/>
          <w:noProof/>
          <w:sz w:val="20"/>
          <w:szCs w:val="20"/>
          <w:u w:val="single"/>
        </w:rPr>
      </w:pPr>
      <w:r>
        <w:rPr>
          <w:rFonts w:eastAsia="Times New Roman"/>
          <w:b/>
          <w:noProof/>
          <w:sz w:val="20"/>
          <w:szCs w:val="20"/>
          <w:u w:val="single"/>
        </w:rPr>
        <w:t>EXAMPLE OF A CONSTRUCTION OF A VEHICLE WITH A SHEETED SLIDING ROOF</w:t>
      </w:r>
    </w:p>
    <w:p w:rsidR="00FB25A5" w:rsidRDefault="00535A94">
      <w:pPr>
        <w:spacing w:before="0" w:after="200" w:line="276" w:lineRule="auto"/>
        <w:jc w:val="left"/>
        <w:rPr>
          <w:noProof/>
        </w:rPr>
      </w:pPr>
      <w:r>
        <w:rPr>
          <w:noProof/>
        </w:rPr>
        <w:pict>
          <v:shape id="_x0000_i1029" type="#_x0000_t75" style="width:483pt;height:543.75pt">
            <v:imagedata r:id="rId19" o:title=""/>
          </v:shape>
        </w:pict>
      </w:r>
    </w:p>
    <w:p w:rsidR="00FB25A5" w:rsidRDefault="00535A94">
      <w:pPr>
        <w:rPr>
          <w:noProof/>
        </w:rPr>
      </w:pPr>
      <w:r>
        <w:rPr>
          <w:noProof/>
        </w:rPr>
        <w:br w:type="page"/>
      </w:r>
    </w:p>
    <w:p w:rsidR="00FB25A5" w:rsidRDefault="00535A94">
      <w:pPr>
        <w:spacing w:before="0" w:after="200" w:line="276" w:lineRule="auto"/>
        <w:jc w:val="left"/>
        <w:rPr>
          <w:noProof/>
        </w:rPr>
      </w:pPr>
      <w:r>
        <w:rPr>
          <w:noProof/>
        </w:rPr>
        <w:pict>
          <v:shape id="_x0000_i1030" type="#_x0000_t75" style="width:483pt;height:540pt">
            <v:imagedata r:id="rId20" o:title=""/>
          </v:shape>
        </w:pict>
      </w:r>
    </w:p>
    <w:p w:rsidR="00FB25A5" w:rsidRDefault="00535A94">
      <w:pPr>
        <w:spacing w:before="0" w:after="200" w:line="276" w:lineRule="auto"/>
        <w:jc w:val="left"/>
        <w:rPr>
          <w:noProof/>
        </w:rPr>
      </w:pPr>
      <w:r>
        <w:rPr>
          <w:noProof/>
        </w:rPr>
        <w:br w:type="page"/>
      </w:r>
    </w:p>
    <w:p w:rsidR="00FB25A5" w:rsidRDefault="00535A94">
      <w:pPr>
        <w:rPr>
          <w:noProof/>
        </w:rPr>
      </w:pPr>
      <w:r>
        <w:rPr>
          <w:noProof/>
        </w:rPr>
        <w:pict>
          <v:shape id="_x0000_i1031" type="#_x0000_t75" style="width:483pt;height:603.75pt">
            <v:imagedata r:id="rId21" o:title=""/>
          </v:shape>
        </w:pict>
      </w:r>
    </w:p>
    <w:sectPr w:rsidR="00FB25A5" w:rsidSect="00535A94">
      <w:footerReference w:type="default" r:id="rId22"/>
      <w:footerReference w:type="first" r:id="rId23"/>
      <w:pgSz w:w="11907" w:h="16839"/>
      <w:pgMar w:top="1134" w:right="1417" w:bottom="1134" w:left="1417" w:header="709" w:footer="709"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5A5" w:rsidRDefault="00535A94">
      <w:pPr>
        <w:spacing w:before="0" w:after="0"/>
      </w:pPr>
      <w:r>
        <w:separator/>
      </w:r>
    </w:p>
  </w:endnote>
  <w:endnote w:type="continuationSeparator" w:id="0">
    <w:p w:rsidR="00FB25A5" w:rsidRDefault="00535A9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94" w:rsidRDefault="00535A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5A5" w:rsidRDefault="00535A94">
    <w:pPr>
      <w:pStyle w:val="Footer"/>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proofErr w:type="spellStart"/>
    <w:r>
      <w:rPr>
        <w:rFonts w:ascii="Arial" w:hAnsi="Arial" w:cs="Arial"/>
        <w:b/>
        <w:sz w:val="48"/>
      </w:rPr>
      <w:t>EN</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94" w:rsidRDefault="00535A9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5A5" w:rsidRDefault="00535A94">
    <w:pPr>
      <w:pStyle w:val="Footer"/>
      <w:rPr>
        <w:rFonts w:ascii="Arial" w:hAnsi="Arial" w:cs="Arial"/>
        <w:b/>
        <w:sz w:val="48"/>
      </w:rPr>
    </w:pPr>
    <w:bookmarkStart w:id="0" w:name="_GoBack"/>
    <w:bookmarkEnd w:id="0"/>
    <w:r>
      <w:rPr>
        <w:rFonts w:ascii="Arial" w:hAnsi="Arial" w:cs="Arial"/>
        <w:b/>
        <w:sz w:val="48"/>
      </w:rPr>
      <w:t>EN</w:t>
    </w:r>
    <w:r>
      <w:rPr>
        <w:rFonts w:ascii="Arial" w:hAnsi="Arial" w:cs="Arial"/>
        <w:b/>
        <w:sz w:val="48"/>
      </w:rPr>
      <w:tab/>
    </w:r>
    <w:r>
      <w:fldChar w:fldCharType="begin"/>
    </w:r>
    <w:r>
      <w:instrText xml:space="preserve"> PAGE  \* MERGEFORMAT </w:instrText>
    </w:r>
    <w:r>
      <w:fldChar w:fldCharType="separate"/>
    </w:r>
    <w:r>
      <w:rPr>
        <w:noProof/>
      </w:rPr>
      <w:t>2</w:t>
    </w:r>
    <w:r>
      <w:fldChar w:fldCharType="end"/>
    </w:r>
    <w: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5A5" w:rsidRDefault="00FB25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5A5" w:rsidRDefault="00535A94">
      <w:pPr>
        <w:spacing w:before="0" w:after="0"/>
      </w:pPr>
      <w:r>
        <w:separator/>
      </w:r>
    </w:p>
  </w:footnote>
  <w:footnote w:type="continuationSeparator" w:id="0">
    <w:p w:rsidR="00FB25A5" w:rsidRDefault="00535A94">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94" w:rsidRDefault="00535A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94" w:rsidRDefault="00535A9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94" w:rsidRDefault="00535A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4EACDA2"/>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2EA0321C"/>
    <w:lvl w:ilvl="0">
      <w:start w:val="1"/>
      <w:numFmt w:val="decimal"/>
      <w:pStyle w:val="ListNumber3"/>
      <w:lvlText w:val="%1."/>
      <w:lvlJc w:val="left"/>
      <w:pPr>
        <w:tabs>
          <w:tab w:val="num" w:pos="926"/>
        </w:tabs>
        <w:ind w:left="926" w:hanging="360"/>
      </w:pPr>
    </w:lvl>
  </w:abstractNum>
  <w:abstractNum w:abstractNumId="2">
    <w:nsid w:val="FFFFFF7F"/>
    <w:multiLevelType w:val="singleLevel"/>
    <w:tmpl w:val="3B5A648A"/>
    <w:lvl w:ilvl="0">
      <w:start w:val="1"/>
      <w:numFmt w:val="decimal"/>
      <w:pStyle w:val="ListNumber2"/>
      <w:lvlText w:val="%1."/>
      <w:lvlJc w:val="left"/>
      <w:pPr>
        <w:tabs>
          <w:tab w:val="num" w:pos="643"/>
        </w:tabs>
        <w:ind w:left="643" w:hanging="360"/>
      </w:pPr>
    </w:lvl>
  </w:abstractNum>
  <w:abstractNum w:abstractNumId="3">
    <w:nsid w:val="FFFFFF81"/>
    <w:multiLevelType w:val="singleLevel"/>
    <w:tmpl w:val="732A969C"/>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AB80CF76"/>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C6203F2C"/>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02F4A39C"/>
    <w:lvl w:ilvl="0">
      <w:start w:val="1"/>
      <w:numFmt w:val="decimal"/>
      <w:pStyle w:val="ListNumber"/>
      <w:lvlText w:val="%1."/>
      <w:lvlJc w:val="left"/>
      <w:pPr>
        <w:tabs>
          <w:tab w:val="num" w:pos="360"/>
        </w:tabs>
        <w:ind w:left="360" w:hanging="360"/>
      </w:pPr>
    </w:lvl>
  </w:abstractNum>
  <w:abstractNum w:abstractNumId="7">
    <w:nsid w:val="FFFFFF89"/>
    <w:multiLevelType w:val="singleLevel"/>
    <w:tmpl w:val="FD28B2C2"/>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9">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1">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4">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5">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6">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7">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9">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1">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7"/>
  </w:num>
  <w:num w:numId="2">
    <w:abstractNumId w:val="5"/>
  </w:num>
  <w:num w:numId="3">
    <w:abstractNumId w:val="4"/>
  </w:num>
  <w:num w:numId="4">
    <w:abstractNumId w:val="3"/>
  </w:num>
  <w:num w:numId="5">
    <w:abstractNumId w:val="6"/>
  </w:num>
  <w:num w:numId="6">
    <w:abstractNumId w:val="2"/>
  </w:num>
  <w:num w:numId="7">
    <w:abstractNumId w:val="1"/>
  </w:num>
  <w:num w:numId="8">
    <w:abstractNumId w:val="0"/>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2"/>
  </w:num>
  <w:num w:numId="12">
    <w:abstractNumId w:val="20"/>
  </w:num>
  <w:num w:numId="13">
    <w:abstractNumId w:val="11"/>
  </w:num>
  <w:num w:numId="14">
    <w:abstractNumId w:val="13"/>
  </w:num>
  <w:num w:numId="15">
    <w:abstractNumId w:val="9"/>
  </w:num>
  <w:num w:numId="16">
    <w:abstractNumId w:val="19"/>
  </w:num>
  <w:num w:numId="17">
    <w:abstractNumId w:val="8"/>
  </w:num>
  <w:num w:numId="18">
    <w:abstractNumId w:val="14"/>
  </w:num>
  <w:num w:numId="19">
    <w:abstractNumId w:val="16"/>
  </w:num>
  <w:num w:numId="20">
    <w:abstractNumId w:val="17"/>
  </w:num>
  <w:num w:numId="21">
    <w:abstractNumId w:val="10"/>
  </w:num>
  <w:num w:numId="22">
    <w:abstractNumId w:val="15"/>
  </w:num>
  <w:num w:numId="23">
    <w:abstractNumId w:val="21"/>
  </w:num>
  <w:num w:numId="24">
    <w:abstractNumId w:val="18"/>
  </w:num>
  <w:num w:numId="25">
    <w:abstractNumId w:val="12"/>
  </w:num>
  <w:num w:numId="26">
    <w:abstractNumId w:val="20"/>
  </w:num>
  <w:num w:numId="27">
    <w:abstractNumId w:val="11"/>
  </w:num>
  <w:num w:numId="28">
    <w:abstractNumId w:val="13"/>
  </w:num>
  <w:num w:numId="29">
    <w:abstractNumId w:val="9"/>
  </w:num>
  <w:num w:numId="30">
    <w:abstractNumId w:val="19"/>
  </w:num>
  <w:num w:numId="31">
    <w:abstractNumId w:val="8"/>
  </w:num>
  <w:num w:numId="32">
    <w:abstractNumId w:val="14"/>
  </w:num>
  <w:num w:numId="33">
    <w:abstractNumId w:val="16"/>
  </w:num>
  <w:num w:numId="34">
    <w:abstractNumId w:val="17"/>
  </w:num>
  <w:num w:numId="35">
    <w:abstractNumId w:val="10"/>
  </w:num>
  <w:num w:numId="36">
    <w:abstractNumId w:val="15"/>
  </w:num>
  <w:num w:numId="37">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QCDateTime" w:val="2015-10-12 08:13:49"/>
    <w:docVar w:name="DQCResult_Distribution" w:val="0;0"/>
    <w:docVar w:name="DQCResult_DocumentContent" w:val="0;0"/>
    <w:docVar w:name="DQCResult_DocumentSize" w:val="0;0"/>
    <w:docVar w:name="DQCResult_DocumentVersions" w:val="0;0"/>
    <w:docVar w:name="DQCResult_ExistenceOfMacros" w:val="0;0"/>
    <w:docVar w:name="DQCResult_InvalidFootnotes" w:val="0;0"/>
    <w:docVar w:name="DQCResult_LinkedStyles" w:val="0;0"/>
    <w:docVar w:name="DQCResult_ModifiedMargins" w:val="0;17"/>
    <w:docVar w:name="DQCResult_ModifiedMarkers" w:val="0;0"/>
    <w:docVar w:name="DQCResult_ModifiedNumbering" w:val="0;0"/>
    <w:docVar w:name="DQCResult_Objects" w:val="0;0"/>
    <w:docVar w:name="DQCResult_Sections" w:val="0;1"/>
    <w:docVar w:name="DQCResult_StructureCheck" w:val="0;0"/>
    <w:docVar w:name="DQCResult_SuperfluousWhitespace" w:val="0;0"/>
    <w:docVar w:name="DQCResult_UnknownFonts" w:val="0;0"/>
    <w:docVar w:name="DQCResult_UnknownStyles" w:val="0;3"/>
    <w:docVar w:name="DQCStatus" w:val="Yellow"/>
    <w:docVar w:name="DQCVersion" w:val="3"/>
    <w:docVar w:name="DQCWithWarnings" w:val="0"/>
    <w:docVar w:name="LW_ACCOMPAGNANT.CP" w:val="to the"/>
    <w:docVar w:name="LW_ANNEX_NBR_FIRST" w:val="1"/>
    <w:docVar w:name="LW_ANNEX_NBR_LAST" w:val="1"/>
    <w:docVar w:name="LW_CONFIDENCE" w:val=" "/>
    <w:docVar w:name="LW_CONST_RESTREINT_UE" w:val="RESTREINT UE"/>
    <w:docVar w:name="LW_CORRIGENDUM" w:val="&lt;UNUSED&gt;"/>
    <w:docVar w:name="LW_COVERPAGE_GUID" w:val="E1F2245444C94392AACD4B1AE902766B"/>
    <w:docVar w:name="LW_CROSSREFERENCE" w:val="&lt;UNUSED&gt;"/>
    <w:docVar w:name="LW_DocType" w:val="ANNEX"/>
    <w:docVar w:name="LW_EMISSION" w:val="20.10.2015"/>
    <w:docVar w:name="LW_EMISSION_ISODATE" w:val="2015-10-20"/>
    <w:docVar w:name="LW_EMISSION_LOCATION" w:val="BRX"/>
    <w:docVar w:name="LW_EMISSION_PREFIX" w:val="Brussels, "/>
    <w:docVar w:name="LW_EMISSION_SUFFIX" w:val=" "/>
    <w:docVar w:name="LW_ID_DOCSTRUCTURE" w:val="COM/ANNEX"/>
    <w:docVar w:name="LW_ID_DOCTYPE" w:val="SG-017"/>
    <w:docVar w:name="LW_LANGUE" w:val="EN"/>
    <w:docVar w:name="LW_MARKING" w:val="&lt;UNUSED&gt;"/>
    <w:docVar w:name="LW_NOM.INST" w:val="EUROPEAN COMMISSION"/>
    <w:docVar w:name="LW_NOM.INST_JOINTDOC" w:val="&lt;EMPTY&gt;"/>
    <w:docVar w:name="LW_OBJETACTEPRINCIPAL.CP" w:val="on the position to be adopted on behalf of the European Union within the Administrative Committee for the TIR Convention as regards the proposal to amend the Customs Convention on the international transport of goods under cover of TIR carnets _x000b_"/>
    <w:docVar w:name="LW_PART_NBR" w:val="1"/>
    <w:docVar w:name="LW_PART_NBR_TOTAL" w:val="2"/>
    <w:docVar w:name="LW_REF.INST.NEW" w:val="COM"/>
    <w:docVar w:name="LW_REF.INST.NEW_ADOPTED" w:val="final"/>
    <w:docVar w:name="LW_REF.INST.NEW_TEXT" w:val="(2015) 512"/>
    <w:docVar w:name="LW_REF.INTERNE" w:val="&lt;UNUSED&gt;"/>
    <w:docVar w:name="LW_SUPERTITRE" w:val="&lt;UNUSED&gt;"/>
    <w:docVar w:name="LW_TITRE.OBJ.CP" w:val="ATTACHMENT"/>
    <w:docVar w:name="LW_TYPE.DOC.CP" w:val="ANNEX"/>
    <w:docVar w:name="LW_TYPEACTEPRINCIPAL.CP" w:val="Proposal for a Council Decision"/>
  </w:docVars>
  <w:rsids>
    <w:rsidRoot w:val="00FB25A5"/>
    <w:rsid w:val="00535A94"/>
    <w:rsid w:val="00FB2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en-GB"/>
    </w:rPr>
  </w:style>
  <w:style w:type="paragraph" w:styleId="Heading1">
    <w:name w:val="heading 1"/>
    <w:basedOn w:val="Normal"/>
    <w:next w:val="Text1"/>
    <w:link w:val="Heading1Char"/>
    <w:uiPriority w:val="9"/>
    <w:qFormat/>
    <w:pPr>
      <w:keepNext/>
      <w:numPr>
        <w:numId w:val="30"/>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30"/>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30"/>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30"/>
      </w:numPr>
      <w:outlineLvl w:val="3"/>
    </w:pPr>
    <w:rPr>
      <w:rFonts w:eastAsiaTheme="majorEastAsia"/>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pPr>
      <w:suppressAutoHyphens/>
      <w:spacing w:before="0" w:line="240" w:lineRule="atLeast"/>
      <w:ind w:left="1134" w:right="1134"/>
    </w:pPr>
    <w:rPr>
      <w:rFonts w:eastAsia="Times New Roman"/>
      <w:sz w:val="20"/>
      <w:szCs w:val="20"/>
    </w:rPr>
  </w:style>
  <w:style w:type="paragraph" w:customStyle="1" w:styleId="H1G">
    <w:name w:val="_ H_1_G"/>
    <w:basedOn w:val="Normal"/>
    <w:next w:val="Normal"/>
    <w:pPr>
      <w:keepNext/>
      <w:keepLines/>
      <w:tabs>
        <w:tab w:val="right" w:pos="851"/>
      </w:tabs>
      <w:suppressAutoHyphens/>
      <w:spacing w:before="360" w:after="240" w:line="270" w:lineRule="exact"/>
      <w:ind w:left="1134" w:right="1134" w:hanging="1134"/>
      <w:jc w:val="left"/>
    </w:pPr>
    <w:rPr>
      <w:rFonts w:eastAsia="Times New Roman"/>
      <w:b/>
      <w:szCs w:val="20"/>
    </w:rPr>
  </w:style>
  <w:style w:type="character" w:customStyle="1" w:styleId="SingleTxtGChar">
    <w:name w:val="_ Single Txt_G Char"/>
    <w:link w:val="SingleTxtG"/>
    <w:rPr>
      <w:rFonts w:ascii="Times New Roman" w:eastAsia="Times New Roman" w:hAnsi="Times New Roman" w:cs="Times New Roman"/>
      <w:sz w:val="20"/>
      <w:szCs w:val="20"/>
      <w:lang w:val="en-GB"/>
    </w:rPr>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en-GB"/>
    </w:rPr>
  </w:style>
  <w:style w:type="character" w:styleId="Hyperlink">
    <w:name w:val="Hyperlink"/>
    <w:basedOn w:val="DefaultParagraphFont"/>
    <w:uiPriority w:val="99"/>
    <w:unhideWhenUsed/>
    <w:rPr>
      <w:color w:val="0000FF" w:themeColor="hyperlink"/>
      <w:u w:val="single"/>
    </w:rPr>
  </w:style>
  <w:style w:type="paragraph" w:styleId="Index1">
    <w:name w:val="index 1"/>
    <w:basedOn w:val="Normal"/>
    <w:next w:val="Normal"/>
    <w:autoRedefine/>
    <w:uiPriority w:val="99"/>
    <w:unhideWhenUsed/>
    <w:pPr>
      <w:spacing w:before="0" w:after="0"/>
      <w:ind w:left="240" w:hanging="240"/>
    </w:p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en-GB"/>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shd w:val="clear" w:color="auto" w:fill="auto"/>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shd w:val="clear" w:color="auto" w:fill="auto"/>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shd w:val="clear" w:color="auto" w:fill="auto"/>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shd w:val="clear" w:color="auto" w:fill="auto"/>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4"/>
      </w:numPr>
    </w:pPr>
  </w:style>
  <w:style w:type="paragraph" w:customStyle="1" w:styleId="Tiret1">
    <w:name w:val="Tiret 1"/>
    <w:basedOn w:val="Point1"/>
    <w:pPr>
      <w:numPr>
        <w:numId w:val="25"/>
      </w:numPr>
    </w:pPr>
  </w:style>
  <w:style w:type="paragraph" w:customStyle="1" w:styleId="Tiret2">
    <w:name w:val="Tiret 2"/>
    <w:basedOn w:val="Point2"/>
    <w:pPr>
      <w:numPr>
        <w:numId w:val="26"/>
      </w:numPr>
    </w:pPr>
  </w:style>
  <w:style w:type="paragraph" w:customStyle="1" w:styleId="Tiret3">
    <w:name w:val="Tiret 3"/>
    <w:basedOn w:val="Point3"/>
    <w:pPr>
      <w:numPr>
        <w:numId w:val="27"/>
      </w:numPr>
    </w:pPr>
  </w:style>
  <w:style w:type="paragraph" w:customStyle="1" w:styleId="Tiret4">
    <w:name w:val="Tiret 4"/>
    <w:basedOn w:val="Point4"/>
    <w:pPr>
      <w:numPr>
        <w:numId w:val="28"/>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29"/>
      </w:numPr>
    </w:pPr>
  </w:style>
  <w:style w:type="paragraph" w:customStyle="1" w:styleId="NumPar2">
    <w:name w:val="NumPar 2"/>
    <w:basedOn w:val="Normal"/>
    <w:next w:val="Text1"/>
    <w:pPr>
      <w:numPr>
        <w:ilvl w:val="1"/>
        <w:numId w:val="29"/>
      </w:numPr>
    </w:pPr>
  </w:style>
  <w:style w:type="paragraph" w:customStyle="1" w:styleId="NumPar3">
    <w:name w:val="NumPar 3"/>
    <w:basedOn w:val="Normal"/>
    <w:next w:val="Text1"/>
    <w:pPr>
      <w:numPr>
        <w:ilvl w:val="2"/>
        <w:numId w:val="29"/>
      </w:numPr>
    </w:pPr>
  </w:style>
  <w:style w:type="paragraph" w:customStyle="1" w:styleId="NumPar4">
    <w:name w:val="NumPar 4"/>
    <w:basedOn w:val="Normal"/>
    <w:next w:val="Text1"/>
    <w:pPr>
      <w:numPr>
        <w:ilvl w:val="3"/>
        <w:numId w:val="29"/>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1"/>
      </w:numPr>
    </w:pPr>
  </w:style>
  <w:style w:type="paragraph" w:customStyle="1" w:styleId="Point1number">
    <w:name w:val="Point 1 (number)"/>
    <w:basedOn w:val="Normal"/>
    <w:pPr>
      <w:numPr>
        <w:ilvl w:val="2"/>
        <w:numId w:val="31"/>
      </w:numPr>
    </w:pPr>
  </w:style>
  <w:style w:type="paragraph" w:customStyle="1" w:styleId="Point2number">
    <w:name w:val="Point 2 (number)"/>
    <w:basedOn w:val="Normal"/>
    <w:pPr>
      <w:numPr>
        <w:ilvl w:val="4"/>
        <w:numId w:val="31"/>
      </w:numPr>
    </w:pPr>
  </w:style>
  <w:style w:type="paragraph" w:customStyle="1" w:styleId="Point3number">
    <w:name w:val="Point 3 (number)"/>
    <w:basedOn w:val="Normal"/>
    <w:pPr>
      <w:numPr>
        <w:ilvl w:val="6"/>
        <w:numId w:val="31"/>
      </w:numPr>
    </w:pPr>
  </w:style>
  <w:style w:type="paragraph" w:customStyle="1" w:styleId="Point0letter">
    <w:name w:val="Point 0 (letter)"/>
    <w:basedOn w:val="Normal"/>
    <w:pPr>
      <w:numPr>
        <w:ilvl w:val="1"/>
        <w:numId w:val="31"/>
      </w:numPr>
    </w:pPr>
  </w:style>
  <w:style w:type="paragraph" w:customStyle="1" w:styleId="Point1letter">
    <w:name w:val="Point 1 (letter)"/>
    <w:basedOn w:val="Normal"/>
    <w:pPr>
      <w:numPr>
        <w:ilvl w:val="3"/>
        <w:numId w:val="31"/>
      </w:numPr>
    </w:pPr>
  </w:style>
  <w:style w:type="paragraph" w:customStyle="1" w:styleId="Point2letter">
    <w:name w:val="Point 2 (letter)"/>
    <w:basedOn w:val="Normal"/>
    <w:pPr>
      <w:numPr>
        <w:ilvl w:val="5"/>
        <w:numId w:val="31"/>
      </w:numPr>
    </w:pPr>
  </w:style>
  <w:style w:type="paragraph" w:customStyle="1" w:styleId="Point3letter">
    <w:name w:val="Point 3 (letter)"/>
    <w:basedOn w:val="Normal"/>
    <w:pPr>
      <w:numPr>
        <w:ilvl w:val="7"/>
        <w:numId w:val="31"/>
      </w:numPr>
    </w:pPr>
  </w:style>
  <w:style w:type="paragraph" w:customStyle="1" w:styleId="Point4letter">
    <w:name w:val="Point 4 (letter)"/>
    <w:basedOn w:val="Normal"/>
    <w:pPr>
      <w:numPr>
        <w:ilvl w:val="8"/>
        <w:numId w:val="31"/>
      </w:numPr>
    </w:pPr>
  </w:style>
  <w:style w:type="paragraph" w:customStyle="1" w:styleId="Bullet0">
    <w:name w:val="Bullet 0"/>
    <w:basedOn w:val="Normal"/>
    <w:pPr>
      <w:numPr>
        <w:numId w:val="32"/>
      </w:numPr>
    </w:pPr>
  </w:style>
  <w:style w:type="paragraph" w:customStyle="1" w:styleId="Bullet1">
    <w:name w:val="Bullet 1"/>
    <w:basedOn w:val="Normal"/>
    <w:pPr>
      <w:numPr>
        <w:numId w:val="33"/>
      </w:numPr>
    </w:pPr>
  </w:style>
  <w:style w:type="paragraph" w:customStyle="1" w:styleId="Bullet2">
    <w:name w:val="Bullet 2"/>
    <w:basedOn w:val="Normal"/>
    <w:pPr>
      <w:numPr>
        <w:numId w:val="34"/>
      </w:numPr>
    </w:pPr>
  </w:style>
  <w:style w:type="paragraph" w:customStyle="1" w:styleId="Bullet3">
    <w:name w:val="Bullet 3"/>
    <w:basedOn w:val="Normal"/>
    <w:pPr>
      <w:numPr>
        <w:numId w:val="35"/>
      </w:numPr>
    </w:pPr>
  </w:style>
  <w:style w:type="paragraph" w:customStyle="1" w:styleId="Bullet4">
    <w:name w:val="Bullet 4"/>
    <w:basedOn w:val="Normal"/>
    <w:pPr>
      <w:numPr>
        <w:numId w:val="36"/>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37"/>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en-GB"/>
    </w:rPr>
  </w:style>
  <w:style w:type="paragraph" w:styleId="Heading1">
    <w:name w:val="heading 1"/>
    <w:basedOn w:val="Normal"/>
    <w:next w:val="Text1"/>
    <w:link w:val="Heading1Char"/>
    <w:uiPriority w:val="9"/>
    <w:qFormat/>
    <w:pPr>
      <w:keepNext/>
      <w:numPr>
        <w:numId w:val="30"/>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30"/>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30"/>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30"/>
      </w:numPr>
      <w:outlineLvl w:val="3"/>
    </w:pPr>
    <w:rPr>
      <w:rFonts w:eastAsiaTheme="majorEastAsia"/>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pPr>
      <w:suppressAutoHyphens/>
      <w:spacing w:before="0" w:line="240" w:lineRule="atLeast"/>
      <w:ind w:left="1134" w:right="1134"/>
    </w:pPr>
    <w:rPr>
      <w:rFonts w:eastAsia="Times New Roman"/>
      <w:sz w:val="20"/>
      <w:szCs w:val="20"/>
    </w:rPr>
  </w:style>
  <w:style w:type="paragraph" w:customStyle="1" w:styleId="H1G">
    <w:name w:val="_ H_1_G"/>
    <w:basedOn w:val="Normal"/>
    <w:next w:val="Normal"/>
    <w:pPr>
      <w:keepNext/>
      <w:keepLines/>
      <w:tabs>
        <w:tab w:val="right" w:pos="851"/>
      </w:tabs>
      <w:suppressAutoHyphens/>
      <w:spacing w:before="360" w:after="240" w:line="270" w:lineRule="exact"/>
      <w:ind w:left="1134" w:right="1134" w:hanging="1134"/>
      <w:jc w:val="left"/>
    </w:pPr>
    <w:rPr>
      <w:rFonts w:eastAsia="Times New Roman"/>
      <w:b/>
      <w:szCs w:val="20"/>
    </w:rPr>
  </w:style>
  <w:style w:type="character" w:customStyle="1" w:styleId="SingleTxtGChar">
    <w:name w:val="_ Single Txt_G Char"/>
    <w:link w:val="SingleTxtG"/>
    <w:rPr>
      <w:rFonts w:ascii="Times New Roman" w:eastAsia="Times New Roman" w:hAnsi="Times New Roman" w:cs="Times New Roman"/>
      <w:sz w:val="20"/>
      <w:szCs w:val="20"/>
      <w:lang w:val="en-GB"/>
    </w:rPr>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en-GB"/>
    </w:rPr>
  </w:style>
  <w:style w:type="character" w:styleId="Hyperlink">
    <w:name w:val="Hyperlink"/>
    <w:basedOn w:val="DefaultParagraphFont"/>
    <w:uiPriority w:val="99"/>
    <w:unhideWhenUsed/>
    <w:rPr>
      <w:color w:val="0000FF" w:themeColor="hyperlink"/>
      <w:u w:val="single"/>
    </w:rPr>
  </w:style>
  <w:style w:type="paragraph" w:styleId="Index1">
    <w:name w:val="index 1"/>
    <w:basedOn w:val="Normal"/>
    <w:next w:val="Normal"/>
    <w:autoRedefine/>
    <w:uiPriority w:val="99"/>
    <w:unhideWhenUsed/>
    <w:pPr>
      <w:spacing w:before="0" w:after="0"/>
      <w:ind w:left="240" w:hanging="240"/>
    </w:p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en-GB"/>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shd w:val="clear" w:color="auto" w:fill="auto"/>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shd w:val="clear" w:color="auto" w:fill="auto"/>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shd w:val="clear" w:color="auto" w:fill="auto"/>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shd w:val="clear" w:color="auto" w:fill="auto"/>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4"/>
      </w:numPr>
    </w:pPr>
  </w:style>
  <w:style w:type="paragraph" w:customStyle="1" w:styleId="Tiret1">
    <w:name w:val="Tiret 1"/>
    <w:basedOn w:val="Point1"/>
    <w:pPr>
      <w:numPr>
        <w:numId w:val="25"/>
      </w:numPr>
    </w:pPr>
  </w:style>
  <w:style w:type="paragraph" w:customStyle="1" w:styleId="Tiret2">
    <w:name w:val="Tiret 2"/>
    <w:basedOn w:val="Point2"/>
    <w:pPr>
      <w:numPr>
        <w:numId w:val="26"/>
      </w:numPr>
    </w:pPr>
  </w:style>
  <w:style w:type="paragraph" w:customStyle="1" w:styleId="Tiret3">
    <w:name w:val="Tiret 3"/>
    <w:basedOn w:val="Point3"/>
    <w:pPr>
      <w:numPr>
        <w:numId w:val="27"/>
      </w:numPr>
    </w:pPr>
  </w:style>
  <w:style w:type="paragraph" w:customStyle="1" w:styleId="Tiret4">
    <w:name w:val="Tiret 4"/>
    <w:basedOn w:val="Point4"/>
    <w:pPr>
      <w:numPr>
        <w:numId w:val="28"/>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29"/>
      </w:numPr>
    </w:pPr>
  </w:style>
  <w:style w:type="paragraph" w:customStyle="1" w:styleId="NumPar2">
    <w:name w:val="NumPar 2"/>
    <w:basedOn w:val="Normal"/>
    <w:next w:val="Text1"/>
    <w:pPr>
      <w:numPr>
        <w:ilvl w:val="1"/>
        <w:numId w:val="29"/>
      </w:numPr>
    </w:pPr>
  </w:style>
  <w:style w:type="paragraph" w:customStyle="1" w:styleId="NumPar3">
    <w:name w:val="NumPar 3"/>
    <w:basedOn w:val="Normal"/>
    <w:next w:val="Text1"/>
    <w:pPr>
      <w:numPr>
        <w:ilvl w:val="2"/>
        <w:numId w:val="29"/>
      </w:numPr>
    </w:pPr>
  </w:style>
  <w:style w:type="paragraph" w:customStyle="1" w:styleId="NumPar4">
    <w:name w:val="NumPar 4"/>
    <w:basedOn w:val="Normal"/>
    <w:next w:val="Text1"/>
    <w:pPr>
      <w:numPr>
        <w:ilvl w:val="3"/>
        <w:numId w:val="29"/>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1"/>
      </w:numPr>
    </w:pPr>
  </w:style>
  <w:style w:type="paragraph" w:customStyle="1" w:styleId="Point1number">
    <w:name w:val="Point 1 (number)"/>
    <w:basedOn w:val="Normal"/>
    <w:pPr>
      <w:numPr>
        <w:ilvl w:val="2"/>
        <w:numId w:val="31"/>
      </w:numPr>
    </w:pPr>
  </w:style>
  <w:style w:type="paragraph" w:customStyle="1" w:styleId="Point2number">
    <w:name w:val="Point 2 (number)"/>
    <w:basedOn w:val="Normal"/>
    <w:pPr>
      <w:numPr>
        <w:ilvl w:val="4"/>
        <w:numId w:val="31"/>
      </w:numPr>
    </w:pPr>
  </w:style>
  <w:style w:type="paragraph" w:customStyle="1" w:styleId="Point3number">
    <w:name w:val="Point 3 (number)"/>
    <w:basedOn w:val="Normal"/>
    <w:pPr>
      <w:numPr>
        <w:ilvl w:val="6"/>
        <w:numId w:val="31"/>
      </w:numPr>
    </w:pPr>
  </w:style>
  <w:style w:type="paragraph" w:customStyle="1" w:styleId="Point0letter">
    <w:name w:val="Point 0 (letter)"/>
    <w:basedOn w:val="Normal"/>
    <w:pPr>
      <w:numPr>
        <w:ilvl w:val="1"/>
        <w:numId w:val="31"/>
      </w:numPr>
    </w:pPr>
  </w:style>
  <w:style w:type="paragraph" w:customStyle="1" w:styleId="Point1letter">
    <w:name w:val="Point 1 (letter)"/>
    <w:basedOn w:val="Normal"/>
    <w:pPr>
      <w:numPr>
        <w:ilvl w:val="3"/>
        <w:numId w:val="31"/>
      </w:numPr>
    </w:pPr>
  </w:style>
  <w:style w:type="paragraph" w:customStyle="1" w:styleId="Point2letter">
    <w:name w:val="Point 2 (letter)"/>
    <w:basedOn w:val="Normal"/>
    <w:pPr>
      <w:numPr>
        <w:ilvl w:val="5"/>
        <w:numId w:val="31"/>
      </w:numPr>
    </w:pPr>
  </w:style>
  <w:style w:type="paragraph" w:customStyle="1" w:styleId="Point3letter">
    <w:name w:val="Point 3 (letter)"/>
    <w:basedOn w:val="Normal"/>
    <w:pPr>
      <w:numPr>
        <w:ilvl w:val="7"/>
        <w:numId w:val="31"/>
      </w:numPr>
    </w:pPr>
  </w:style>
  <w:style w:type="paragraph" w:customStyle="1" w:styleId="Point4letter">
    <w:name w:val="Point 4 (letter)"/>
    <w:basedOn w:val="Normal"/>
    <w:pPr>
      <w:numPr>
        <w:ilvl w:val="8"/>
        <w:numId w:val="31"/>
      </w:numPr>
    </w:pPr>
  </w:style>
  <w:style w:type="paragraph" w:customStyle="1" w:styleId="Bullet0">
    <w:name w:val="Bullet 0"/>
    <w:basedOn w:val="Normal"/>
    <w:pPr>
      <w:numPr>
        <w:numId w:val="32"/>
      </w:numPr>
    </w:pPr>
  </w:style>
  <w:style w:type="paragraph" w:customStyle="1" w:styleId="Bullet1">
    <w:name w:val="Bullet 1"/>
    <w:basedOn w:val="Normal"/>
    <w:pPr>
      <w:numPr>
        <w:numId w:val="33"/>
      </w:numPr>
    </w:pPr>
  </w:style>
  <w:style w:type="paragraph" w:customStyle="1" w:styleId="Bullet2">
    <w:name w:val="Bullet 2"/>
    <w:basedOn w:val="Normal"/>
    <w:pPr>
      <w:numPr>
        <w:numId w:val="34"/>
      </w:numPr>
    </w:pPr>
  </w:style>
  <w:style w:type="paragraph" w:customStyle="1" w:styleId="Bullet3">
    <w:name w:val="Bullet 3"/>
    <w:basedOn w:val="Normal"/>
    <w:pPr>
      <w:numPr>
        <w:numId w:val="35"/>
      </w:numPr>
    </w:pPr>
  </w:style>
  <w:style w:type="paragraph" w:customStyle="1" w:styleId="Bullet4">
    <w:name w:val="Bullet 4"/>
    <w:basedOn w:val="Normal"/>
    <w:pPr>
      <w:numPr>
        <w:numId w:val="36"/>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37"/>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ANNEX.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BEBE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E86B5-C713-422A-BAFF-674CDEA74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ANNEX.dotm</Template>
  <TotalTime>1</TotalTime>
  <Pages>9</Pages>
  <Words>609</Words>
  <Characters>3495</Characters>
  <Application>Microsoft Office Word</Application>
  <DocSecurity>0</DocSecurity>
  <Lines>74</Lines>
  <Paragraphs>22</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4082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JELINKOVA HARANTOVA Lenka (TAXUD)</dc:creator>
  <cp:lastModifiedBy>LAGES CARVALHO Patrick (SG)</cp:lastModifiedBy>
  <cp:revision>8</cp:revision>
  <dcterms:created xsi:type="dcterms:W3CDTF">2015-09-16T07:33:00Z</dcterms:created>
  <dcterms:modified xsi:type="dcterms:W3CDTF">2015-10-16T13:31:00Z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COM/ANNEX</vt:lpwstr>
  </property>
  <property fmtid="{D5CDD505-2E9C-101B-9397-08002B2CF9AE}" pid="3" name="Classification">
    <vt:lpwstr> </vt:lpwstr>
  </property>
  <property fmtid="{D5CDD505-2E9C-101B-9397-08002B2CF9AE}" pid="4" name="Version">
    <vt:lpwstr>5.84.2.0</vt:lpwstr>
  </property>
  <property fmtid="{D5CDD505-2E9C-101B-9397-08002B2CF9AE}" pid="5" name="Last edited using">
    <vt:lpwstr>LW 5.8.4, Build 20150407</vt:lpwstr>
  </property>
  <property fmtid="{D5CDD505-2E9C-101B-9397-08002B2CF9AE}" pid="6" name="Created using">
    <vt:lpwstr>LW 5.8.4, Build 20150407</vt:lpwstr>
  </property>
  <property fmtid="{D5CDD505-2E9C-101B-9397-08002B2CF9AE}" pid="7" name="First annex">
    <vt:lpwstr>1</vt:lpwstr>
  </property>
  <property fmtid="{D5CDD505-2E9C-101B-9397-08002B2CF9AE}" pid="8" name="Last annex">
    <vt:lpwstr>1</vt:lpwstr>
  </property>
  <property fmtid="{D5CDD505-2E9C-101B-9397-08002B2CF9AE}" pid="9" name="Part">
    <vt:lpwstr>1</vt:lpwstr>
  </property>
  <property fmtid="{D5CDD505-2E9C-101B-9397-08002B2CF9AE}" pid="10" name="Total parts">
    <vt:lpwstr>2</vt:lpwstr>
  </property>
  <property fmtid="{D5CDD505-2E9C-101B-9397-08002B2CF9AE}" pid="11" name="LWTemplateID">
    <vt:lpwstr>SG-017</vt:lpwstr>
  </property>
  <property fmtid="{D5CDD505-2E9C-101B-9397-08002B2CF9AE}" pid="12" name="DQCStatus">
    <vt:lpwstr>Yellow (DQC version 03)</vt:lpwstr>
  </property>
</Properties>
</file>