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A09" w:rsidRDefault="002806D0">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79B9838F07644C2A8E32B9D44FC5770" style="width:450.75pt;height:442.5pt">
            <v:imagedata r:id="rId9" o:title=""/>
          </v:shape>
        </w:pict>
      </w:r>
    </w:p>
    <w:p w:rsidR="006A3A09" w:rsidRDefault="006A3A09">
      <w:pPr>
        <w:rPr>
          <w:noProof/>
        </w:rPr>
        <w:sectPr w:rsidR="006A3A09">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rsidR="006A3A09" w:rsidRDefault="002806D0">
      <w:pPr>
        <w:pStyle w:val="Titrearticle"/>
        <w:jc w:val="both"/>
        <w:rPr>
          <w:i w:val="0"/>
          <w:noProof/>
          <w:sz w:val="20"/>
          <w:szCs w:val="20"/>
          <w:lang w:val="fr-FR"/>
        </w:rPr>
      </w:pPr>
      <w:r>
        <w:rPr>
          <w:b/>
          <w:i w:val="0"/>
          <w:noProof/>
          <w:sz w:val="20"/>
          <w:szCs w:val="20"/>
          <w:lang w:val="fr-FR"/>
        </w:rPr>
        <w:lastRenderedPageBreak/>
        <w:t>Annex 7, Part I, Article 5, paragraph 2, (i)</w:t>
      </w:r>
    </w:p>
    <w:p w:rsidR="006A3A09" w:rsidRDefault="002806D0">
      <w:pPr>
        <w:rPr>
          <w:noProof/>
          <w:sz w:val="20"/>
          <w:szCs w:val="20"/>
        </w:rPr>
      </w:pPr>
      <w:r>
        <w:rPr>
          <w:i/>
          <w:noProof/>
          <w:sz w:val="20"/>
          <w:szCs w:val="20"/>
        </w:rPr>
        <w:t xml:space="preserve">For </w:t>
      </w:r>
      <w:r>
        <w:rPr>
          <w:noProof/>
          <w:sz w:val="20"/>
          <w:szCs w:val="20"/>
        </w:rPr>
        <w:t xml:space="preserve">the existing text </w:t>
      </w:r>
      <w:r>
        <w:rPr>
          <w:i/>
          <w:noProof/>
          <w:sz w:val="20"/>
          <w:szCs w:val="20"/>
        </w:rPr>
        <w:t>substitute</w:t>
      </w:r>
    </w:p>
    <w:p w:rsidR="006A3A09" w:rsidRDefault="002806D0">
      <w:pPr>
        <w:rPr>
          <w:noProof/>
          <w:sz w:val="20"/>
          <w:szCs w:val="20"/>
        </w:rPr>
      </w:pPr>
      <w:r>
        <w:rPr>
          <w:noProof/>
          <w:sz w:val="20"/>
          <w:szCs w:val="20"/>
        </w:rPr>
        <w:t>(i)</w:t>
      </w:r>
      <w:r>
        <w:rPr>
          <w:noProof/>
          <w:sz w:val="20"/>
          <w:szCs w:val="20"/>
        </w:rPr>
        <w:tab/>
        <w:t xml:space="preserve">The sliding sheets, </w:t>
      </w:r>
      <w:r>
        <w:rPr>
          <w:noProof/>
          <w:sz w:val="20"/>
          <w:szCs w:val="20"/>
        </w:rPr>
        <w:t>floor, doors and all other constituent parts of the container shall be assembled either by means of devices which cannot be removed and replaced from the outside without leaving obvious traces, or by such methods as will produce a structure which cannot be</w:t>
      </w:r>
      <w:r>
        <w:rPr>
          <w:noProof/>
          <w:sz w:val="20"/>
          <w:szCs w:val="20"/>
        </w:rPr>
        <w:t xml:space="preserve"> modified without leaving obvious traces.</w:t>
      </w:r>
    </w:p>
    <w:p w:rsidR="006A3A09" w:rsidRDefault="002806D0">
      <w:pPr>
        <w:pStyle w:val="Titrearticle"/>
        <w:jc w:val="both"/>
        <w:rPr>
          <w:b/>
          <w:i w:val="0"/>
          <w:noProof/>
          <w:sz w:val="20"/>
          <w:szCs w:val="20"/>
          <w:lang w:val="fr-CH"/>
        </w:rPr>
      </w:pPr>
      <w:r>
        <w:rPr>
          <w:b/>
          <w:i w:val="0"/>
          <w:noProof/>
          <w:sz w:val="20"/>
          <w:szCs w:val="20"/>
          <w:lang w:val="fr-CH"/>
        </w:rPr>
        <w:t>Annex 7, Part I, Article 5, paragraph 2, (iii)</w:t>
      </w:r>
    </w:p>
    <w:p w:rsidR="006A3A09" w:rsidRDefault="002806D0">
      <w:pPr>
        <w:rPr>
          <w:noProof/>
          <w:sz w:val="20"/>
          <w:szCs w:val="20"/>
        </w:rPr>
      </w:pPr>
      <w:r>
        <w:rPr>
          <w:i/>
          <w:noProof/>
          <w:sz w:val="20"/>
          <w:szCs w:val="20"/>
        </w:rPr>
        <w:t xml:space="preserve">For </w:t>
      </w:r>
      <w:r>
        <w:rPr>
          <w:noProof/>
          <w:sz w:val="20"/>
          <w:szCs w:val="20"/>
        </w:rPr>
        <w:t xml:space="preserve">the existing text </w:t>
      </w:r>
      <w:r>
        <w:rPr>
          <w:i/>
          <w:noProof/>
          <w:sz w:val="20"/>
          <w:szCs w:val="20"/>
        </w:rPr>
        <w:t>substitute</w:t>
      </w:r>
    </w:p>
    <w:p w:rsidR="006A3A09" w:rsidRDefault="002806D0">
      <w:pPr>
        <w:rPr>
          <w:noProof/>
          <w:sz w:val="20"/>
          <w:szCs w:val="20"/>
        </w:rPr>
      </w:pPr>
      <w:r>
        <w:rPr>
          <w:noProof/>
          <w:sz w:val="20"/>
          <w:szCs w:val="20"/>
        </w:rPr>
        <w:t>(iii)</w:t>
      </w:r>
      <w:r>
        <w:rPr>
          <w:noProof/>
          <w:sz w:val="20"/>
          <w:szCs w:val="20"/>
        </w:rPr>
        <w:tab/>
        <w:t>The sliding sheet guidance, sliding sheet tension devices and other movable parts shall be assembled in such a way that when clo</w:t>
      </w:r>
      <w:r>
        <w:rPr>
          <w:noProof/>
          <w:sz w:val="20"/>
          <w:szCs w:val="20"/>
        </w:rPr>
        <w:t>sed, and Customs sealed, doors and other movable parts cannot be opened or closed from the outside without leaving obvious traces. The sliding sheet guidance, sliding sheet tension devices and other movable parts shall be assembled in such a way that it is</w:t>
      </w:r>
      <w:r>
        <w:rPr>
          <w:noProof/>
          <w:sz w:val="20"/>
          <w:szCs w:val="20"/>
        </w:rPr>
        <w:t xml:space="preserve"> impossible to gain access to the container without leaving obvious traces once the closing devices has been secured. An example of such a system of construction is given in sketch No. 9 appended to these Regulations.”</w:t>
      </w:r>
    </w:p>
    <w:p w:rsidR="006A3A09" w:rsidRDefault="002806D0">
      <w:pPr>
        <w:pStyle w:val="Titrearticle"/>
        <w:jc w:val="both"/>
        <w:rPr>
          <w:b/>
          <w:i w:val="0"/>
          <w:noProof/>
          <w:sz w:val="20"/>
          <w:szCs w:val="20"/>
        </w:rPr>
      </w:pPr>
      <w:r>
        <w:rPr>
          <w:b/>
          <w:i w:val="0"/>
          <w:noProof/>
          <w:sz w:val="20"/>
          <w:szCs w:val="20"/>
        </w:rPr>
        <w:t>Annex 7, Part I, new Article 6</w:t>
      </w:r>
    </w:p>
    <w:p w:rsidR="006A3A09" w:rsidRDefault="002806D0">
      <w:pPr>
        <w:rPr>
          <w:i/>
          <w:noProof/>
          <w:sz w:val="20"/>
          <w:szCs w:val="20"/>
        </w:rPr>
      </w:pPr>
      <w:r>
        <w:rPr>
          <w:i/>
          <w:noProof/>
          <w:sz w:val="20"/>
          <w:szCs w:val="20"/>
        </w:rPr>
        <w:t>After</w:t>
      </w:r>
      <w:r>
        <w:rPr>
          <w:noProof/>
          <w:sz w:val="20"/>
          <w:szCs w:val="20"/>
        </w:rPr>
        <w:t xml:space="preserve"> the modified Article 5 </w:t>
      </w:r>
      <w:r>
        <w:rPr>
          <w:i/>
          <w:noProof/>
          <w:sz w:val="20"/>
          <w:szCs w:val="20"/>
        </w:rPr>
        <w:t>insert</w:t>
      </w:r>
    </w:p>
    <w:p w:rsidR="006A3A09" w:rsidRDefault="002806D0">
      <w:pPr>
        <w:pStyle w:val="Titrearticle"/>
        <w:rPr>
          <w:b/>
          <w:noProof/>
          <w:sz w:val="20"/>
          <w:szCs w:val="20"/>
        </w:rPr>
      </w:pPr>
      <w:r>
        <w:rPr>
          <w:b/>
          <w:noProof/>
          <w:sz w:val="20"/>
          <w:szCs w:val="20"/>
        </w:rPr>
        <w:t>Article 6</w:t>
      </w:r>
    </w:p>
    <w:p w:rsidR="006A3A09" w:rsidRDefault="002806D0">
      <w:pPr>
        <w:jc w:val="center"/>
        <w:rPr>
          <w:noProof/>
          <w:sz w:val="20"/>
          <w:szCs w:val="20"/>
        </w:rPr>
      </w:pPr>
      <w:r>
        <w:rPr>
          <w:noProof/>
          <w:sz w:val="20"/>
          <w:szCs w:val="20"/>
          <w:u w:val="single"/>
        </w:rPr>
        <w:t>Containers with a sheeted sliding roof</w:t>
      </w:r>
    </w:p>
    <w:p w:rsidR="006A3A09" w:rsidRDefault="002806D0">
      <w:pPr>
        <w:pStyle w:val="NumPar1"/>
        <w:numPr>
          <w:ilvl w:val="0"/>
          <w:numId w:val="9"/>
        </w:numPr>
        <w:rPr>
          <w:noProof/>
          <w:sz w:val="20"/>
          <w:szCs w:val="20"/>
        </w:rPr>
      </w:pPr>
      <w:r>
        <w:rPr>
          <w:noProof/>
          <w:sz w:val="20"/>
          <w:szCs w:val="20"/>
        </w:rPr>
        <w:t xml:space="preserve">Where applicable, the provisions of Articles 1, 2, 3, 4 and 5 of these Regulations shall apply to containers with a sheeted sliding roof. In addition, these containers shall </w:t>
      </w:r>
      <w:r>
        <w:rPr>
          <w:noProof/>
          <w:sz w:val="20"/>
          <w:szCs w:val="20"/>
        </w:rPr>
        <w:t>conform to the provisions of this Article.</w:t>
      </w:r>
    </w:p>
    <w:p w:rsidR="006A3A09" w:rsidRDefault="002806D0">
      <w:pPr>
        <w:pStyle w:val="NumPar1"/>
        <w:numPr>
          <w:ilvl w:val="0"/>
          <w:numId w:val="9"/>
        </w:numPr>
        <w:rPr>
          <w:noProof/>
          <w:sz w:val="20"/>
          <w:szCs w:val="20"/>
        </w:rPr>
      </w:pPr>
      <w:r>
        <w:rPr>
          <w:noProof/>
          <w:sz w:val="20"/>
          <w:szCs w:val="20"/>
        </w:rPr>
        <w:t>The sheeted sliding roof shall fulfil the requirements set out in (i) to (iii) below.</w:t>
      </w:r>
    </w:p>
    <w:p w:rsidR="006A3A09" w:rsidRDefault="002806D0">
      <w:pPr>
        <w:pStyle w:val="Index1"/>
        <w:ind w:left="1435" w:hanging="585"/>
        <w:rPr>
          <w:noProof/>
          <w:sz w:val="20"/>
          <w:szCs w:val="20"/>
        </w:rPr>
      </w:pPr>
      <w:r>
        <w:rPr>
          <w:noProof/>
          <w:sz w:val="20"/>
          <w:szCs w:val="20"/>
        </w:rPr>
        <w:t>(i)</w:t>
      </w:r>
      <w:r>
        <w:rPr>
          <w:noProof/>
          <w:sz w:val="20"/>
          <w:szCs w:val="20"/>
        </w:rPr>
        <w:tab/>
        <w:t>The sheeted sliding roof shall be assembled either by means of devices which cannot be removed and replaced from the outsid</w:t>
      </w:r>
      <w:r>
        <w:rPr>
          <w:noProof/>
          <w:sz w:val="20"/>
          <w:szCs w:val="20"/>
        </w:rPr>
        <w:t>e without leaving obvious traces, or by such methods as will produce a structure which cannot be modified without leaving obvious traces.</w:t>
      </w:r>
    </w:p>
    <w:p w:rsidR="006A3A09" w:rsidRDefault="002806D0">
      <w:pPr>
        <w:pStyle w:val="Index1"/>
        <w:ind w:left="1435" w:hanging="585"/>
        <w:rPr>
          <w:noProof/>
          <w:sz w:val="20"/>
          <w:szCs w:val="20"/>
        </w:rPr>
      </w:pPr>
      <w:r>
        <w:rPr>
          <w:noProof/>
          <w:sz w:val="20"/>
          <w:szCs w:val="20"/>
        </w:rPr>
        <w:t>(ii)</w:t>
      </w:r>
      <w:r>
        <w:rPr>
          <w:noProof/>
          <w:sz w:val="20"/>
          <w:szCs w:val="20"/>
        </w:rPr>
        <w:tab/>
        <w:t xml:space="preserve">The sliding roof sheet shall overlap with the solid part of the roof at the front side of the container, so that </w:t>
      </w:r>
      <w:r>
        <w:rPr>
          <w:noProof/>
          <w:sz w:val="20"/>
          <w:szCs w:val="20"/>
        </w:rPr>
        <w:t>the roof sheet cannot be pulled over the top edge of the upper cantrail. In the length of the container, at both sides, in the hem of the roof sheet, a pre-stressed steel cable shall be inserted in such a way that it cannot be removed and re-inserted witho</w:t>
      </w:r>
      <w:r>
        <w:rPr>
          <w:noProof/>
          <w:sz w:val="20"/>
          <w:szCs w:val="20"/>
        </w:rPr>
        <w:t>ut leaving obvious traces. The roof sheet shall be secured to the sliding carriage in such a way that it cannot be removed and re-secured without leaving obvious traces.</w:t>
      </w:r>
    </w:p>
    <w:p w:rsidR="006A3A09" w:rsidRDefault="002806D0">
      <w:pPr>
        <w:pStyle w:val="Index1"/>
        <w:ind w:left="1435" w:hanging="585"/>
        <w:rPr>
          <w:noProof/>
          <w:sz w:val="20"/>
          <w:szCs w:val="20"/>
        </w:rPr>
      </w:pPr>
      <w:r>
        <w:rPr>
          <w:noProof/>
          <w:sz w:val="20"/>
          <w:szCs w:val="20"/>
        </w:rPr>
        <w:t xml:space="preserve"> (iii)</w:t>
      </w:r>
      <w:r>
        <w:rPr>
          <w:noProof/>
          <w:sz w:val="20"/>
          <w:szCs w:val="20"/>
        </w:rPr>
        <w:tab/>
        <w:t>The sliding roof guidance, the sliding roof tension devices and other movable p</w:t>
      </w:r>
      <w:r>
        <w:rPr>
          <w:noProof/>
          <w:sz w:val="20"/>
          <w:szCs w:val="20"/>
        </w:rPr>
        <w:t>arts shall be assembled in such a way that when closed, and Customs sealed, doors, roof and other movable parts cannot be opened or closed from the outside without leaving obvious traces. The sliding roof guidance, sliding roof tension devices and other mo</w:t>
      </w:r>
      <w:r>
        <w:rPr>
          <w:noProof/>
          <w:sz w:val="20"/>
          <w:szCs w:val="20"/>
        </w:rPr>
        <w:t>vable parts shall be assembled in such a way that it is impossible to gain access to the container without leaving obvious traces once the closing devices have been secured.</w:t>
      </w:r>
    </w:p>
    <w:p w:rsidR="006A3A09" w:rsidRDefault="002806D0">
      <w:pPr>
        <w:rPr>
          <w:noProof/>
          <w:sz w:val="20"/>
          <w:szCs w:val="20"/>
        </w:rPr>
      </w:pPr>
      <w:r>
        <w:rPr>
          <w:noProof/>
          <w:sz w:val="20"/>
          <w:szCs w:val="20"/>
        </w:rPr>
        <w:t>An example of a possible system of construction is shown in sketch No. 10, appende</w:t>
      </w:r>
      <w:r>
        <w:rPr>
          <w:noProof/>
          <w:sz w:val="20"/>
          <w:szCs w:val="20"/>
        </w:rPr>
        <w:t>d to these Regulations.</w:t>
      </w:r>
    </w:p>
    <w:p w:rsidR="006A3A09" w:rsidRDefault="002806D0">
      <w:pPr>
        <w:spacing w:before="0" w:after="200" w:line="276" w:lineRule="auto"/>
        <w:jc w:val="left"/>
        <w:rPr>
          <w:noProof/>
        </w:rPr>
      </w:pPr>
      <w:r>
        <w:rPr>
          <w:noProof/>
        </w:rPr>
        <w:br w:type="page"/>
      </w:r>
    </w:p>
    <w:p w:rsidR="006A3A09" w:rsidRDefault="002806D0">
      <w:pPr>
        <w:rPr>
          <w:noProof/>
        </w:rPr>
      </w:pPr>
      <w:r>
        <w:rPr>
          <w:noProof/>
        </w:rPr>
        <w:lastRenderedPageBreak/>
        <w:pict>
          <v:shape id="_x0000_i1026" type="#_x0000_t75" style="width:483pt;height:625.5pt">
            <v:imagedata r:id="rId16" o:title=""/>
          </v:shape>
        </w:pict>
      </w:r>
    </w:p>
    <w:p w:rsidR="006A3A09" w:rsidRDefault="002806D0">
      <w:pPr>
        <w:rPr>
          <w:noProof/>
        </w:rPr>
      </w:pPr>
      <w:r>
        <w:rPr>
          <w:noProof/>
        </w:rPr>
        <w:br w:type="page"/>
      </w:r>
    </w:p>
    <w:p w:rsidR="006A3A09" w:rsidRDefault="002806D0">
      <w:pPr>
        <w:rPr>
          <w:noProof/>
        </w:rPr>
      </w:pPr>
      <w:r>
        <w:rPr>
          <w:noProof/>
        </w:rPr>
        <w:pict>
          <v:shape id="_x0000_i1027" type="#_x0000_t75" style="width:483pt;height:632.25pt">
            <v:imagedata r:id="rId17" o:title=""/>
          </v:shape>
        </w:pict>
      </w:r>
    </w:p>
    <w:p w:rsidR="006A3A09" w:rsidRDefault="002806D0">
      <w:pPr>
        <w:rPr>
          <w:noProof/>
        </w:rPr>
      </w:pPr>
      <w:r>
        <w:rPr>
          <w:noProof/>
        </w:rPr>
        <w:br w:type="page"/>
      </w:r>
    </w:p>
    <w:p w:rsidR="006A3A09" w:rsidRDefault="002806D0">
      <w:pPr>
        <w:rPr>
          <w:noProof/>
        </w:rPr>
      </w:pPr>
      <w:r>
        <w:rPr>
          <w:noProof/>
        </w:rPr>
        <w:pict>
          <v:shape id="_x0000_i1028" type="#_x0000_t75" style="width:483pt;height:634.5pt">
            <v:imagedata r:id="rId18" o:title=""/>
          </v:shape>
        </w:pict>
      </w:r>
    </w:p>
    <w:p w:rsidR="006A3A09" w:rsidRDefault="002806D0">
      <w:pPr>
        <w:rPr>
          <w:noProof/>
        </w:rPr>
      </w:pPr>
      <w:r>
        <w:rPr>
          <w:noProof/>
        </w:rPr>
        <w:br w:type="page"/>
      </w:r>
    </w:p>
    <w:p w:rsidR="006A3A09" w:rsidRDefault="002806D0">
      <w:pPr>
        <w:rPr>
          <w:noProof/>
        </w:rPr>
      </w:pPr>
      <w:r>
        <w:rPr>
          <w:noProof/>
        </w:rPr>
        <w:pict>
          <v:shape id="_x0000_i1029" type="#_x0000_t75" style="width:483pt;height:645.75pt">
            <v:imagedata r:id="rId19" o:title=""/>
          </v:shape>
        </w:pict>
      </w:r>
    </w:p>
    <w:p w:rsidR="006A3A09" w:rsidRDefault="002806D0">
      <w:pPr>
        <w:rPr>
          <w:noProof/>
        </w:rPr>
      </w:pPr>
      <w:r>
        <w:rPr>
          <w:noProof/>
        </w:rPr>
        <w:br w:type="page"/>
      </w:r>
    </w:p>
    <w:p w:rsidR="006A3A09" w:rsidRDefault="002806D0">
      <w:pPr>
        <w:rPr>
          <w:noProof/>
        </w:rPr>
      </w:pPr>
      <w:r>
        <w:rPr>
          <w:noProof/>
        </w:rPr>
        <w:pict>
          <v:shape id="_x0000_i1030" type="#_x0000_t75" style="width:483pt;height:540pt">
            <v:imagedata r:id="rId20" o:title=""/>
          </v:shape>
        </w:pict>
      </w:r>
    </w:p>
    <w:p w:rsidR="006A3A09" w:rsidRDefault="002806D0">
      <w:pPr>
        <w:rPr>
          <w:noProof/>
        </w:rPr>
      </w:pPr>
      <w:r>
        <w:rPr>
          <w:noProof/>
        </w:rPr>
        <w:br w:type="page"/>
      </w:r>
    </w:p>
    <w:p w:rsidR="006A3A09" w:rsidRDefault="002806D0">
      <w:pPr>
        <w:rPr>
          <w:noProof/>
        </w:rPr>
      </w:pPr>
      <w:r>
        <w:rPr>
          <w:noProof/>
        </w:rPr>
        <w:pict>
          <v:shape id="_x0000_i1031" type="#_x0000_t75" style="width:483pt;height:603.75pt">
            <v:imagedata r:id="rId21" o:title=""/>
          </v:shape>
        </w:pict>
      </w:r>
    </w:p>
    <w:sectPr w:rsidR="006A3A09" w:rsidSect="002806D0">
      <w:footerReference w:type="default" r:id="rId22"/>
      <w:footerReference w:type="first" r:id="rId23"/>
      <w:pgSz w:w="11907" w:h="16839"/>
      <w:pgMar w:top="1134" w:right="1417" w:bottom="1134" w:left="1417" w:header="709" w:footer="709"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A09" w:rsidRDefault="002806D0">
      <w:pPr>
        <w:spacing w:before="0" w:after="0"/>
      </w:pPr>
      <w:r>
        <w:separator/>
      </w:r>
    </w:p>
  </w:endnote>
  <w:endnote w:type="continuationSeparator" w:id="0">
    <w:p w:rsidR="006A3A09" w:rsidRDefault="002806D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6D0" w:rsidRDefault="002806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A09" w:rsidRDefault="002806D0">
    <w:pPr>
      <w:pStyle w:val="Footer"/>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6D0" w:rsidRDefault="002806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A09" w:rsidRDefault="002806D0">
    <w:pPr>
      <w:pStyle w:val="Footer"/>
      <w:rPr>
        <w:rFonts w:ascii="Arial" w:hAnsi="Arial" w:cs="Arial"/>
        <w:b/>
        <w:sz w:val="48"/>
      </w:rPr>
    </w:pPr>
    <w:bookmarkStart w:id="0" w:name="_GoBack"/>
    <w:bookmarkEnd w:id="0"/>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Pr>
        <w:noProof/>
      </w:rPr>
      <w:t>2</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A09" w:rsidRDefault="006A3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A09" w:rsidRDefault="002806D0">
      <w:pPr>
        <w:spacing w:before="0" w:after="0"/>
      </w:pPr>
      <w:r>
        <w:separator/>
      </w:r>
    </w:p>
  </w:footnote>
  <w:footnote w:type="continuationSeparator" w:id="0">
    <w:p w:rsidR="006A3A09" w:rsidRDefault="002806D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6D0" w:rsidRDefault="002806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6D0" w:rsidRDefault="002806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6D0" w:rsidRDefault="002806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4EACDA2"/>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2EA0321C"/>
    <w:lvl w:ilvl="0">
      <w:start w:val="1"/>
      <w:numFmt w:val="decimal"/>
      <w:pStyle w:val="ListNumber3"/>
      <w:lvlText w:val="%1."/>
      <w:lvlJc w:val="left"/>
      <w:pPr>
        <w:tabs>
          <w:tab w:val="num" w:pos="926"/>
        </w:tabs>
        <w:ind w:left="926" w:hanging="360"/>
      </w:pPr>
    </w:lvl>
  </w:abstractNum>
  <w:abstractNum w:abstractNumId="2">
    <w:nsid w:val="FFFFFF7F"/>
    <w:multiLevelType w:val="singleLevel"/>
    <w:tmpl w:val="3B5A648A"/>
    <w:lvl w:ilvl="0">
      <w:start w:val="1"/>
      <w:numFmt w:val="decimal"/>
      <w:pStyle w:val="ListNumber2"/>
      <w:lvlText w:val="%1."/>
      <w:lvlJc w:val="left"/>
      <w:pPr>
        <w:tabs>
          <w:tab w:val="num" w:pos="643"/>
        </w:tabs>
        <w:ind w:left="643" w:hanging="360"/>
      </w:pPr>
    </w:lvl>
  </w:abstractNum>
  <w:abstractNum w:abstractNumId="3">
    <w:nsid w:val="FFFFFF81"/>
    <w:multiLevelType w:val="singleLevel"/>
    <w:tmpl w:val="732A969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AB80CF7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C6203F2C"/>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02F4A39C"/>
    <w:lvl w:ilvl="0">
      <w:start w:val="1"/>
      <w:numFmt w:val="decimal"/>
      <w:pStyle w:val="ListNumber"/>
      <w:lvlText w:val="%1."/>
      <w:lvlJc w:val="left"/>
      <w:pPr>
        <w:tabs>
          <w:tab w:val="num" w:pos="360"/>
        </w:tabs>
        <w:ind w:left="360" w:hanging="360"/>
      </w:pPr>
    </w:lvl>
  </w:abstractNum>
  <w:abstractNum w:abstractNumId="7">
    <w:nsid w:val="FFFFFF89"/>
    <w:multiLevelType w:val="singleLevel"/>
    <w:tmpl w:val="FD28B2C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20"/>
  </w:num>
  <w:num w:numId="13">
    <w:abstractNumId w:val="11"/>
  </w:num>
  <w:num w:numId="14">
    <w:abstractNumId w:val="13"/>
  </w:num>
  <w:num w:numId="15">
    <w:abstractNumId w:val="9"/>
  </w:num>
  <w:num w:numId="16">
    <w:abstractNumId w:val="19"/>
  </w:num>
  <w:num w:numId="17">
    <w:abstractNumId w:val="8"/>
  </w:num>
  <w:num w:numId="18">
    <w:abstractNumId w:val="14"/>
  </w:num>
  <w:num w:numId="19">
    <w:abstractNumId w:val="16"/>
  </w:num>
  <w:num w:numId="20">
    <w:abstractNumId w:val="17"/>
  </w:num>
  <w:num w:numId="21">
    <w:abstractNumId w:val="10"/>
  </w:num>
  <w:num w:numId="22">
    <w:abstractNumId w:val="15"/>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5-10-12 08:13:53"/>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3"/>
    <w:docVar w:name="DQCResult_ModifiedMarkers" w:val="0;0"/>
    <w:docVar w:name="DQCResult_ModifiedNumbering" w:val="0;0"/>
    <w:docVar w:name="DQCResult_Objects" w:val="0;0"/>
    <w:docVar w:name="DQCResult_Sections" w:val="0;1"/>
    <w:docVar w:name="DQCResult_StructureCheck" w:val="0;0"/>
    <w:docVar w:name="DQCResult_SuperfluousWhitespace" w:val="0;1"/>
    <w:docVar w:name="DQCResult_UnknownFonts" w:val="0;0"/>
    <w:docVar w:name="DQCResult_UnknownStyles" w:val="0;3"/>
    <w:docVar w:name="DQCStatus" w:val="Yellow"/>
    <w:docVar w:name="DQCVersion" w:val="3"/>
    <w:docVar w:name="DQCWithWarnings" w:val="0"/>
    <w:docVar w:name="LW_ACCOMPAGNANT.CP" w:val="to the"/>
    <w:docVar w:name="LW_ANNEX_NBR_FIRST" w:val="1"/>
    <w:docVar w:name="LW_ANNEX_NBR_LAST" w:val="1"/>
    <w:docVar w:name="LW_CONFIDENCE" w:val=" "/>
    <w:docVar w:name="LW_CONST_RESTREINT_UE" w:val="RESTREINT UE"/>
    <w:docVar w:name="LW_CORRIGENDUM" w:val="&lt;UNUSED&gt;"/>
    <w:docVar w:name="LW_COVERPAGE_GUID" w:val="F79B9838F07644C2A8E32B9D44FC5770"/>
    <w:docVar w:name="LW_CROSSREFERENCE" w:val="&lt;UNUSED&gt;"/>
    <w:docVar w:name="LW_DocType" w:val="ANNEX"/>
    <w:docVar w:name="LW_EMISSION" w:val="20.10.2015"/>
    <w:docVar w:name="LW_EMISSION_ISODATE" w:val="2015-10-20"/>
    <w:docVar w:name="LW_EMISSION_LOCATION" w:val="BRX"/>
    <w:docVar w:name="LW_EMISSION_PREFIX" w:val="Brussels, "/>
    <w:docVar w:name="LW_EMISSION_SUFFIX" w:val=" "/>
    <w:docVar w:name="LW_ID_DOCSTRUCTURE" w:val="COM/ANNEX"/>
    <w:docVar w:name="LW_ID_DOCTYPE" w:val="SG-017"/>
    <w:docVar w:name="LW_LANGUE" w:val="EN"/>
    <w:docVar w:name="LW_MARKING" w:val="&lt;UNUSED&gt;"/>
    <w:docVar w:name="LW_NOM.INST" w:val="EUROPEAN COMMISSION"/>
    <w:docVar w:name="LW_NOM.INST_JOINTDOC" w:val="&lt;EMPTY&gt;"/>
    <w:docVar w:name="LW_OBJETACTEPRINCIPAL.CP" w:val="on the position to be adopted on behalf of the European Union within the Administrative Committee for the TIR Convention as regards the proposal to amend the Customs Convention on the international transport of goods under cover of TIR carnets _x000b_"/>
    <w:docVar w:name="LW_PART_NBR" w:val="2"/>
    <w:docVar w:name="LW_PART_NBR_TOTAL" w:val="2"/>
    <w:docVar w:name="LW_REF.INST.NEW" w:val="COM"/>
    <w:docVar w:name="LW_REF.INST.NEW_ADOPTED" w:val="final"/>
    <w:docVar w:name="LW_REF.INST.NEW_TEXT" w:val="(2015) 512"/>
    <w:docVar w:name="LW_REF.INTERNE" w:val="&lt;UNUSED&gt;"/>
    <w:docVar w:name="LW_SUPERTITRE" w:val="&lt;UNUSED&gt;"/>
    <w:docVar w:name="LW_TITRE.OBJ.CP" w:val="ATTACHMENT"/>
    <w:docVar w:name="LW_TYPE.DOC.CP" w:val="ANNEX"/>
    <w:docVar w:name="LW_TYPEACTEPRINCIPAL.CP" w:val="Proposal for a Council Decision"/>
  </w:docVars>
  <w:rsids>
    <w:rsidRoot w:val="006A3A09"/>
    <w:rsid w:val="002806D0"/>
    <w:rsid w:val="006A3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16"/>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16"/>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16"/>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16"/>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en-GB"/>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n-GB"/>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0"/>
      </w:numPr>
    </w:pPr>
  </w:style>
  <w:style w:type="paragraph" w:customStyle="1" w:styleId="Tiret1">
    <w:name w:val="Tiret 1"/>
    <w:basedOn w:val="Point1"/>
    <w:pPr>
      <w:numPr>
        <w:numId w:val="11"/>
      </w:numPr>
    </w:pPr>
  </w:style>
  <w:style w:type="paragraph" w:customStyle="1" w:styleId="Tiret2">
    <w:name w:val="Tiret 2"/>
    <w:basedOn w:val="Point2"/>
    <w:pPr>
      <w:numPr>
        <w:numId w:val="12"/>
      </w:numPr>
    </w:pPr>
  </w:style>
  <w:style w:type="paragraph" w:customStyle="1" w:styleId="Tiret3">
    <w:name w:val="Tiret 3"/>
    <w:basedOn w:val="Point3"/>
    <w:pPr>
      <w:numPr>
        <w:numId w:val="13"/>
      </w:numPr>
    </w:pPr>
  </w:style>
  <w:style w:type="paragraph" w:customStyle="1" w:styleId="Tiret4">
    <w:name w:val="Tiret 4"/>
    <w:basedOn w:val="Point4"/>
    <w:pPr>
      <w:numPr>
        <w:numId w:val="1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15"/>
      </w:numPr>
    </w:pPr>
  </w:style>
  <w:style w:type="paragraph" w:customStyle="1" w:styleId="NumPar2">
    <w:name w:val="NumPar 2"/>
    <w:basedOn w:val="Normal"/>
    <w:next w:val="Text1"/>
    <w:pPr>
      <w:numPr>
        <w:ilvl w:val="1"/>
        <w:numId w:val="15"/>
      </w:numPr>
    </w:pPr>
  </w:style>
  <w:style w:type="paragraph" w:customStyle="1" w:styleId="NumPar3">
    <w:name w:val="NumPar 3"/>
    <w:basedOn w:val="Normal"/>
    <w:next w:val="Text1"/>
    <w:pPr>
      <w:numPr>
        <w:ilvl w:val="2"/>
        <w:numId w:val="15"/>
      </w:numPr>
    </w:pPr>
  </w:style>
  <w:style w:type="paragraph" w:customStyle="1" w:styleId="NumPar4">
    <w:name w:val="NumPar 4"/>
    <w:basedOn w:val="Normal"/>
    <w:next w:val="Text1"/>
    <w:pPr>
      <w:numPr>
        <w:ilvl w:val="3"/>
        <w:numId w:val="15"/>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17"/>
      </w:numPr>
    </w:pPr>
  </w:style>
  <w:style w:type="paragraph" w:customStyle="1" w:styleId="Point1number">
    <w:name w:val="Point 1 (number)"/>
    <w:basedOn w:val="Normal"/>
    <w:pPr>
      <w:numPr>
        <w:ilvl w:val="2"/>
        <w:numId w:val="17"/>
      </w:numPr>
    </w:pPr>
  </w:style>
  <w:style w:type="paragraph" w:customStyle="1" w:styleId="Point2number">
    <w:name w:val="Point 2 (number)"/>
    <w:basedOn w:val="Normal"/>
    <w:pPr>
      <w:numPr>
        <w:ilvl w:val="4"/>
        <w:numId w:val="17"/>
      </w:numPr>
    </w:pPr>
  </w:style>
  <w:style w:type="paragraph" w:customStyle="1" w:styleId="Point3number">
    <w:name w:val="Point 3 (number)"/>
    <w:basedOn w:val="Normal"/>
    <w:pPr>
      <w:numPr>
        <w:ilvl w:val="6"/>
        <w:numId w:val="17"/>
      </w:numPr>
    </w:pPr>
  </w:style>
  <w:style w:type="paragraph" w:customStyle="1" w:styleId="Point0letter">
    <w:name w:val="Point 0 (letter)"/>
    <w:basedOn w:val="Normal"/>
    <w:pPr>
      <w:numPr>
        <w:ilvl w:val="1"/>
        <w:numId w:val="17"/>
      </w:numPr>
    </w:pPr>
  </w:style>
  <w:style w:type="paragraph" w:customStyle="1" w:styleId="Point1letter">
    <w:name w:val="Point 1 (letter)"/>
    <w:basedOn w:val="Normal"/>
    <w:pPr>
      <w:numPr>
        <w:ilvl w:val="3"/>
        <w:numId w:val="17"/>
      </w:numPr>
    </w:pPr>
  </w:style>
  <w:style w:type="paragraph" w:customStyle="1" w:styleId="Point2letter">
    <w:name w:val="Point 2 (letter)"/>
    <w:basedOn w:val="Normal"/>
    <w:pPr>
      <w:numPr>
        <w:ilvl w:val="5"/>
        <w:numId w:val="17"/>
      </w:numPr>
    </w:pPr>
  </w:style>
  <w:style w:type="paragraph" w:customStyle="1" w:styleId="Point3letter">
    <w:name w:val="Point 3 (letter)"/>
    <w:basedOn w:val="Normal"/>
    <w:pPr>
      <w:numPr>
        <w:ilvl w:val="7"/>
        <w:numId w:val="17"/>
      </w:numPr>
    </w:pPr>
  </w:style>
  <w:style w:type="paragraph" w:customStyle="1" w:styleId="Point4letter">
    <w:name w:val="Point 4 (letter)"/>
    <w:basedOn w:val="Normal"/>
    <w:pPr>
      <w:numPr>
        <w:ilvl w:val="8"/>
        <w:numId w:val="17"/>
      </w:numPr>
    </w:pPr>
  </w:style>
  <w:style w:type="paragraph" w:customStyle="1" w:styleId="Bullet0">
    <w:name w:val="Bullet 0"/>
    <w:basedOn w:val="Normal"/>
    <w:pPr>
      <w:numPr>
        <w:numId w:val="18"/>
      </w:numPr>
    </w:pPr>
  </w:style>
  <w:style w:type="paragraph" w:customStyle="1" w:styleId="Bullet1">
    <w:name w:val="Bullet 1"/>
    <w:basedOn w:val="Normal"/>
    <w:pPr>
      <w:numPr>
        <w:numId w:val="19"/>
      </w:numPr>
    </w:pPr>
  </w:style>
  <w:style w:type="paragraph" w:customStyle="1" w:styleId="Bullet2">
    <w:name w:val="Bullet 2"/>
    <w:basedOn w:val="Normal"/>
    <w:pPr>
      <w:numPr>
        <w:numId w:val="20"/>
      </w:numPr>
    </w:pPr>
  </w:style>
  <w:style w:type="paragraph" w:customStyle="1" w:styleId="Bullet3">
    <w:name w:val="Bullet 3"/>
    <w:basedOn w:val="Normal"/>
    <w:pPr>
      <w:numPr>
        <w:numId w:val="21"/>
      </w:numPr>
    </w:pPr>
  </w:style>
  <w:style w:type="paragraph" w:customStyle="1" w:styleId="Bullet4">
    <w:name w:val="Bullet 4"/>
    <w:basedOn w:val="Normal"/>
    <w:pPr>
      <w:numPr>
        <w:numId w:val="22"/>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23"/>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16"/>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16"/>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16"/>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16"/>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en-GB"/>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n-GB"/>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0"/>
      </w:numPr>
    </w:pPr>
  </w:style>
  <w:style w:type="paragraph" w:customStyle="1" w:styleId="Tiret1">
    <w:name w:val="Tiret 1"/>
    <w:basedOn w:val="Point1"/>
    <w:pPr>
      <w:numPr>
        <w:numId w:val="11"/>
      </w:numPr>
    </w:pPr>
  </w:style>
  <w:style w:type="paragraph" w:customStyle="1" w:styleId="Tiret2">
    <w:name w:val="Tiret 2"/>
    <w:basedOn w:val="Point2"/>
    <w:pPr>
      <w:numPr>
        <w:numId w:val="12"/>
      </w:numPr>
    </w:pPr>
  </w:style>
  <w:style w:type="paragraph" w:customStyle="1" w:styleId="Tiret3">
    <w:name w:val="Tiret 3"/>
    <w:basedOn w:val="Point3"/>
    <w:pPr>
      <w:numPr>
        <w:numId w:val="13"/>
      </w:numPr>
    </w:pPr>
  </w:style>
  <w:style w:type="paragraph" w:customStyle="1" w:styleId="Tiret4">
    <w:name w:val="Tiret 4"/>
    <w:basedOn w:val="Point4"/>
    <w:pPr>
      <w:numPr>
        <w:numId w:val="1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15"/>
      </w:numPr>
    </w:pPr>
  </w:style>
  <w:style w:type="paragraph" w:customStyle="1" w:styleId="NumPar2">
    <w:name w:val="NumPar 2"/>
    <w:basedOn w:val="Normal"/>
    <w:next w:val="Text1"/>
    <w:pPr>
      <w:numPr>
        <w:ilvl w:val="1"/>
        <w:numId w:val="15"/>
      </w:numPr>
    </w:pPr>
  </w:style>
  <w:style w:type="paragraph" w:customStyle="1" w:styleId="NumPar3">
    <w:name w:val="NumPar 3"/>
    <w:basedOn w:val="Normal"/>
    <w:next w:val="Text1"/>
    <w:pPr>
      <w:numPr>
        <w:ilvl w:val="2"/>
        <w:numId w:val="15"/>
      </w:numPr>
    </w:pPr>
  </w:style>
  <w:style w:type="paragraph" w:customStyle="1" w:styleId="NumPar4">
    <w:name w:val="NumPar 4"/>
    <w:basedOn w:val="Normal"/>
    <w:next w:val="Text1"/>
    <w:pPr>
      <w:numPr>
        <w:ilvl w:val="3"/>
        <w:numId w:val="15"/>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17"/>
      </w:numPr>
    </w:pPr>
  </w:style>
  <w:style w:type="paragraph" w:customStyle="1" w:styleId="Point1number">
    <w:name w:val="Point 1 (number)"/>
    <w:basedOn w:val="Normal"/>
    <w:pPr>
      <w:numPr>
        <w:ilvl w:val="2"/>
        <w:numId w:val="17"/>
      </w:numPr>
    </w:pPr>
  </w:style>
  <w:style w:type="paragraph" w:customStyle="1" w:styleId="Point2number">
    <w:name w:val="Point 2 (number)"/>
    <w:basedOn w:val="Normal"/>
    <w:pPr>
      <w:numPr>
        <w:ilvl w:val="4"/>
        <w:numId w:val="17"/>
      </w:numPr>
    </w:pPr>
  </w:style>
  <w:style w:type="paragraph" w:customStyle="1" w:styleId="Point3number">
    <w:name w:val="Point 3 (number)"/>
    <w:basedOn w:val="Normal"/>
    <w:pPr>
      <w:numPr>
        <w:ilvl w:val="6"/>
        <w:numId w:val="17"/>
      </w:numPr>
    </w:pPr>
  </w:style>
  <w:style w:type="paragraph" w:customStyle="1" w:styleId="Point0letter">
    <w:name w:val="Point 0 (letter)"/>
    <w:basedOn w:val="Normal"/>
    <w:pPr>
      <w:numPr>
        <w:ilvl w:val="1"/>
        <w:numId w:val="17"/>
      </w:numPr>
    </w:pPr>
  </w:style>
  <w:style w:type="paragraph" w:customStyle="1" w:styleId="Point1letter">
    <w:name w:val="Point 1 (letter)"/>
    <w:basedOn w:val="Normal"/>
    <w:pPr>
      <w:numPr>
        <w:ilvl w:val="3"/>
        <w:numId w:val="17"/>
      </w:numPr>
    </w:pPr>
  </w:style>
  <w:style w:type="paragraph" w:customStyle="1" w:styleId="Point2letter">
    <w:name w:val="Point 2 (letter)"/>
    <w:basedOn w:val="Normal"/>
    <w:pPr>
      <w:numPr>
        <w:ilvl w:val="5"/>
        <w:numId w:val="17"/>
      </w:numPr>
    </w:pPr>
  </w:style>
  <w:style w:type="paragraph" w:customStyle="1" w:styleId="Point3letter">
    <w:name w:val="Point 3 (letter)"/>
    <w:basedOn w:val="Normal"/>
    <w:pPr>
      <w:numPr>
        <w:ilvl w:val="7"/>
        <w:numId w:val="17"/>
      </w:numPr>
    </w:pPr>
  </w:style>
  <w:style w:type="paragraph" w:customStyle="1" w:styleId="Point4letter">
    <w:name w:val="Point 4 (letter)"/>
    <w:basedOn w:val="Normal"/>
    <w:pPr>
      <w:numPr>
        <w:ilvl w:val="8"/>
        <w:numId w:val="17"/>
      </w:numPr>
    </w:pPr>
  </w:style>
  <w:style w:type="paragraph" w:customStyle="1" w:styleId="Bullet0">
    <w:name w:val="Bullet 0"/>
    <w:basedOn w:val="Normal"/>
    <w:pPr>
      <w:numPr>
        <w:numId w:val="18"/>
      </w:numPr>
    </w:pPr>
  </w:style>
  <w:style w:type="paragraph" w:customStyle="1" w:styleId="Bullet1">
    <w:name w:val="Bullet 1"/>
    <w:basedOn w:val="Normal"/>
    <w:pPr>
      <w:numPr>
        <w:numId w:val="19"/>
      </w:numPr>
    </w:pPr>
  </w:style>
  <w:style w:type="paragraph" w:customStyle="1" w:styleId="Bullet2">
    <w:name w:val="Bullet 2"/>
    <w:basedOn w:val="Normal"/>
    <w:pPr>
      <w:numPr>
        <w:numId w:val="20"/>
      </w:numPr>
    </w:pPr>
  </w:style>
  <w:style w:type="paragraph" w:customStyle="1" w:styleId="Bullet3">
    <w:name w:val="Bullet 3"/>
    <w:basedOn w:val="Normal"/>
    <w:pPr>
      <w:numPr>
        <w:numId w:val="21"/>
      </w:numPr>
    </w:pPr>
  </w:style>
  <w:style w:type="paragraph" w:customStyle="1" w:styleId="Bullet4">
    <w:name w:val="Bullet 4"/>
    <w:basedOn w:val="Normal"/>
    <w:pPr>
      <w:numPr>
        <w:numId w:val="22"/>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23"/>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48C7E-CF46-4E27-A37E-89B95D526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0</TotalTime>
  <Pages>8</Pages>
  <Words>507</Words>
  <Characters>2459</Characters>
  <Application>Microsoft Office Word</Application>
  <DocSecurity>0</DocSecurity>
  <Lines>52</Lines>
  <Paragraphs>25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JELINKOVA HARANTOVA Lenka (TAXUD)</dc:creator>
  <cp:lastModifiedBy>LAGES CARVALHO Patrick (SG)</cp:lastModifiedBy>
  <cp:revision>8</cp:revision>
  <dcterms:created xsi:type="dcterms:W3CDTF">2015-09-16T07:37:00Z</dcterms:created>
  <dcterms:modified xsi:type="dcterms:W3CDTF">2015-10-16T13:32:00Z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5.84.2.0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2</vt:lpwstr>
  </property>
  <property fmtid="{D5CDD505-2E9C-101B-9397-08002B2CF9AE}" pid="10" name="Total parts">
    <vt:lpwstr>2</vt:lpwstr>
  </property>
  <property fmtid="{D5CDD505-2E9C-101B-9397-08002B2CF9AE}" pid="11" name="LWTemplateID">
    <vt:lpwstr>SG-017</vt:lpwstr>
  </property>
  <property fmtid="{D5CDD505-2E9C-101B-9397-08002B2CF9AE}" pid="12" name="DQCStatus">
    <vt:lpwstr>Yellow (DQC version 03)</vt:lpwstr>
  </property>
</Properties>
</file>