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126" w:rsidRDefault="00191BA0">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166D805A2C24E438F1A08E68849FC70" style="width:450.75pt;height:456pt">
            <v:imagedata r:id="rId9" o:title=""/>
          </v:shape>
        </w:pict>
      </w:r>
    </w:p>
    <w:p w:rsidR="00FE6126" w:rsidRDefault="00FE6126">
      <w:pPr>
        <w:rPr>
          <w:noProof/>
        </w:rPr>
        <w:sectPr w:rsidR="00FE6126">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rsidR="00FE6126" w:rsidRDefault="00191BA0">
      <w:pPr>
        <w:pStyle w:val="Titrearticle"/>
        <w:jc w:val="both"/>
        <w:rPr>
          <w:i w:val="0"/>
          <w:noProof/>
          <w:sz w:val="20"/>
          <w:szCs w:val="20"/>
        </w:rPr>
      </w:pPr>
      <w:r>
        <w:rPr>
          <w:b/>
          <w:i w:val="0"/>
          <w:noProof/>
          <w:sz w:val="20"/>
        </w:rPr>
        <w:lastRenderedPageBreak/>
        <w:t>Приложение 7, част І, член 5, параграф 2, подточка i)</w:t>
      </w:r>
    </w:p>
    <w:p w:rsidR="00FE6126" w:rsidRDefault="00191BA0">
      <w:pPr>
        <w:rPr>
          <w:noProof/>
          <w:sz w:val="20"/>
          <w:szCs w:val="20"/>
        </w:rPr>
      </w:pPr>
      <w:r>
        <w:rPr>
          <w:noProof/>
          <w:sz w:val="20"/>
        </w:rPr>
        <w:t xml:space="preserve">Съществуващият текст се заменя със </w:t>
      </w:r>
      <w:r>
        <w:rPr>
          <w:i/>
          <w:noProof/>
          <w:sz w:val="20"/>
        </w:rPr>
        <w:t>следния:</w:t>
      </w:r>
    </w:p>
    <w:p w:rsidR="00FE6126" w:rsidRDefault="00191BA0">
      <w:pPr>
        <w:rPr>
          <w:noProof/>
          <w:sz w:val="20"/>
          <w:szCs w:val="20"/>
        </w:rPr>
      </w:pPr>
      <w:r>
        <w:rPr>
          <w:noProof/>
          <w:sz w:val="20"/>
        </w:rPr>
        <w:t>„i)</w:t>
      </w:r>
      <w:r>
        <w:rPr>
          <w:noProof/>
        </w:rPr>
        <w:tab/>
      </w:r>
      <w:r>
        <w:rPr>
          <w:noProof/>
          <w:sz w:val="20"/>
        </w:rPr>
        <w:t>Плъзгащите се покривала, под, врати и всички други съставни елементи на контейнера се съединяват или посредством приспособления, които не могат да се свалят и поставят отново отвън, без да се оставят видими следи, или по такъв начин, че да образуват едно ц</w:t>
      </w:r>
      <w:r>
        <w:rPr>
          <w:noProof/>
          <w:sz w:val="20"/>
        </w:rPr>
        <w:t>яло, което да не може да бъде изменено, без да се оставят видими следи.“</w:t>
      </w:r>
    </w:p>
    <w:p w:rsidR="00FE6126" w:rsidRDefault="00191BA0">
      <w:pPr>
        <w:pStyle w:val="Titrearticle"/>
        <w:jc w:val="both"/>
        <w:rPr>
          <w:b/>
          <w:i w:val="0"/>
          <w:noProof/>
          <w:sz w:val="20"/>
          <w:szCs w:val="20"/>
        </w:rPr>
      </w:pPr>
      <w:r>
        <w:rPr>
          <w:b/>
          <w:i w:val="0"/>
          <w:noProof/>
          <w:sz w:val="20"/>
        </w:rPr>
        <w:t>Приложение 7, част І, член 5, параграф 2, подточка iii)</w:t>
      </w:r>
    </w:p>
    <w:p w:rsidR="00FE6126" w:rsidRDefault="00191BA0">
      <w:pPr>
        <w:rPr>
          <w:noProof/>
          <w:sz w:val="20"/>
          <w:szCs w:val="20"/>
        </w:rPr>
      </w:pPr>
      <w:r>
        <w:rPr>
          <w:noProof/>
          <w:sz w:val="20"/>
        </w:rPr>
        <w:t xml:space="preserve">Съществуващият текст се заменя със </w:t>
      </w:r>
      <w:r>
        <w:rPr>
          <w:i/>
          <w:noProof/>
          <w:sz w:val="20"/>
        </w:rPr>
        <w:t>следния:</w:t>
      </w:r>
    </w:p>
    <w:p w:rsidR="00FE6126" w:rsidRDefault="00191BA0">
      <w:pPr>
        <w:rPr>
          <w:noProof/>
          <w:sz w:val="20"/>
          <w:szCs w:val="20"/>
        </w:rPr>
      </w:pPr>
      <w:r>
        <w:rPr>
          <w:noProof/>
          <w:sz w:val="20"/>
        </w:rPr>
        <w:t>„iii)</w:t>
      </w:r>
      <w:r>
        <w:rPr>
          <w:noProof/>
        </w:rPr>
        <w:tab/>
      </w:r>
      <w:r>
        <w:rPr>
          <w:noProof/>
          <w:sz w:val="20"/>
        </w:rPr>
        <w:t>Водачът на плъзгащото се покривало, обтегачите за покривалото и другите подви</w:t>
      </w:r>
      <w:r>
        <w:rPr>
          <w:noProof/>
          <w:sz w:val="20"/>
        </w:rPr>
        <w:t>жни части се съединяват по такъв начин, че затворените и пломбирани от митническите власти врати и останалите подвижни части да не могат да бъдат отворени или затворени отвън, без да се оставят видими следи. Водачът на плъзгащото се покривало, обтегачите з</w:t>
      </w:r>
      <w:r>
        <w:rPr>
          <w:noProof/>
          <w:sz w:val="20"/>
        </w:rPr>
        <w:t>а покривалото и другите подвижни части се съединяват по такъв начин, че достъпът до контейнера да бъде невъзможен, без да се оставят видими следи. Пример за такава конструктивна система е дадена на скица № 9, приложена към правилника.“</w:t>
      </w:r>
    </w:p>
    <w:p w:rsidR="00FE6126" w:rsidRDefault="00191BA0">
      <w:pPr>
        <w:pStyle w:val="Titrearticle"/>
        <w:jc w:val="both"/>
        <w:rPr>
          <w:b/>
          <w:i w:val="0"/>
          <w:noProof/>
          <w:sz w:val="20"/>
          <w:szCs w:val="20"/>
        </w:rPr>
      </w:pPr>
      <w:r>
        <w:rPr>
          <w:b/>
          <w:i w:val="0"/>
          <w:noProof/>
          <w:sz w:val="20"/>
        </w:rPr>
        <w:t>Приложение 7, част І</w:t>
      </w:r>
      <w:r>
        <w:rPr>
          <w:b/>
          <w:i w:val="0"/>
          <w:noProof/>
          <w:sz w:val="20"/>
        </w:rPr>
        <w:t>, нов член 6</w:t>
      </w:r>
    </w:p>
    <w:p w:rsidR="00FE6126" w:rsidRDefault="00191BA0">
      <w:pPr>
        <w:rPr>
          <w:i/>
          <w:noProof/>
          <w:sz w:val="20"/>
          <w:szCs w:val="20"/>
        </w:rPr>
      </w:pPr>
      <w:r>
        <w:rPr>
          <w:i/>
          <w:noProof/>
          <w:sz w:val="20"/>
        </w:rPr>
        <w:t>След</w:t>
      </w:r>
      <w:r>
        <w:rPr>
          <w:noProof/>
          <w:sz w:val="20"/>
        </w:rPr>
        <w:t xml:space="preserve"> изменения член 5 се </w:t>
      </w:r>
      <w:r>
        <w:rPr>
          <w:i/>
          <w:noProof/>
          <w:sz w:val="20"/>
        </w:rPr>
        <w:t>вмъква</w:t>
      </w:r>
      <w:r>
        <w:rPr>
          <w:noProof/>
          <w:sz w:val="20"/>
        </w:rPr>
        <w:t>:</w:t>
      </w:r>
    </w:p>
    <w:p w:rsidR="00FE6126" w:rsidRDefault="00191BA0">
      <w:pPr>
        <w:pStyle w:val="Titrearticle"/>
        <w:rPr>
          <w:b/>
          <w:noProof/>
          <w:sz w:val="20"/>
          <w:szCs w:val="20"/>
        </w:rPr>
      </w:pPr>
      <w:r>
        <w:rPr>
          <w:b/>
          <w:noProof/>
          <w:sz w:val="20"/>
        </w:rPr>
        <w:t>Член 6</w:t>
      </w:r>
    </w:p>
    <w:p w:rsidR="00FE6126" w:rsidRDefault="00191BA0">
      <w:pPr>
        <w:jc w:val="center"/>
        <w:rPr>
          <w:noProof/>
          <w:sz w:val="20"/>
          <w:szCs w:val="20"/>
        </w:rPr>
      </w:pPr>
      <w:r>
        <w:rPr>
          <w:noProof/>
          <w:sz w:val="20"/>
          <w:u w:val="single"/>
        </w:rPr>
        <w:t>Контейнери с подвижен покрив с покривало</w:t>
      </w:r>
    </w:p>
    <w:p w:rsidR="00FE6126" w:rsidRDefault="00191BA0">
      <w:pPr>
        <w:pStyle w:val="NumPar1"/>
        <w:numPr>
          <w:ilvl w:val="0"/>
          <w:numId w:val="9"/>
        </w:numPr>
        <w:rPr>
          <w:noProof/>
          <w:sz w:val="20"/>
          <w:szCs w:val="20"/>
        </w:rPr>
      </w:pPr>
      <w:r>
        <w:rPr>
          <w:noProof/>
          <w:sz w:val="20"/>
        </w:rPr>
        <w:t xml:space="preserve">Контейнерите с подвижен покрив с покривало трябва да отговарят на разпоредбите на членове 1, 2, 3, 4 и 5 от правилника, доколкото последните са приложими за тях. </w:t>
      </w:r>
      <w:r>
        <w:rPr>
          <w:noProof/>
          <w:sz w:val="20"/>
        </w:rPr>
        <w:t>Освен това тези контейнери трябва да са съобразени с разпоредбите на настоящия член.</w:t>
      </w:r>
    </w:p>
    <w:p w:rsidR="00FE6126" w:rsidRDefault="00191BA0">
      <w:pPr>
        <w:pStyle w:val="NumPar1"/>
        <w:numPr>
          <w:ilvl w:val="0"/>
          <w:numId w:val="9"/>
        </w:numPr>
        <w:rPr>
          <w:noProof/>
          <w:sz w:val="20"/>
          <w:szCs w:val="20"/>
        </w:rPr>
      </w:pPr>
      <w:r>
        <w:rPr>
          <w:noProof/>
          <w:sz w:val="20"/>
        </w:rPr>
        <w:t>Подвижният покрив с покривало трябва да отговаря на изискванията, посочени в подточки i)—iii) по-долу.</w:t>
      </w:r>
    </w:p>
    <w:p w:rsidR="00FE6126" w:rsidRDefault="00191BA0">
      <w:pPr>
        <w:pStyle w:val="Index1"/>
        <w:ind w:left="1435" w:hanging="585"/>
        <w:rPr>
          <w:noProof/>
          <w:sz w:val="20"/>
          <w:szCs w:val="20"/>
        </w:rPr>
      </w:pPr>
      <w:r>
        <w:rPr>
          <w:noProof/>
          <w:sz w:val="20"/>
        </w:rPr>
        <w:t>i)</w:t>
      </w:r>
      <w:r>
        <w:rPr>
          <w:noProof/>
        </w:rPr>
        <w:tab/>
      </w:r>
      <w:r>
        <w:rPr>
          <w:noProof/>
          <w:sz w:val="20"/>
        </w:rPr>
        <w:t>Подвижният покрив с покривало се закрепва или посредством приспос</w:t>
      </w:r>
      <w:r>
        <w:rPr>
          <w:noProof/>
          <w:sz w:val="20"/>
        </w:rPr>
        <w:t>обления, които не могат да се свалят и поставят отново отвън, без да се оставят видими следи, или по такъв начин, че да образуват едно цяло, което да не може да бъде изменено, без да се оставят видими следи.</w:t>
      </w:r>
    </w:p>
    <w:p w:rsidR="00FE6126" w:rsidRDefault="00191BA0">
      <w:pPr>
        <w:pStyle w:val="Index1"/>
        <w:ind w:left="1435" w:hanging="585"/>
        <w:rPr>
          <w:noProof/>
          <w:sz w:val="20"/>
          <w:szCs w:val="20"/>
        </w:rPr>
      </w:pPr>
      <w:r>
        <w:rPr>
          <w:noProof/>
          <w:sz w:val="20"/>
        </w:rPr>
        <w:t>ii)</w:t>
      </w:r>
      <w:r>
        <w:rPr>
          <w:noProof/>
        </w:rPr>
        <w:tab/>
      </w:r>
      <w:r>
        <w:rPr>
          <w:noProof/>
          <w:sz w:val="20"/>
        </w:rPr>
        <w:t>Покривалото на подвижния покрив трябва да се</w:t>
      </w:r>
      <w:r>
        <w:rPr>
          <w:noProof/>
          <w:sz w:val="20"/>
        </w:rPr>
        <w:t xml:space="preserve"> застъпва с твърдата част на покрива в предната страна на контейнера, така че покривалото да не може да бъде изтеглено над горния край на горната надлъжна греда. От двете страни по дължината на контейнера в подгъва на покривалото на покрива се прокарва пре</w:t>
      </w:r>
      <w:r>
        <w:rPr>
          <w:noProof/>
          <w:sz w:val="20"/>
        </w:rPr>
        <w:t>дварително напрегнат стоманен кабел по такъв начин, че да не може да бъде свален и поставен отново, без да се оставят видими следи. Покривалото на покрива се закрепва към подвижната количка по такъв начин, че да не може да бъде свалено и поставено отново н</w:t>
      </w:r>
      <w:r>
        <w:rPr>
          <w:noProof/>
          <w:sz w:val="20"/>
        </w:rPr>
        <w:t>а мястото му, без да се оставят видими следи.</w:t>
      </w:r>
    </w:p>
    <w:p w:rsidR="00FE6126" w:rsidRDefault="00191BA0">
      <w:pPr>
        <w:pStyle w:val="Index1"/>
        <w:ind w:left="1435" w:hanging="585"/>
        <w:rPr>
          <w:noProof/>
          <w:sz w:val="20"/>
          <w:szCs w:val="20"/>
        </w:rPr>
      </w:pPr>
      <w:r>
        <w:rPr>
          <w:noProof/>
          <w:sz w:val="20"/>
        </w:rPr>
        <w:t>iii)</w:t>
      </w:r>
      <w:r>
        <w:rPr>
          <w:noProof/>
        </w:rPr>
        <w:tab/>
      </w:r>
      <w:r>
        <w:rPr>
          <w:noProof/>
          <w:sz w:val="20"/>
        </w:rPr>
        <w:t>Водачът на подвижния покрив, обтегачите за подвижния покрив и другите подвижни части се съединяват по такъв начин, че затворените и пломбирани от митническите власти врати, покрив и други подвижни части да</w:t>
      </w:r>
      <w:r>
        <w:rPr>
          <w:noProof/>
          <w:sz w:val="20"/>
        </w:rPr>
        <w:t xml:space="preserve"> не могат да бъдат отворени или затворени отвън, без да се оставят видими следи. Водачът на подвижния покрив, обтегачите за подвижния покрив и другите подвижни части се съединяват по такъв начин, че достъпът до контейнера да бъде невъзможен, без да се оста</w:t>
      </w:r>
      <w:r>
        <w:rPr>
          <w:noProof/>
          <w:sz w:val="20"/>
        </w:rPr>
        <w:t>вят видими следи.</w:t>
      </w:r>
    </w:p>
    <w:p w:rsidR="00FE6126" w:rsidRDefault="00191BA0">
      <w:pPr>
        <w:rPr>
          <w:noProof/>
          <w:sz w:val="20"/>
          <w:szCs w:val="20"/>
        </w:rPr>
      </w:pPr>
      <w:r>
        <w:rPr>
          <w:noProof/>
          <w:sz w:val="20"/>
        </w:rPr>
        <w:t>Пример за възможна конструктивна система е показан на скица № 10, приложена към правилника.</w:t>
      </w:r>
    </w:p>
    <w:p w:rsidR="00FE6126" w:rsidRDefault="00191BA0">
      <w:pPr>
        <w:spacing w:before="0" w:after="200" w:line="276" w:lineRule="auto"/>
        <w:jc w:val="left"/>
        <w:rPr>
          <w:noProof/>
        </w:rPr>
      </w:pPr>
      <w:r>
        <w:rPr>
          <w:noProof/>
        </w:rPr>
        <w:br w:type="page"/>
      </w:r>
    </w:p>
    <w:p w:rsidR="00FE6126" w:rsidRDefault="00191BA0">
      <w:pPr>
        <w:rPr>
          <w:noProof/>
        </w:rPr>
      </w:pPr>
      <w:r>
        <w:rPr>
          <w:noProof/>
        </w:rPr>
        <w:lastRenderedPageBreak/>
        <w:pict>
          <v:shape id="_x0000_i1026" type="#_x0000_t75" style="width:453.75pt;height:612pt">
            <v:imagedata r:id="rId16" o:title=""/>
          </v:shape>
        </w:pict>
      </w:r>
    </w:p>
    <w:p w:rsidR="00FE6126" w:rsidRDefault="00191BA0">
      <w:pPr>
        <w:rPr>
          <w:noProof/>
        </w:rPr>
      </w:pPr>
      <w:r>
        <w:rPr>
          <w:noProof/>
        </w:rPr>
        <w:br w:type="page"/>
      </w:r>
    </w:p>
    <w:p w:rsidR="00FE6126" w:rsidRDefault="00191BA0">
      <w:pPr>
        <w:rPr>
          <w:noProof/>
        </w:rPr>
      </w:pPr>
      <w:r>
        <w:rPr>
          <w:noProof/>
        </w:rPr>
        <w:lastRenderedPageBreak/>
        <w:pict>
          <v:shape id="_x0000_i1027" type="#_x0000_t75" style="width:453.75pt;height:618pt">
            <v:imagedata r:id="rId17" o:title=""/>
          </v:shape>
        </w:pict>
      </w:r>
    </w:p>
    <w:p w:rsidR="00FE6126" w:rsidRDefault="00191BA0">
      <w:pPr>
        <w:rPr>
          <w:noProof/>
        </w:rPr>
      </w:pPr>
      <w:r>
        <w:rPr>
          <w:noProof/>
        </w:rPr>
        <w:br w:type="page"/>
      </w:r>
    </w:p>
    <w:p w:rsidR="00FE6126" w:rsidRDefault="00191BA0">
      <w:pPr>
        <w:rPr>
          <w:noProof/>
        </w:rPr>
      </w:pPr>
      <w:r>
        <w:rPr>
          <w:noProof/>
        </w:rPr>
        <w:pict>
          <v:shape id="_x0000_i1028" type="#_x0000_t75" style="width:453.75pt;height:617.25pt">
            <v:imagedata r:id="rId18" o:title=""/>
          </v:shape>
        </w:pict>
      </w:r>
    </w:p>
    <w:p w:rsidR="00FE6126" w:rsidRDefault="00191BA0">
      <w:pPr>
        <w:rPr>
          <w:noProof/>
        </w:rPr>
      </w:pPr>
      <w:r>
        <w:rPr>
          <w:noProof/>
        </w:rPr>
        <w:br w:type="page"/>
      </w:r>
    </w:p>
    <w:p w:rsidR="00FE6126" w:rsidRDefault="00191BA0">
      <w:pPr>
        <w:rPr>
          <w:noProof/>
        </w:rPr>
      </w:pPr>
      <w:r>
        <w:rPr>
          <w:noProof/>
        </w:rPr>
        <w:pict>
          <v:shape id="_x0000_i1029" type="#_x0000_t75" style="width:453.75pt;height:603pt">
            <v:imagedata r:id="rId19" o:title=""/>
          </v:shape>
        </w:pict>
      </w:r>
    </w:p>
    <w:p w:rsidR="00FE6126" w:rsidRDefault="00191BA0">
      <w:pPr>
        <w:rPr>
          <w:noProof/>
        </w:rPr>
      </w:pPr>
      <w:r>
        <w:rPr>
          <w:noProof/>
        </w:rPr>
        <w:br w:type="page"/>
      </w:r>
    </w:p>
    <w:p w:rsidR="00FE6126" w:rsidRDefault="00191BA0">
      <w:pPr>
        <w:rPr>
          <w:noProof/>
        </w:rPr>
      </w:pPr>
      <w:r>
        <w:rPr>
          <w:noProof/>
        </w:rPr>
        <w:pict>
          <v:shape id="_x0000_i1030" type="#_x0000_t75" style="width:453.75pt;height:522pt">
            <v:imagedata r:id="rId20" o:title=""/>
          </v:shape>
        </w:pict>
      </w:r>
    </w:p>
    <w:p w:rsidR="00FE6126" w:rsidRDefault="00191BA0">
      <w:pPr>
        <w:rPr>
          <w:noProof/>
        </w:rPr>
      </w:pPr>
      <w:r>
        <w:rPr>
          <w:noProof/>
        </w:rPr>
        <w:br w:type="page"/>
      </w:r>
    </w:p>
    <w:p w:rsidR="00FE6126" w:rsidRDefault="00191BA0">
      <w:pPr>
        <w:rPr>
          <w:noProof/>
        </w:rPr>
      </w:pPr>
      <w:r>
        <w:rPr>
          <w:noProof/>
        </w:rPr>
        <w:pict>
          <v:shape id="_x0000_i1031" type="#_x0000_t75" style="width:453.75pt;height:630.75pt">
            <v:imagedata r:id="rId21" o:title=""/>
          </v:shape>
        </w:pict>
      </w:r>
    </w:p>
    <w:sectPr w:rsidR="00FE6126" w:rsidSect="00191BA0">
      <w:footerReference w:type="default" r:id="rId22"/>
      <w:footerReference w:type="first" r:id="rId23"/>
      <w:pgSz w:w="11907" w:h="16839"/>
      <w:pgMar w:top="1134" w:right="1417" w:bottom="1134" w:left="1417" w:header="709" w:footer="709"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126" w:rsidRDefault="00191BA0">
      <w:pPr>
        <w:spacing w:before="0" w:after="0"/>
      </w:pPr>
      <w:r>
        <w:separator/>
      </w:r>
    </w:p>
  </w:endnote>
  <w:endnote w:type="continuationSeparator" w:id="0">
    <w:p w:rsidR="00FE6126" w:rsidRDefault="00191B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BA0" w:rsidRDefault="00191B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126" w:rsidRDefault="00191BA0">
    <w:pPr>
      <w:pStyle w:val="Footer"/>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BG</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BA0" w:rsidRDefault="00191B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126" w:rsidRDefault="00191BA0">
    <w:pPr>
      <w:pStyle w:val="Footer"/>
      <w:rPr>
        <w:rFonts w:ascii="Arial" w:hAnsi="Arial" w:cs="Arial"/>
        <w:b/>
        <w:sz w:val="48"/>
      </w:rPr>
    </w:pPr>
    <w:bookmarkStart w:id="0" w:name="_GoBack"/>
    <w:bookmarkEnd w:id="0"/>
    <w:r>
      <w:rPr>
        <w:rFonts w:ascii="Arial" w:hAnsi="Arial" w:cs="Arial"/>
        <w:b/>
        <w:sz w:val="48"/>
      </w:rPr>
      <w:t>BG</w:t>
    </w:r>
    <w:r>
      <w:rPr>
        <w:rFonts w:ascii="Arial" w:hAnsi="Arial" w:cs="Arial"/>
        <w:b/>
        <w:sz w:val="48"/>
      </w:rPr>
      <w:tab/>
    </w:r>
    <w:r>
      <w:fldChar w:fldCharType="begin"/>
    </w:r>
    <w:r>
      <w:instrText xml:space="preserve"> PAGE  \* MERGEFORMAT </w:instrText>
    </w:r>
    <w:r>
      <w:fldChar w:fldCharType="separate"/>
    </w:r>
    <w:r>
      <w:rPr>
        <w:noProof/>
      </w:rPr>
      <w:t>2</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126" w:rsidRDefault="00FE61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126" w:rsidRDefault="00191BA0">
      <w:pPr>
        <w:spacing w:before="0" w:after="0"/>
      </w:pPr>
      <w:r>
        <w:separator/>
      </w:r>
    </w:p>
  </w:footnote>
  <w:footnote w:type="continuationSeparator" w:id="0">
    <w:p w:rsidR="00FE6126" w:rsidRDefault="00191BA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BA0" w:rsidRDefault="00191B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BA0" w:rsidRDefault="00191B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BA0" w:rsidRDefault="00191B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4EACDA2"/>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2EA0321C"/>
    <w:lvl w:ilvl="0">
      <w:start w:val="1"/>
      <w:numFmt w:val="decimal"/>
      <w:pStyle w:val="ListNumber3"/>
      <w:lvlText w:val="%1."/>
      <w:lvlJc w:val="left"/>
      <w:pPr>
        <w:tabs>
          <w:tab w:val="num" w:pos="926"/>
        </w:tabs>
        <w:ind w:left="926" w:hanging="360"/>
      </w:pPr>
    </w:lvl>
  </w:abstractNum>
  <w:abstractNum w:abstractNumId="2">
    <w:nsid w:val="FFFFFF7F"/>
    <w:multiLevelType w:val="singleLevel"/>
    <w:tmpl w:val="3B5A648A"/>
    <w:lvl w:ilvl="0">
      <w:start w:val="1"/>
      <w:numFmt w:val="decimal"/>
      <w:pStyle w:val="ListNumber2"/>
      <w:lvlText w:val="%1."/>
      <w:lvlJc w:val="left"/>
      <w:pPr>
        <w:tabs>
          <w:tab w:val="num" w:pos="643"/>
        </w:tabs>
        <w:ind w:left="643" w:hanging="360"/>
      </w:pPr>
    </w:lvl>
  </w:abstractNum>
  <w:abstractNum w:abstractNumId="3">
    <w:nsid w:val="FFFFFF81"/>
    <w:multiLevelType w:val="singleLevel"/>
    <w:tmpl w:val="732A969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AB80CF76"/>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C6203F2C"/>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02F4A39C"/>
    <w:lvl w:ilvl="0">
      <w:start w:val="1"/>
      <w:numFmt w:val="decimal"/>
      <w:pStyle w:val="ListNumber"/>
      <w:lvlText w:val="%1."/>
      <w:lvlJc w:val="left"/>
      <w:pPr>
        <w:tabs>
          <w:tab w:val="num" w:pos="360"/>
        </w:tabs>
        <w:ind w:left="360" w:hanging="360"/>
      </w:pPr>
    </w:lvl>
  </w:abstractNum>
  <w:abstractNum w:abstractNumId="7">
    <w:nsid w:val="FFFFFF89"/>
    <w:multiLevelType w:val="singleLevel"/>
    <w:tmpl w:val="FD28B2C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20"/>
  </w:num>
  <w:num w:numId="13">
    <w:abstractNumId w:val="11"/>
  </w:num>
  <w:num w:numId="14">
    <w:abstractNumId w:val="13"/>
  </w:num>
  <w:num w:numId="15">
    <w:abstractNumId w:val="9"/>
  </w:num>
  <w:num w:numId="16">
    <w:abstractNumId w:val="19"/>
  </w:num>
  <w:num w:numId="17">
    <w:abstractNumId w:val="8"/>
  </w:num>
  <w:num w:numId="18">
    <w:abstractNumId w:val="14"/>
  </w:num>
  <w:num w:numId="19">
    <w:abstractNumId w:val="16"/>
  </w:num>
  <w:num w:numId="20">
    <w:abstractNumId w:val="17"/>
  </w:num>
  <w:num w:numId="21">
    <w:abstractNumId w:val="10"/>
  </w:num>
  <w:num w:numId="22">
    <w:abstractNumId w:val="15"/>
  </w:num>
  <w:num w:numId="23">
    <w:abstractNumId w:val="21"/>
  </w:num>
  <w:num w:numId="24">
    <w:abstractNumId w:val="18"/>
  </w:num>
  <w:num w:numId="25">
    <w:abstractNumId w:val="12"/>
  </w:num>
  <w:num w:numId="26">
    <w:abstractNumId w:val="20"/>
  </w:num>
  <w:num w:numId="27">
    <w:abstractNumId w:val="11"/>
  </w:num>
  <w:num w:numId="28">
    <w:abstractNumId w:val="13"/>
  </w:num>
  <w:num w:numId="29">
    <w:abstractNumId w:val="9"/>
  </w:num>
  <w:num w:numId="30">
    <w:abstractNumId w:val="19"/>
  </w:num>
  <w:num w:numId="31">
    <w:abstractNumId w:val="8"/>
  </w:num>
  <w:num w:numId="32">
    <w:abstractNumId w:val="14"/>
  </w:num>
  <w:num w:numId="33">
    <w:abstractNumId w:val="16"/>
  </w:num>
  <w:num w:numId="34">
    <w:abstractNumId w:val="17"/>
  </w:num>
  <w:num w:numId="35">
    <w:abstractNumId w:val="10"/>
  </w:num>
  <w:num w:numId="36">
    <w:abstractNumId w:val="15"/>
  </w:num>
  <w:num w:numId="3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5-10-16 08:19:29"/>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3"/>
    <w:docVar w:name="DQCResult_ModifiedMarkers" w:val="0;0"/>
    <w:docVar w:name="DQCResult_ModifiedNumbering" w:val="0;0"/>
    <w:docVar w:name="DQCResult_Objects" w:val="0;0"/>
    <w:docVar w:name="DQCResult_Sections" w:val="0;1"/>
    <w:docVar w:name="DQCResult_StructureCheck" w:val="0;0"/>
    <w:docVar w:name="DQCResult_SuperfluousWhitespace" w:val="0;0"/>
    <w:docVar w:name="DQCResult_UnknownFonts" w:val="0;0"/>
    <w:docVar w:name="DQCResult_UnknownStyles" w:val="0;3"/>
    <w:docVar w:name="DQCStatus" w:val="Yellow"/>
    <w:docVar w:name="DQCVersion" w:val="3"/>
    <w:docVar w:name="DQCWithWarnings" w:val="0"/>
    <w:docVar w:name="LW_ACCOMPAGNANT.CP" w:val="\u1082?\u1098?\u1084?"/>
    <w:docVar w:name="LW_ANNEX_NBR_FIRST" w:val="1"/>
    <w:docVar w:name="LW_ANNEX_NBR_LAST" w:val="1"/>
    <w:docVar w:name="LW_CONFIDENCE" w:val=" "/>
    <w:docVar w:name="LW_CONST_RESTREINT_UE" w:val="RESTREINT UE"/>
    <w:docVar w:name="LW_CORRIGENDUM" w:val="&lt;UNUSED&gt;"/>
    <w:docVar w:name="LW_COVERPAGE_GUID" w:val="C166D805A2C24E438F1A08E68849FC70"/>
    <w:docVar w:name="LW_CROSSREFERENCE" w:val="&lt;UNUSED&gt;"/>
    <w:docVar w:name="LW_DocType" w:val="ANNEX"/>
    <w:docVar w:name="LW_EMISSION" w:val="20.10.2015"/>
    <w:docVar w:name="LW_EMISSION_ISODATE" w:val="2015-10-20"/>
    <w:docVar w:name="LW_EMISSION_LOCATION" w:val="BRX"/>
    <w:docVar w:name="LW_EMISSION_PREFIX" w:val="\u1041?\u1088?\u1102?\u1082?\u1089?\u1077?\u1083?, "/>
    <w:docVar w:name="LW_EMISSION_SUFFIX" w:val=" \u1075?."/>
    <w:docVar w:name="LW_ID_DOCSTRUCTURE" w:val="COM/ANNEX"/>
    <w:docVar w:name="LW_ID_DOCTYPE" w:val="SG-017"/>
    <w:docVar w:name="LW_LANGUE" w:val="BG"/>
    <w:docVar w:name="LW_MARKING" w:val="&lt;UNUSED&gt;"/>
    <w:docVar w:name="LW_NOM.INST" w:val="\u1045?\u1042?\u1056?\u1054?\u1055?\u1045?\u1049?\u1057?\u1050?\u1040? \u1050?\u1054?\u1052?\u1048?\u1057?\u1048?\u1071?"/>
    <w:docVar w:name="LW_NOM.INST_JOINTDOC" w:val="&lt;EMPTY&gt;"/>
    <w:docVar w:name="LW_OBJETACTEPRINCIPAL.CP" w:val="\u1086?\u1090?\u1085?\u1086?\u1089?\u1085?\u1086? \u1087?\u1086?\u1079?\u1080?\u1094?\u1080?\u1103?\u1090?\u1072?, \u1082?\u1086?\u1103?\u1090?\u1086? \u1076?\u1072? \u1073?\u1098?\u1076?\u1077? \u1079?\u1072?\u1077?\u1090?\u1072? \u1086?\u1090? \u1080?\u1084?\u1077?\u1090?\u1086? \u1085?\u1072? \u1045?\u1074?\u1088?\u1086?\u1087?\u1077?\u1081?\u1089?\u1082?\u1080?\u1103? \u1089?\u1098?\u1102?\u1079? \u1074? \u1088?\u1072?\u1084?\u1082?\u1080?\u1090?\u1077? \u1085?\u1072? \u1040?\u1076?\u1084?\u1080?\u1085?\u1080?\u1089?\u1090?\u1088?\u1072?\u1090?\u1080?\u1074?\u1085?\u1080?\u1103? \u1082?\u1086?\u1084?\u1080?\u1090?\u1077?\u1090? \u1079?\u1072? \u1050?\u1086?\u1085?\u1074?\u1077?\u1085?\u1094?\u1080?\u1103?\u1090?\u1072? \u1058?\u1048?\u1056? \u1087?\u1086? \u1086?\u1090?\u1085?\u1086?\u1096?\u1077?\u1085?\u1080?\u1077? \u1085?\u1072? \u1087?\u1088?\u1077?\u1076?\u1083?\u1086?\u1078?\u1077?\u1085?\u1080?\u1077?\u1090?\u1086? \u1079?\u1072? \u1080?\u1079?\u1084?\u1077?\u1085?\u1077?\u1085?\u1080?\u1077? \u1085?\u1072? \u1052?\u1080?\u1090?\u1085?\u1080?\u1095?\u1077?\u1089?\u1082?\u1072?\u1090?\u1072? \u1082?\u1086?\u1085?\u1074?\u1077?\u1085?\u1094?\u1080?\u1103? \u1086?\u1090?\u1085?\u1086?\u1089?\u1085?\u1086? \u1084?\u1077?\u1078?\u1076?\u1091?\u1085?\u1072?\u1088?\u1086?\u1076?\u1085?\u1080?\u1103? \u1087?\u1088?\u1077?\u1074?\u1086?\u1079? \u1085?\u1072? \u1089?\u1090?\u1086?\u1082?\u1080? \u1087?\u1086?\u1076? \u1087?\u1086?\u1082?\u1088?\u1080?\u1090?\u1080?\u1077?\u1090?\u1086? \u1085?\u1072? \u1082?\u1072?\u1088?\u1085?\u1077?\u1090?\u1080? \u1058?\u1048?\u1056?_x000b_"/>
    <w:docVar w:name="LW_PART_NBR" w:val="2"/>
    <w:docVar w:name="LW_PART_NBR_TOTAL" w:val="2"/>
    <w:docVar w:name="LW_REF.INST.NEW" w:val="COM"/>
    <w:docVar w:name="LW_REF.INST.NEW_ADOPTED" w:val="final"/>
    <w:docVar w:name="LW_REF.INST.NEW_TEXT" w:val="(2015) 512"/>
    <w:docVar w:name="LW_REF.INTERNE" w:val="&lt;UNUSED&gt;"/>
    <w:docVar w:name="LW_SUPERTITRE" w:val="&lt;UNUSED&gt;"/>
    <w:docVar w:name="LW_TITRE.OBJ.CP" w:val="\u1055?\u1056?\u1048?\u1058?\u1059?\u1056?\u1050?\u1040?"/>
    <w:docVar w:name="LW_TYPE.DOC.CP" w:val="\u1055?\u1056?\u1048?\u1051?\u1054?\u1046?\u1045?\u1053?\u1048?\u1045?"/>
    <w:docVar w:name="LW_TYPEACTEPRINCIPAL.CP" w:val="\u1055?\u1088?\u1077?\u1076?\u1083?\u1086?\u1078?\u1077?\u1085?\u1080?\u1077? \u1079?\u1072? \u1088?\u1077?\u1096?\u1077?\u1085?\u1080?\u1077? \u1085?\u1072? \u1057?\u1098?\u1074?\u1077?\u1090?\u1072?"/>
  </w:docVars>
  <w:rsids>
    <w:rsidRoot w:val="00FE6126"/>
    <w:rsid w:val="00191BA0"/>
    <w:rsid w:val="00FE6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bg-BG"/>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bg-BG"/>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bg-BG"/>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bg-BG"/>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bg-BG"/>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bg-BG"/>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B39F2-E3FD-41D8-886C-B6096CB8D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2</TotalTime>
  <Pages>8</Pages>
  <Words>493</Words>
  <Characters>2562</Characters>
  <Application>Microsoft Office Word</Application>
  <DocSecurity>0</DocSecurity>
  <Lines>52</Lines>
  <Paragraphs>25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JELINKOVA HARANTOVA Lenka (TAXUD)</dc:creator>
  <cp:lastModifiedBy>LAGES CARVALHO Patrick (SG)</cp:lastModifiedBy>
  <cp:revision>8</cp:revision>
  <dcterms:created xsi:type="dcterms:W3CDTF">2015-10-13T09:44:00Z</dcterms:created>
  <dcterms:modified xsi:type="dcterms:W3CDTF">2015-10-16T13:28:00Z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5.84.2.0</vt:lpwstr>
  </property>
  <property fmtid="{D5CDD505-2E9C-101B-9397-08002B2CF9AE}" pid="5" name="Last edited using">
    <vt:lpwstr>LW 5.8.4, Build 20150407</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1</vt:lpwstr>
  </property>
  <property fmtid="{D5CDD505-2E9C-101B-9397-08002B2CF9AE}" pid="9" name="Part">
    <vt:lpwstr>2</vt:lpwstr>
  </property>
  <property fmtid="{D5CDD505-2E9C-101B-9397-08002B2CF9AE}" pid="10" name="Total parts">
    <vt:lpwstr>2</vt:lpwstr>
  </property>
  <property fmtid="{D5CDD505-2E9C-101B-9397-08002B2CF9AE}" pid="11" name="LWTemplateID">
    <vt:lpwstr>SG-017</vt:lpwstr>
  </property>
  <property fmtid="{D5CDD505-2E9C-101B-9397-08002B2CF9AE}" pid="12" name="DQCStatus">
    <vt:lpwstr>Yellow (DQC version 03)</vt:lpwstr>
  </property>
</Properties>
</file>