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CE" w:rsidRDefault="008A419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C29C02DF00C4314A0E60BE70D1385F5" style="width:450.45pt;height:293.15pt">
            <v:imagedata r:id="rId9" o:title=""/>
          </v:shape>
        </w:pict>
      </w:r>
    </w:p>
    <w:bookmarkEnd w:id="0"/>
    <w:p w:rsidR="003804CE" w:rsidRDefault="003804CE">
      <w:pPr>
        <w:rPr>
          <w:noProof/>
        </w:rPr>
        <w:sectPr w:rsidR="003804CE">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3804CE" w:rsidRDefault="008A4198">
      <w:pPr>
        <w:pStyle w:val="TOCHeading"/>
        <w:rPr>
          <w:noProof/>
        </w:rPr>
      </w:pPr>
      <w:r>
        <w:rPr>
          <w:noProof/>
        </w:rPr>
        <w:lastRenderedPageBreak/>
        <w:t>СЪДЪРЖАНИЕ</w:t>
      </w:r>
    </w:p>
    <w:p w:rsidR="003804CE" w:rsidRPr="008A4198" w:rsidRDefault="008A4198">
      <w:pPr>
        <w:pStyle w:val="TOC1"/>
        <w:rPr>
          <w:rFonts w:ascii="Calibri" w:hAnsi="Calibri"/>
          <w:noProof/>
          <w:sz w:val="22"/>
          <w:lang w:val="en-GB" w:eastAsia="en-GB" w:bidi="ar-SA"/>
        </w:rPr>
      </w:pPr>
      <w:r>
        <w:rPr>
          <w:noProof/>
        </w:rPr>
        <w:fldChar w:fldCharType="begin"/>
      </w:r>
      <w:r>
        <w:rPr>
          <w:noProof/>
        </w:rPr>
        <w:instrText xml:space="preserve"> TOC \o "1-3" \h \z \u </w:instrText>
      </w:r>
      <w:r>
        <w:rPr>
          <w:noProof/>
        </w:rPr>
        <w:fldChar w:fldCharType="separate"/>
      </w:r>
      <w:hyperlink w:anchor="_Toc430356857" w:history="1">
        <w:r>
          <w:rPr>
            <w:rStyle w:val="Hyperlink"/>
            <w:noProof/>
          </w:rPr>
          <w:t>1.</w:t>
        </w:r>
        <w:r w:rsidRPr="008A4198">
          <w:rPr>
            <w:rFonts w:ascii="Calibri" w:hAnsi="Calibri"/>
            <w:noProof/>
            <w:sz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_Toc430356857 \h </w:instrText>
        </w:r>
        <w:r>
          <w:rPr>
            <w:noProof/>
            <w:webHidden/>
          </w:rPr>
        </w:r>
        <w:r>
          <w:rPr>
            <w:noProof/>
            <w:webHidden/>
          </w:rPr>
          <w:fldChar w:fldCharType="separate"/>
        </w:r>
        <w:r w:rsidR="00546CD4">
          <w:rPr>
            <w:noProof/>
            <w:webHidden/>
          </w:rPr>
          <w:t>3</w:t>
        </w:r>
        <w:r>
          <w:rPr>
            <w:noProof/>
            <w:webHidden/>
          </w:rPr>
          <w:fldChar w:fldCharType="end"/>
        </w:r>
      </w:hyperlink>
    </w:p>
    <w:p w:rsidR="003804CE" w:rsidRPr="008A4198" w:rsidRDefault="008A4198">
      <w:pPr>
        <w:pStyle w:val="TOC1"/>
        <w:rPr>
          <w:rFonts w:ascii="Calibri" w:hAnsi="Calibri"/>
          <w:noProof/>
          <w:sz w:val="22"/>
          <w:lang w:val="en-GB" w:eastAsia="en-GB" w:bidi="ar-SA"/>
        </w:rPr>
      </w:pPr>
      <w:hyperlink w:anchor="_Toc430356858" w:history="1">
        <w:r>
          <w:rPr>
            <w:rStyle w:val="Hyperlink"/>
            <w:noProof/>
          </w:rPr>
          <w:t>2.</w:t>
        </w:r>
        <w:r w:rsidRPr="008A4198">
          <w:rPr>
            <w:rFonts w:ascii="Calibri" w:hAnsi="Calibri"/>
            <w:noProof/>
            <w:sz w:val="22"/>
            <w:lang w:val="en-GB" w:eastAsia="en-GB" w:bidi="ar-SA"/>
          </w:rPr>
          <w:tab/>
        </w:r>
        <w:r>
          <w:rPr>
            <w:rStyle w:val="Hyperlink"/>
            <w:noProof/>
          </w:rPr>
          <w:t>Нови заявления, получени през 2014 г.</w:t>
        </w:r>
        <w:r>
          <w:rPr>
            <w:noProof/>
            <w:webHidden/>
          </w:rPr>
          <w:tab/>
        </w:r>
        <w:r>
          <w:rPr>
            <w:noProof/>
            <w:webHidden/>
          </w:rPr>
          <w:fldChar w:fldCharType="begin"/>
        </w:r>
        <w:r>
          <w:rPr>
            <w:noProof/>
            <w:webHidden/>
          </w:rPr>
          <w:instrText xml:space="preserve"> PAGEREF _Toc430356858 \h </w:instrText>
        </w:r>
        <w:r>
          <w:rPr>
            <w:noProof/>
            <w:webHidden/>
          </w:rPr>
        </w:r>
        <w:r>
          <w:rPr>
            <w:noProof/>
            <w:webHidden/>
          </w:rPr>
          <w:fldChar w:fldCharType="separate"/>
        </w:r>
        <w:r w:rsidR="00546CD4">
          <w:rPr>
            <w:noProof/>
            <w:webHidden/>
          </w:rPr>
          <w:t>4</w:t>
        </w:r>
        <w:r>
          <w:rPr>
            <w:noProof/>
            <w:webHidden/>
          </w:rPr>
          <w:fldChar w:fldCharType="end"/>
        </w:r>
      </w:hyperlink>
    </w:p>
    <w:p w:rsidR="003804CE" w:rsidRPr="008A4198" w:rsidRDefault="008A4198">
      <w:pPr>
        <w:pStyle w:val="TOC1"/>
        <w:rPr>
          <w:rFonts w:ascii="Calibri" w:hAnsi="Calibri"/>
          <w:noProof/>
          <w:sz w:val="22"/>
          <w:lang w:val="en-GB" w:eastAsia="en-GB" w:bidi="ar-SA"/>
        </w:rPr>
      </w:pPr>
      <w:hyperlink w:anchor="_Toc430356859" w:history="1">
        <w:r>
          <w:rPr>
            <w:rStyle w:val="Hyperlink"/>
            <w:noProof/>
          </w:rPr>
          <w:t>3.</w:t>
        </w:r>
        <w:r w:rsidRPr="008A4198">
          <w:rPr>
            <w:rFonts w:ascii="Calibri" w:hAnsi="Calibri"/>
            <w:noProof/>
            <w:sz w:val="22"/>
            <w:lang w:val="en-GB" w:eastAsia="en-GB" w:bidi="ar-SA"/>
          </w:rPr>
          <w:tab/>
        </w:r>
        <w:r>
          <w:rPr>
            <w:rStyle w:val="Hyperlink"/>
            <w:noProof/>
          </w:rPr>
          <w:t>Финансиране</w:t>
        </w:r>
        <w:r>
          <w:rPr>
            <w:noProof/>
            <w:webHidden/>
          </w:rPr>
          <w:tab/>
        </w:r>
        <w:r>
          <w:rPr>
            <w:noProof/>
            <w:webHidden/>
          </w:rPr>
          <w:fldChar w:fldCharType="begin"/>
        </w:r>
        <w:r>
          <w:rPr>
            <w:noProof/>
            <w:webHidden/>
          </w:rPr>
          <w:instrText xml:space="preserve"> PAGEREF _Toc430356859 \h </w:instrText>
        </w:r>
        <w:r>
          <w:rPr>
            <w:noProof/>
            <w:webHidden/>
          </w:rPr>
        </w:r>
        <w:r>
          <w:rPr>
            <w:noProof/>
            <w:webHidden/>
          </w:rPr>
          <w:fldChar w:fldCharType="separate"/>
        </w:r>
        <w:r w:rsidR="00546CD4">
          <w:rPr>
            <w:noProof/>
            <w:webHidden/>
          </w:rPr>
          <w:t>9</w:t>
        </w:r>
        <w:r>
          <w:rPr>
            <w:noProof/>
            <w:webHidden/>
          </w:rPr>
          <w:fldChar w:fldCharType="end"/>
        </w:r>
      </w:hyperlink>
    </w:p>
    <w:p w:rsidR="003804CE" w:rsidRPr="008A4198" w:rsidRDefault="008A4198">
      <w:pPr>
        <w:pStyle w:val="TOC1"/>
        <w:rPr>
          <w:rFonts w:ascii="Calibri" w:hAnsi="Calibri"/>
          <w:noProof/>
          <w:sz w:val="22"/>
          <w:lang w:val="en-GB" w:eastAsia="en-GB" w:bidi="ar-SA"/>
        </w:rPr>
      </w:pPr>
      <w:hyperlink w:anchor="_Toc430356860" w:history="1">
        <w:r>
          <w:rPr>
            <w:rStyle w:val="Hyperlink"/>
            <w:noProof/>
          </w:rPr>
          <w:t>4.</w:t>
        </w:r>
        <w:r w:rsidRPr="008A4198">
          <w:rPr>
            <w:rFonts w:ascii="Calibri" w:hAnsi="Calibri"/>
            <w:noProof/>
            <w:sz w:val="22"/>
            <w:lang w:val="en-GB" w:eastAsia="en-GB" w:bidi="ar-SA"/>
          </w:rPr>
          <w:tab/>
        </w:r>
        <w:r>
          <w:rPr>
            <w:rStyle w:val="Hyperlink"/>
            <w:noProof/>
          </w:rPr>
          <w:t>Мониторинг</w:t>
        </w:r>
        <w:r>
          <w:rPr>
            <w:noProof/>
            <w:webHidden/>
          </w:rPr>
          <w:tab/>
        </w:r>
        <w:r>
          <w:rPr>
            <w:noProof/>
            <w:webHidden/>
          </w:rPr>
          <w:fldChar w:fldCharType="begin"/>
        </w:r>
        <w:r>
          <w:rPr>
            <w:noProof/>
            <w:webHidden/>
          </w:rPr>
          <w:instrText xml:space="preserve"> PAGEREF _Toc430356860 \h </w:instrText>
        </w:r>
        <w:r>
          <w:rPr>
            <w:noProof/>
            <w:webHidden/>
          </w:rPr>
        </w:r>
        <w:r>
          <w:rPr>
            <w:noProof/>
            <w:webHidden/>
          </w:rPr>
          <w:fldChar w:fldCharType="separate"/>
        </w:r>
        <w:r w:rsidR="00546CD4">
          <w:rPr>
            <w:noProof/>
            <w:webHidden/>
          </w:rPr>
          <w:t>10</w:t>
        </w:r>
        <w:r>
          <w:rPr>
            <w:noProof/>
            <w:webHidden/>
          </w:rPr>
          <w:fldChar w:fldCharType="end"/>
        </w:r>
      </w:hyperlink>
    </w:p>
    <w:p w:rsidR="003804CE" w:rsidRPr="008A4198" w:rsidRDefault="008A4198">
      <w:pPr>
        <w:pStyle w:val="TOC1"/>
        <w:rPr>
          <w:rFonts w:ascii="Calibri" w:hAnsi="Calibri"/>
          <w:noProof/>
          <w:sz w:val="22"/>
          <w:lang w:val="en-GB" w:eastAsia="en-GB" w:bidi="ar-SA"/>
        </w:rPr>
      </w:pPr>
      <w:hyperlink w:anchor="_Toc430356861" w:history="1">
        <w:r>
          <w:rPr>
            <w:rStyle w:val="Hyperlink"/>
            <w:noProof/>
          </w:rPr>
          <w:t>5.</w:t>
        </w:r>
        <w:r w:rsidRPr="008A4198">
          <w:rPr>
            <w:rFonts w:ascii="Calibri" w:hAnsi="Calibri"/>
            <w:noProof/>
            <w:sz w:val="22"/>
            <w:lang w:val="en-GB" w:eastAsia="en-GB" w:bidi="ar-SA"/>
          </w:rPr>
          <w:tab/>
        </w:r>
        <w:r>
          <w:rPr>
            <w:rStyle w:val="Hyperlink"/>
            <w:noProof/>
          </w:rPr>
          <w:t>При</w:t>
        </w:r>
        <w:bookmarkStart w:id="1" w:name="_GoBack"/>
        <w:bookmarkEnd w:id="1"/>
        <w:r>
          <w:rPr>
            <w:rStyle w:val="Hyperlink"/>
            <w:noProof/>
          </w:rPr>
          <w:t>ключени до</w:t>
        </w:r>
        <w:r>
          <w:rPr>
            <w:rStyle w:val="Hyperlink"/>
            <w:noProof/>
          </w:rPr>
          <w:t>сиета</w:t>
        </w:r>
        <w:r>
          <w:rPr>
            <w:noProof/>
            <w:webHidden/>
          </w:rPr>
          <w:tab/>
        </w:r>
        <w:r>
          <w:rPr>
            <w:noProof/>
            <w:webHidden/>
          </w:rPr>
          <w:fldChar w:fldCharType="begin"/>
        </w:r>
        <w:r>
          <w:rPr>
            <w:noProof/>
            <w:webHidden/>
          </w:rPr>
          <w:instrText xml:space="preserve"> PAGEREF _Toc430356861 \h </w:instrText>
        </w:r>
        <w:r>
          <w:rPr>
            <w:noProof/>
            <w:webHidden/>
          </w:rPr>
        </w:r>
        <w:r>
          <w:rPr>
            <w:noProof/>
            <w:webHidden/>
          </w:rPr>
          <w:fldChar w:fldCharType="separate"/>
        </w:r>
        <w:r w:rsidR="00546CD4">
          <w:rPr>
            <w:noProof/>
            <w:webHidden/>
          </w:rPr>
          <w:t>10</w:t>
        </w:r>
        <w:r>
          <w:rPr>
            <w:noProof/>
            <w:webHidden/>
          </w:rPr>
          <w:fldChar w:fldCharType="end"/>
        </w:r>
      </w:hyperlink>
    </w:p>
    <w:p w:rsidR="003804CE" w:rsidRPr="008A4198" w:rsidRDefault="008A4198">
      <w:pPr>
        <w:pStyle w:val="TOC1"/>
        <w:rPr>
          <w:rFonts w:ascii="Calibri" w:hAnsi="Calibri"/>
          <w:noProof/>
          <w:sz w:val="22"/>
          <w:lang w:val="en-GB" w:eastAsia="en-GB" w:bidi="ar-SA"/>
        </w:rPr>
      </w:pPr>
      <w:hyperlink w:anchor="_Toc430356862" w:history="1">
        <w:r>
          <w:rPr>
            <w:rStyle w:val="Hyperlink"/>
            <w:noProof/>
          </w:rPr>
          <w:t>6.</w:t>
        </w:r>
        <w:r w:rsidRPr="008A4198">
          <w:rPr>
            <w:rFonts w:ascii="Calibri" w:hAnsi="Calibri"/>
            <w:noProof/>
            <w:sz w:val="22"/>
            <w:lang w:val="en-GB" w:eastAsia="en-GB" w:bidi="ar-SA"/>
          </w:rPr>
          <w:tab/>
        </w:r>
        <w:r>
          <w:rPr>
            <w:rStyle w:val="Hyperlink"/>
            <w:noProof/>
          </w:rPr>
          <w:t>Регламент за изменение на Регламент (EО) № 2012/2002 на Съвета от 11 ноември 2002 година за създаване на фонд „Солидарн</w:t>
        </w:r>
        <w:r>
          <w:rPr>
            <w:rStyle w:val="Hyperlink"/>
            <w:noProof/>
          </w:rPr>
          <w:t>ост“ на Европейския съюз</w:t>
        </w:r>
        <w:r>
          <w:rPr>
            <w:noProof/>
            <w:webHidden/>
          </w:rPr>
          <w:tab/>
        </w:r>
        <w:r>
          <w:rPr>
            <w:noProof/>
            <w:webHidden/>
          </w:rPr>
          <w:fldChar w:fldCharType="begin"/>
        </w:r>
        <w:r>
          <w:rPr>
            <w:noProof/>
            <w:webHidden/>
          </w:rPr>
          <w:instrText xml:space="preserve"> PAGEREF _Toc430356862 \h </w:instrText>
        </w:r>
        <w:r>
          <w:rPr>
            <w:noProof/>
            <w:webHidden/>
          </w:rPr>
        </w:r>
        <w:r>
          <w:rPr>
            <w:noProof/>
            <w:webHidden/>
          </w:rPr>
          <w:fldChar w:fldCharType="separate"/>
        </w:r>
        <w:r w:rsidR="00546CD4">
          <w:rPr>
            <w:noProof/>
            <w:webHidden/>
          </w:rPr>
          <w:t>11</w:t>
        </w:r>
        <w:r>
          <w:rPr>
            <w:noProof/>
            <w:webHidden/>
          </w:rPr>
          <w:fldChar w:fldCharType="end"/>
        </w:r>
      </w:hyperlink>
    </w:p>
    <w:p w:rsidR="003804CE" w:rsidRDefault="008A4198">
      <w:pPr>
        <w:pStyle w:val="TOC1"/>
        <w:jc w:val="center"/>
        <w:rPr>
          <w:rFonts w:ascii="Calibri" w:hAnsi="Calibri"/>
          <w:b/>
          <w:bCs/>
          <w:noProof/>
          <w:sz w:val="22"/>
        </w:rPr>
        <w:sectPr w:rsidR="003804CE">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cols w:space="720"/>
          <w:docGrid w:linePitch="360"/>
        </w:sectPr>
      </w:pPr>
      <w:r>
        <w:rPr>
          <w:b/>
          <w:bCs/>
          <w:noProof/>
        </w:rPr>
        <w:fldChar w:fldCharType="end"/>
      </w:r>
    </w:p>
    <w:p w:rsidR="003804CE" w:rsidRDefault="008A4198">
      <w:pPr>
        <w:pStyle w:val="Heading1"/>
        <w:rPr>
          <w:noProof/>
        </w:rPr>
      </w:pPr>
      <w:bookmarkStart w:id="2" w:name="_Toc430356857"/>
      <w:r>
        <w:rPr>
          <w:noProof/>
        </w:rPr>
        <w:lastRenderedPageBreak/>
        <w:t>Въведение</w:t>
      </w:r>
      <w:bookmarkEnd w:id="2"/>
    </w:p>
    <w:p w:rsidR="003804CE" w:rsidRDefault="008A4198">
      <w:pPr>
        <w:pStyle w:val="Text1"/>
        <w:ind w:left="851"/>
        <w:rPr>
          <w:noProof/>
        </w:rPr>
      </w:pPr>
      <w:r>
        <w:rPr>
          <w:noProof/>
        </w:rPr>
        <w:t xml:space="preserve">Съгласно Регламент (ЕО) № 2012/2002 на </w:t>
      </w:r>
      <w:r>
        <w:rPr>
          <w:noProof/>
        </w:rPr>
        <w:t>Съвета от 11 ноември 2002 г. за създаване на фонд „Солидарност“ на Европейския съюз</w:t>
      </w:r>
      <w:r>
        <w:rPr>
          <w:rStyle w:val="FootnoteReference"/>
          <w:noProof/>
        </w:rPr>
        <w:footnoteReference w:id="1"/>
      </w:r>
      <w:r>
        <w:rPr>
          <w:noProof/>
        </w:rPr>
        <w:t xml:space="preserve"> (наричан по-долу „Регламента“) Европейският парламент и Съветът трябва ежегодно да получават доклад за дейността на фонда за предходната година. Настоящият доклад представ</w:t>
      </w:r>
      <w:r>
        <w:rPr>
          <w:noProof/>
        </w:rPr>
        <w:t>я дейността на фонд „Солидарност“ на ЕС („ФСЕС“) през 2014 г., включваща обработката на нови заявления и оценката на докладите за усвояването на помощта с оглед подготовката за финансовото им приключване. Освен това в него се разглежда регламентът за измен</w:t>
      </w:r>
      <w:r>
        <w:rPr>
          <w:noProof/>
        </w:rPr>
        <w:t>ение на Регламента за фонд „Солидарност“, който беше приет през юни 2014 г.</w:t>
      </w:r>
      <w:r>
        <w:rPr>
          <w:noProof/>
          <w:vertAlign w:val="superscript"/>
        </w:rPr>
        <w:footnoteReference w:id="2"/>
      </w:r>
    </w:p>
    <w:p w:rsidR="003804CE" w:rsidRDefault="008A4198">
      <w:pPr>
        <w:pStyle w:val="Text1"/>
        <w:ind w:left="851"/>
        <w:rPr>
          <w:noProof/>
        </w:rPr>
      </w:pPr>
      <w:r>
        <w:rPr>
          <w:noProof/>
        </w:rPr>
        <w:t xml:space="preserve">През 2014 г. Комисията получи </w:t>
      </w:r>
      <w:r>
        <w:rPr>
          <w:b/>
          <w:noProof/>
        </w:rPr>
        <w:t>тринадесет нови заявления</w:t>
      </w:r>
      <w:r>
        <w:rPr>
          <w:noProof/>
        </w:rPr>
        <w:t xml:space="preserve"> за помощ от ФСЕС, което е над средния брой на постъпилите заявления. По-конкретно, тези заявления бяха свързани с внезапни </w:t>
      </w:r>
      <w:r>
        <w:rPr>
          <w:noProof/>
        </w:rPr>
        <w:t>наводнения в Сардиния/Италия, циклона Bejisa/Франция, земетресение на остров Кефалония/Гърция, ледена буря в Словения, ледена буря и наводнения, както и пролетни наводнения в Хърватия, сурова зима в Румъния, наводнения в Сърбия, пролетни и летни наводнения</w:t>
      </w:r>
      <w:r>
        <w:rPr>
          <w:noProof/>
        </w:rPr>
        <w:t xml:space="preserve"> в Румъния, пролетни и летни наводнения в България и есенни наводнения в Италия. </w:t>
      </w:r>
    </w:p>
    <w:p w:rsidR="003804CE" w:rsidRDefault="008A4198">
      <w:pPr>
        <w:pStyle w:val="Text1"/>
        <w:ind w:left="851"/>
        <w:rPr>
          <w:noProof/>
        </w:rPr>
      </w:pPr>
      <w:r>
        <w:rPr>
          <w:noProof/>
        </w:rPr>
        <w:t>Комисията прие седем от тези заявления, отхвърли две, а оценките за четири заявления бяха завършени едва през 2015 г.</w:t>
      </w:r>
      <w:r>
        <w:rPr>
          <w:rStyle w:val="FootnoteReference"/>
          <w:noProof/>
        </w:rPr>
        <w:footnoteReference w:id="3"/>
      </w:r>
      <w:r>
        <w:rPr>
          <w:noProof/>
        </w:rPr>
        <w:t xml:space="preserve"> </w:t>
      </w:r>
    </w:p>
    <w:p w:rsidR="003804CE" w:rsidRDefault="008A4198">
      <w:pPr>
        <w:pStyle w:val="Text1"/>
        <w:ind w:left="851"/>
        <w:rPr>
          <w:noProof/>
        </w:rPr>
      </w:pPr>
      <w:r>
        <w:rPr>
          <w:noProof/>
        </w:rPr>
        <w:t xml:space="preserve">Във финансово изражение през 2014 г. Комисията одобри </w:t>
      </w:r>
      <w:r>
        <w:rPr>
          <w:noProof/>
        </w:rPr>
        <w:t xml:space="preserve">отпускането на помощ от ФСЕС в размер на общо 126,725 млн. евро; подробностите са описани в глава 3 „Финансиране“. </w:t>
      </w:r>
    </w:p>
    <w:p w:rsidR="003804CE" w:rsidRDefault="008A4198">
      <w:pPr>
        <w:pStyle w:val="Text1"/>
        <w:ind w:left="851"/>
        <w:rPr>
          <w:noProof/>
        </w:rPr>
      </w:pPr>
      <w:r>
        <w:rPr>
          <w:noProof/>
        </w:rPr>
        <w:t>По-конкретно за наводненията в Германия, Австрия и Чешката република през 2013 г., за сушата и пожарите в Румъния и за наводненията в Хърват</w:t>
      </w:r>
      <w:r>
        <w:rPr>
          <w:noProof/>
        </w:rPr>
        <w:t>ия през 2012 г. беше изплатена помощ на обща стойност 400,806 млн. евро.</w:t>
      </w:r>
    </w:p>
    <w:p w:rsidR="003804CE" w:rsidRDefault="008A4198">
      <w:pPr>
        <w:pStyle w:val="Text1"/>
        <w:rPr>
          <w:noProof/>
        </w:rPr>
      </w:pPr>
      <w:r>
        <w:rPr>
          <w:noProof/>
        </w:rPr>
        <w:t>В приложения от 1 до 4 са представени приложимите за 2014 г. прагове за задействане на Фонда, както и обобщение на получените заявления и пълен списък на заявленията, разгледани от 20</w:t>
      </w:r>
      <w:r>
        <w:rPr>
          <w:noProof/>
        </w:rPr>
        <w:t>02 г. насам.</w:t>
      </w:r>
    </w:p>
    <w:p w:rsidR="003804CE" w:rsidRDefault="008A4198">
      <w:pPr>
        <w:pStyle w:val="Heading1"/>
        <w:rPr>
          <w:noProof/>
        </w:rPr>
      </w:pPr>
      <w:r>
        <w:rPr>
          <w:noProof/>
        </w:rPr>
        <w:br w:type="page"/>
      </w:r>
      <w:bookmarkStart w:id="3" w:name="_Toc430356858"/>
      <w:r>
        <w:rPr>
          <w:noProof/>
        </w:rPr>
        <w:lastRenderedPageBreak/>
        <w:t>Нови заявления, получени през 2014 г.</w:t>
      </w:r>
      <w:bookmarkEnd w:id="3"/>
    </w:p>
    <w:p w:rsidR="003804CE" w:rsidRDefault="008A4198">
      <w:pPr>
        <w:pStyle w:val="Text1"/>
        <w:ind w:left="851"/>
        <w:rPr>
          <w:noProof/>
        </w:rPr>
      </w:pPr>
      <w:r>
        <w:rPr>
          <w:noProof/>
        </w:rPr>
        <w:t>През 2014 г. Комисията получи тринадесет нови заявления. След влизането в сила на преработения Регламент относно фонд „Солидарност“ през юни 2014 г. оценките на шест заявления, получени преди тази дата, б</w:t>
      </w:r>
      <w:r>
        <w:rPr>
          <w:noProof/>
        </w:rPr>
        <w:t>яха направени съобразно разпоредбите на стария регламент относно фонд „Солидарност“. Заявленията, получени след юни 2014 г., бяха оценявани в съответствие с разпоредбите на преразгледания Регламент относно фонд „Солидарност“. Най-важната информация по тези</w:t>
      </w:r>
      <w:r>
        <w:rPr>
          <w:noProof/>
        </w:rPr>
        <w:t xml:space="preserve"> нови заявления е обобщена по-долу.</w:t>
      </w:r>
    </w:p>
    <w:p w:rsidR="003804CE" w:rsidRDefault="008A4198">
      <w:pPr>
        <w:pStyle w:val="Text1"/>
        <w:ind w:left="851"/>
        <w:rPr>
          <w:b/>
          <w:i/>
          <w:noProof/>
        </w:rPr>
      </w:pPr>
      <w:r>
        <w:rPr>
          <w:b/>
          <w:i/>
          <w:noProof/>
        </w:rPr>
        <w:t>Заявления, получени преди юни 2014 г. (по стария Регламент относно фонд „Солидарност“):</w:t>
      </w:r>
    </w:p>
    <w:p w:rsidR="003804CE" w:rsidRDefault="008A4198">
      <w:pPr>
        <w:pStyle w:val="Text1"/>
        <w:spacing w:before="360"/>
        <w:ind w:left="851"/>
        <w:rPr>
          <w:b/>
          <w:noProof/>
        </w:rPr>
      </w:pPr>
      <w:r>
        <w:rPr>
          <w:b/>
          <w:noProof/>
        </w:rPr>
        <w:t>ИТАЛИЯ — наводнения в Сардиния</w:t>
      </w:r>
    </w:p>
    <w:p w:rsidR="003804CE" w:rsidRDefault="008A4198">
      <w:pPr>
        <w:pStyle w:val="Text1"/>
        <w:ind w:left="851"/>
        <w:rPr>
          <w:noProof/>
        </w:rPr>
      </w:pPr>
      <w:r>
        <w:rPr>
          <w:noProof/>
        </w:rPr>
        <w:t xml:space="preserve">На 18 и 19 ноември 2013 г. обширни части от Сардиния бяха засегнати от изключително обилни валежи. В </w:t>
      </w:r>
      <w:r>
        <w:rPr>
          <w:noProof/>
        </w:rPr>
        <w:t>резултат на бързо излялото се огромно количество дъжд много реки преляха, причинявайки наводнения и свлачища. Бедствието причини значителни щети на жилищни домове, фирми и селското стопанство и прекъсна основни транспортни връзки и мрежи на публичната инфр</w:t>
      </w:r>
      <w:r>
        <w:rPr>
          <w:noProof/>
        </w:rPr>
        <w:t>аструктура. Италия докладва за 16 жертви, над 1 700 разселени лица и един изчезнал. Бе задействана услугата за управление на извънредни ситуации по програма „Коперник“.</w:t>
      </w:r>
    </w:p>
    <w:p w:rsidR="003804CE" w:rsidRDefault="008A4198">
      <w:pPr>
        <w:pStyle w:val="Text1"/>
        <w:ind w:left="851"/>
        <w:rPr>
          <w:noProof/>
        </w:rPr>
      </w:pPr>
      <w:r>
        <w:rPr>
          <w:noProof/>
        </w:rPr>
        <w:t>На 24 януари 2014 г. Комисията получи заявление за финансова помощ от фонд „Солидарност</w:t>
      </w:r>
      <w:r>
        <w:rPr>
          <w:noProof/>
        </w:rPr>
        <w:t xml:space="preserve">“ на Европейския съюз в рамките на 10-седмичния срок. Италианските власти оцениха общия размер на преките щети на 652,419 млн. евро. Тази сума представлява 17,4 % от прага за големи бедствия в размер на 3,752 млрд. евро, приложим за Италия през 2014 г. за </w:t>
      </w:r>
      <w:r>
        <w:rPr>
          <w:noProof/>
        </w:rPr>
        <w:t>мобилизиране на средства от фонд „Солидарност“(т.е. 3 млрд. евро по цени от 2002 г.). Италия предостави подробна разбивка на нанесените щети. С най-голям дял са щетите в областта на пътната и транспортната инфраструктура —156,522 млн. евро, в областта на х</w:t>
      </w:r>
      <w:r>
        <w:rPr>
          <w:noProof/>
        </w:rPr>
        <w:t xml:space="preserve">идравличните и водоснабдителните мрежи —224,621 млн. евро и щетите, нанесени на обществени сгради — в размер на 40,567 млн. евро. Общата сума на нанесените щети на частна собственост възлиза на 38,328 млн. евро. </w:t>
      </w:r>
    </w:p>
    <w:p w:rsidR="003804CE" w:rsidRDefault="008A4198">
      <w:pPr>
        <w:pStyle w:val="Text1"/>
        <w:ind w:left="851"/>
        <w:rPr>
          <w:noProof/>
        </w:rPr>
      </w:pPr>
      <w:r>
        <w:rPr>
          <w:noProof/>
        </w:rPr>
        <w:t>Тъй като общият размер на щетите е под праг</w:t>
      </w:r>
      <w:r>
        <w:rPr>
          <w:noProof/>
        </w:rPr>
        <w:t>а за голямо бедствие, бедствието не се квалифицира като „голямо природно бедствие“. То обаче се счита за „изключително регионално бедствие“ и беше прието от Комисията на 27 август 2014 г. Продължителните преговори със Съвета и Европейския парламент за съот</w:t>
      </w:r>
      <w:r>
        <w:rPr>
          <w:noProof/>
        </w:rPr>
        <w:t>ветен коригиращ бюджет завършиха едва на 17 декември 2014 г., което доведе до необходимостта от пренасяне на бюджетни кредити за 2015 г. в размер на 16 310 467 евро (вж. глава 3). Финансовата помощ от фонд „Солидарност“ беше изплатена на 7 април 2015 г.</w:t>
      </w:r>
    </w:p>
    <w:p w:rsidR="003804CE" w:rsidRDefault="008A4198">
      <w:pPr>
        <w:pStyle w:val="Text1"/>
        <w:spacing w:before="360"/>
        <w:ind w:left="851"/>
        <w:rPr>
          <w:b/>
          <w:noProof/>
        </w:rPr>
      </w:pPr>
      <w:r>
        <w:rPr>
          <w:b/>
          <w:noProof/>
        </w:rPr>
        <w:t>ФР</w:t>
      </w:r>
      <w:r>
        <w:rPr>
          <w:b/>
          <w:noProof/>
        </w:rPr>
        <w:t>АНЦИЯ — циклон Bejisa (Ла Реюнион)</w:t>
      </w:r>
    </w:p>
    <w:p w:rsidR="003804CE" w:rsidRDefault="008A4198">
      <w:pPr>
        <w:pStyle w:val="Text1"/>
        <w:ind w:left="851"/>
        <w:rPr>
          <w:noProof/>
        </w:rPr>
      </w:pPr>
      <w:r>
        <w:rPr>
          <w:noProof/>
        </w:rPr>
        <w:t>В началото на януари 2014 г. тропическият циклон „Bejisa“ порази остров Ла Реюнион, като причини щети на основната инфраструктура и на няколко икономически отрасли.</w:t>
      </w:r>
    </w:p>
    <w:p w:rsidR="003804CE" w:rsidRDefault="008A4198">
      <w:pPr>
        <w:pStyle w:val="Text1"/>
        <w:ind w:left="851"/>
        <w:rPr>
          <w:noProof/>
        </w:rPr>
      </w:pPr>
      <w:r>
        <w:rPr>
          <w:noProof/>
        </w:rPr>
        <w:lastRenderedPageBreak/>
        <w:t xml:space="preserve">Франция подаде заявление пред Комисията на 11 март 2014 </w:t>
      </w:r>
      <w:r>
        <w:rPr>
          <w:noProof/>
        </w:rPr>
        <w:t xml:space="preserve">г. в рамките на 10-седмичния срок след първите регистрирани щети на 2 януари 2014 г. </w:t>
      </w:r>
    </w:p>
    <w:p w:rsidR="003804CE" w:rsidRDefault="008A4198">
      <w:pPr>
        <w:pStyle w:val="Text1"/>
        <w:ind w:left="851"/>
        <w:rPr>
          <w:noProof/>
        </w:rPr>
      </w:pPr>
      <w:r>
        <w:rPr>
          <w:noProof/>
        </w:rPr>
        <w:t>Френските власти оцениха общия размер на преките щети на 114,800 млн. евро. Тази сума представлява 3,1 % от прага за големи бедствия в размер на 3,752 млрд. евро, приложи</w:t>
      </w:r>
      <w:r>
        <w:rPr>
          <w:noProof/>
        </w:rPr>
        <w:t>м за Франция през 2014 г. за мобилизиране на фонд „Солидарност“, т.е. 3 млрд. евро по цени от 2002 г.). С най-голям дял са щетите в селското стопанство — в размер на 49 млн. евро, щетите за частните домакинства — 35 млн. евро и щетите на публичната собстве</w:t>
      </w:r>
      <w:r>
        <w:rPr>
          <w:noProof/>
        </w:rPr>
        <w:t>ност — 19 млн. евро. Тъй като общият размер на преките щети е под прага за голямо бедствие за мобилизиране на фонд „Солидарност“, заявлението беше разгледано въз основа на критериите за „изключителни регионални бедствия“ — както е посочено в Регламента, ко</w:t>
      </w:r>
      <w:r>
        <w:rPr>
          <w:noProof/>
        </w:rPr>
        <w:t>йто предвижда условията за мобилизиране на фонд „Солидарност“ „при изключителни обстоятелства“. Според оценката на Комисията обаче заявлението на Франция не отговаряше на заложените в регламента критерии за изключителни регионални бедствия, тъй като страна</w:t>
      </w:r>
      <w:r>
        <w:rPr>
          <w:noProof/>
        </w:rPr>
        <w:t>та не представи доказателства за сериозни и трайни последици за условията на живот на населението и за икономическата стабилност на засегнатия регион. На 27 август 2014 г. Комисията реши да отхвърли заявлението, тъй като не можеше да се приеме, че се отнас</w:t>
      </w:r>
      <w:r>
        <w:rPr>
          <w:noProof/>
        </w:rPr>
        <w:t>я до изключително бедствие по смисъла на регламента. Френските власти бяха информирани за това решение.</w:t>
      </w:r>
    </w:p>
    <w:p w:rsidR="003804CE" w:rsidRDefault="008A4198">
      <w:pPr>
        <w:pStyle w:val="Text1"/>
        <w:spacing w:before="360"/>
        <w:ind w:left="851"/>
        <w:rPr>
          <w:b/>
          <w:noProof/>
        </w:rPr>
      </w:pPr>
      <w:r>
        <w:rPr>
          <w:b/>
          <w:noProof/>
        </w:rPr>
        <w:t>ГЪРЦИЯ — земетресение в Кефалония</w:t>
      </w:r>
    </w:p>
    <w:p w:rsidR="003804CE" w:rsidRDefault="008A4198">
      <w:pPr>
        <w:pStyle w:val="Text1"/>
        <w:ind w:left="851"/>
        <w:rPr>
          <w:noProof/>
        </w:rPr>
      </w:pPr>
      <w:r>
        <w:rPr>
          <w:noProof/>
        </w:rPr>
        <w:t>На 26 януари 2014 г. голямо земетресение с магнитуд от 5,8 по скалата на Рихтер с епицентър 6,7 км североизточно от Ar</w:t>
      </w:r>
      <w:r>
        <w:rPr>
          <w:noProof/>
        </w:rPr>
        <w:t>gostolion разтърси остров Кефалония. Земетресението бе усетено и на островите в Йонийско море на цялата територия на Гърция. Имаше и десетина сериозни вторични труса. Земетресенията се отразиха сериозно на социалната и икономическата структура на засегнати</w:t>
      </w:r>
      <w:r>
        <w:rPr>
          <w:noProof/>
        </w:rPr>
        <w:t xml:space="preserve">те области, особено на остров Кефалония, както и на околната среда и инфраструктурата. </w:t>
      </w:r>
    </w:p>
    <w:p w:rsidR="003804CE" w:rsidRDefault="008A4198">
      <w:pPr>
        <w:pStyle w:val="Text1"/>
        <w:ind w:left="851"/>
        <w:rPr>
          <w:noProof/>
        </w:rPr>
      </w:pPr>
      <w:r>
        <w:rPr>
          <w:noProof/>
        </w:rPr>
        <w:t xml:space="preserve">Заявлението на Гърция беше получено от Комисията на 28 март 2014 г. в рамките на 10-седмичния срок след регистрирането на първата щета на 26 януари 2014 г. </w:t>
      </w:r>
    </w:p>
    <w:p w:rsidR="003804CE" w:rsidRDefault="008A4198">
      <w:pPr>
        <w:pStyle w:val="Text1"/>
        <w:ind w:left="851"/>
        <w:rPr>
          <w:noProof/>
        </w:rPr>
      </w:pPr>
      <w:r>
        <w:rPr>
          <w:noProof/>
        </w:rPr>
        <w:t xml:space="preserve">Гръцките власти оцениха общите преки щети на 147,333 милиона евро. Тази сума представлява 12,61 % от прага за големи бедствия в размер на 1,168 млрд. евро, приложим за Гърция през 2014 г. за мобилизиране на средства от фонд „Солидарност“(т.е. 0,6 % от БНД </w:t>
      </w:r>
      <w:r>
        <w:rPr>
          <w:noProof/>
        </w:rPr>
        <w:t xml:space="preserve">по цени от 2012 г.). Най-големите разходи са свързани с щетите на пътната мрежа в размер на 50 млн. евро. </w:t>
      </w:r>
    </w:p>
    <w:p w:rsidR="003804CE" w:rsidRDefault="008A4198">
      <w:pPr>
        <w:pStyle w:val="Text1"/>
        <w:spacing w:after="840"/>
        <w:ind w:left="851"/>
        <w:rPr>
          <w:noProof/>
        </w:rPr>
      </w:pPr>
      <w:r>
        <w:rPr>
          <w:noProof/>
        </w:rPr>
        <w:t xml:space="preserve">Гръцките власти подадоха заявлението въз основа на критериите за „изключителни регионални бедствия“ — както е посочено в Регламента, който предвижда </w:t>
      </w:r>
      <w:r>
        <w:rPr>
          <w:noProof/>
        </w:rPr>
        <w:t>условията за мобилизиране на фонд „Солидарност“ „при изключителни обстоятелства“. На 27 август 2014 г. Комисията стигна до заключението, че това бедствие отговаря на критериите за изключително регионално бедствие и предложи мобилизиране на средства от Фонд</w:t>
      </w:r>
      <w:r>
        <w:rPr>
          <w:noProof/>
        </w:rPr>
        <w:t>а. На 8 април 2015 г. бе изплатена финансова помощ от Фонда в размер на 3 683 320 евро.</w:t>
      </w:r>
    </w:p>
    <w:p w:rsidR="003804CE" w:rsidRDefault="008A4198">
      <w:pPr>
        <w:pStyle w:val="Text1"/>
        <w:spacing w:before="360"/>
        <w:ind w:left="851"/>
        <w:rPr>
          <w:b/>
          <w:noProof/>
        </w:rPr>
      </w:pPr>
      <w:r>
        <w:rPr>
          <w:b/>
          <w:noProof/>
        </w:rPr>
        <w:lastRenderedPageBreak/>
        <w:t>СЛОВЕНИЯ— ледени бури</w:t>
      </w:r>
    </w:p>
    <w:p w:rsidR="003804CE" w:rsidRDefault="008A4198">
      <w:pPr>
        <w:pStyle w:val="Text1"/>
        <w:ind w:left="851"/>
        <w:rPr>
          <w:noProof/>
        </w:rPr>
      </w:pPr>
      <w:r>
        <w:rPr>
          <w:noProof/>
        </w:rPr>
        <w:t>В края на януари 2014 г. станахме свидетели на едни от най-тежките ледени бури за последните десетилетия, които засегнаха няколко европейски държа</w:t>
      </w:r>
      <w:r>
        <w:rPr>
          <w:noProof/>
        </w:rPr>
        <w:t>ви, сред които Словения, Хърватия, Сърбия, Румъния и България. В алпийска Словения почти половината гори бяха засегнати от леден дъжд, а всяко четвърто домакинство остана без електричество, тъй като тежките снеговалежи повредиха електропроводи и повалиха д</w:t>
      </w:r>
      <w:r>
        <w:rPr>
          <w:noProof/>
        </w:rPr>
        <w:t>ървета. Малко след ледената буря някои словенски райони трябваше да се борят с прииждащите води.</w:t>
      </w:r>
    </w:p>
    <w:p w:rsidR="003804CE" w:rsidRDefault="008A4198">
      <w:pPr>
        <w:pStyle w:val="Text1"/>
        <w:ind w:left="851"/>
        <w:rPr>
          <w:noProof/>
        </w:rPr>
      </w:pPr>
      <w:r>
        <w:rPr>
          <w:noProof/>
        </w:rPr>
        <w:t xml:space="preserve">Заявлението на Словения беше получено от Комисията на 4 април 2014 г. в рамките на 10-седмичния срок от регистрирането на  първите щети  на 30 януари 2014 г. </w:t>
      </w:r>
    </w:p>
    <w:p w:rsidR="003804CE" w:rsidRDefault="008A4198">
      <w:pPr>
        <w:pStyle w:val="Text1"/>
        <w:ind w:left="851"/>
        <w:rPr>
          <w:noProof/>
        </w:rPr>
      </w:pPr>
      <w:r>
        <w:rPr>
          <w:noProof/>
        </w:rPr>
        <w:t>Словенските власти оцениха преките щети, нанесени от бедствието, на 428 734 млн. евро. Тази сума представлява 1,23 % от БНД на Словения и надвишава многократно прага за мобилизиране на средства от ФСЕС в размер на 209,587 млн. евро, приложим за Словения пр</w:t>
      </w:r>
      <w:r>
        <w:rPr>
          <w:noProof/>
        </w:rPr>
        <w:t xml:space="preserve">ез 2014 г. (т.е. 0,6 % от БНД въз основа на данни от 2012 г.). Бедствието беше квалифицирано като „голямо природно бедствие“ и на 27 август 2014 г. Комисията прие подаденото от Словения заявление. На 8 април 2015 г. бе изплатена финансова помощ от Фонда в </w:t>
      </w:r>
      <w:r>
        <w:rPr>
          <w:noProof/>
        </w:rPr>
        <w:t>размер на 18 388 478 евро.</w:t>
      </w:r>
    </w:p>
    <w:p w:rsidR="003804CE" w:rsidRDefault="008A4198">
      <w:pPr>
        <w:pStyle w:val="Text1"/>
        <w:spacing w:before="360"/>
        <w:ind w:left="851"/>
        <w:rPr>
          <w:b/>
          <w:noProof/>
        </w:rPr>
      </w:pPr>
      <w:r>
        <w:rPr>
          <w:b/>
          <w:noProof/>
        </w:rPr>
        <w:t xml:space="preserve">ХЪРВАТИЯ — лед и наводнения </w:t>
      </w:r>
    </w:p>
    <w:p w:rsidR="003804CE" w:rsidRDefault="008A4198">
      <w:pPr>
        <w:pStyle w:val="Text1"/>
        <w:ind w:left="851"/>
        <w:rPr>
          <w:noProof/>
        </w:rPr>
      </w:pPr>
      <w:r>
        <w:rPr>
          <w:noProof/>
        </w:rPr>
        <w:t>Метеорологичните условия, накарали Словения да подаде заявление за помощ от ФСЕС, засегнаха и Хърватия в началото на февруари 2014 г. Засегнати бяха по-специално северозападните райони и северната час</w:t>
      </w:r>
      <w:r>
        <w:rPr>
          <w:noProof/>
        </w:rPr>
        <w:t>т на Адриатическото крайбрежие. Освен това след 12 февруари топенето на леда и снега предизвика наводнения, които причиниха допълнителни щети на важни основни публични инфраструктурни съоръжения, както и на частна и обществена собственост.</w:t>
      </w:r>
    </w:p>
    <w:p w:rsidR="003804CE" w:rsidRDefault="008A4198">
      <w:pPr>
        <w:pStyle w:val="Text1"/>
        <w:ind w:left="851"/>
        <w:rPr>
          <w:noProof/>
        </w:rPr>
      </w:pPr>
      <w:r>
        <w:rPr>
          <w:noProof/>
        </w:rPr>
        <w:t>Впоследствие Хър</w:t>
      </w:r>
      <w:r>
        <w:rPr>
          <w:noProof/>
        </w:rPr>
        <w:t xml:space="preserve">ватия реши да подаде заявление за финансова помощ от фонд „Солидарност“ на ЕС. Заявлението беше получено от Комисията на 9 април 2014 г. в рамките на 10-седмичния срок след регистрирането на първата щета на 31 януари 2014 г. </w:t>
      </w:r>
    </w:p>
    <w:p w:rsidR="003804CE" w:rsidRDefault="008A4198">
      <w:pPr>
        <w:pStyle w:val="Text1"/>
        <w:ind w:left="851"/>
        <w:rPr>
          <w:noProof/>
        </w:rPr>
      </w:pPr>
      <w:r>
        <w:rPr>
          <w:noProof/>
        </w:rPr>
        <w:t>Хърватските власти оцениха пре</w:t>
      </w:r>
      <w:r>
        <w:rPr>
          <w:noProof/>
        </w:rPr>
        <w:t xml:space="preserve">ките щети, нанесени от бедствието, на 291,905 млн. евро. Тази сума представлява 0,69 % от БНД на Хърватия и надвишава прага за големи бедствия за мобилизиране на средства от ФСЕС в размер на 254,229 млн. евро, приложим за Хърватия през 2014 г. (т.е. 0,6 % </w:t>
      </w:r>
      <w:r>
        <w:rPr>
          <w:noProof/>
        </w:rPr>
        <w:t>от БНД въз основа на данни от 2012 г.). Тъй като оценката на общите преки щети надвишава прага за голямо бедствие, бедствието беше квалифицирано като „голямо природно бедствие“. Комисията одобри заявлението на 27 август 2014 г. На 8 април 2015 г. бе изплат</w:t>
      </w:r>
      <w:r>
        <w:rPr>
          <w:noProof/>
        </w:rPr>
        <w:t>ена финансова помощ от Фонда в размер на 8 616 263 евро.</w:t>
      </w:r>
    </w:p>
    <w:p w:rsidR="003804CE" w:rsidRDefault="008A4198">
      <w:pPr>
        <w:pStyle w:val="Text1"/>
        <w:spacing w:before="360"/>
        <w:ind w:left="851"/>
        <w:rPr>
          <w:b/>
          <w:noProof/>
        </w:rPr>
      </w:pPr>
      <w:r>
        <w:rPr>
          <w:b/>
          <w:noProof/>
        </w:rPr>
        <w:t>РУМЪНИЯ — извънредни зимни условия</w:t>
      </w:r>
    </w:p>
    <w:p w:rsidR="003804CE" w:rsidRDefault="008A4198">
      <w:pPr>
        <w:pStyle w:val="Text1"/>
        <w:ind w:left="851"/>
        <w:rPr>
          <w:noProof/>
        </w:rPr>
      </w:pPr>
      <w:r>
        <w:rPr>
          <w:noProof/>
        </w:rPr>
        <w:t>В края на януари и началото на февруари 2014 г. Румъния, и по-специално нейните югоизточни части, бяха изправени пред тежки зимни условия със сняг, лед и ниски темп</w:t>
      </w:r>
      <w:r>
        <w:rPr>
          <w:noProof/>
        </w:rPr>
        <w:t xml:space="preserve">ератури, които причиниха щети на пътната мрежа, селското стопанство и публичната и частната собственост. </w:t>
      </w:r>
    </w:p>
    <w:p w:rsidR="003804CE" w:rsidRDefault="008A4198">
      <w:pPr>
        <w:pStyle w:val="Text1"/>
        <w:ind w:left="851"/>
        <w:rPr>
          <w:noProof/>
        </w:rPr>
      </w:pPr>
      <w:r>
        <w:rPr>
          <w:noProof/>
        </w:rPr>
        <w:lastRenderedPageBreak/>
        <w:t xml:space="preserve">Румъния подаде заявление пред Комисията на 4 април 2014 г. в рамките на 10-седмичния срок след първите регистрирани щети на 24 януари 2014 г. </w:t>
      </w:r>
    </w:p>
    <w:p w:rsidR="003804CE" w:rsidRDefault="008A4198">
      <w:pPr>
        <w:pStyle w:val="Text1"/>
        <w:ind w:left="851"/>
        <w:rPr>
          <w:noProof/>
        </w:rPr>
      </w:pPr>
      <w:r>
        <w:rPr>
          <w:noProof/>
        </w:rPr>
        <w:t>Румънск</w:t>
      </w:r>
      <w:r>
        <w:rPr>
          <w:noProof/>
        </w:rPr>
        <w:t>ите власти оцениха общите преки щети на 327,897 млн. евро. В тази сума обаче делът на косвените щети е много голям. Те бяха изключени от оценката на общите преки щети. Така преразгледаната сума общите преки щети стана 27,897 млн. евро. Тя представлява 3,6 </w:t>
      </w:r>
      <w:r>
        <w:rPr>
          <w:noProof/>
        </w:rPr>
        <w:t>% от прага за голямо бедствие за мобилизиране на средства от ФСЕС, приложим за Румъния през 2014 г., който е 783,738 млн. евро (т.е. 0,6 % от БНД въз основа на данни за 2012 г.). Тъй като общите преки щети са под прага за голямо бедствие за мобилизиране на</w:t>
      </w:r>
      <w:r>
        <w:rPr>
          <w:noProof/>
        </w:rPr>
        <w:t xml:space="preserve"> фонд „Солидарност“, заявлението беше разгледано въз основа на критериите за „изключителни регионални бедствия“, както е посочено в Регламента. Комисията стигна до заключението, че по отношение на заявлението, подадено от Румъния, не може да се приеме, че </w:t>
      </w:r>
      <w:r>
        <w:rPr>
          <w:noProof/>
        </w:rPr>
        <w:t>то се отнася до изключително бедствие по смисъла на Регламента и отхвърли заявлението на 27 август 2014 г. Румънските власти бяха информирани за това решение.</w:t>
      </w:r>
    </w:p>
    <w:p w:rsidR="003804CE" w:rsidRDefault="008A4198">
      <w:pPr>
        <w:pStyle w:val="Text1"/>
        <w:ind w:left="851"/>
        <w:rPr>
          <w:b/>
          <w:i/>
          <w:noProof/>
        </w:rPr>
      </w:pPr>
      <w:r>
        <w:rPr>
          <w:noProof/>
        </w:rPr>
        <w:br w:type="page"/>
      </w:r>
      <w:r>
        <w:rPr>
          <w:b/>
          <w:i/>
          <w:noProof/>
        </w:rPr>
        <w:lastRenderedPageBreak/>
        <w:t>Заявления, получени след юни 2014 г. (по действащия Регламент относно фонд „Солидарност“):</w:t>
      </w:r>
    </w:p>
    <w:p w:rsidR="003804CE" w:rsidRDefault="008A4198">
      <w:pPr>
        <w:pStyle w:val="Text1"/>
        <w:spacing w:before="360"/>
        <w:ind w:left="851"/>
        <w:rPr>
          <w:b/>
          <w:noProof/>
        </w:rPr>
      </w:pPr>
      <w:r>
        <w:rPr>
          <w:b/>
          <w:noProof/>
        </w:rPr>
        <w:t>СЪРБИ</w:t>
      </w:r>
      <w:r>
        <w:rPr>
          <w:b/>
          <w:noProof/>
        </w:rPr>
        <w:t>Я — наводнения</w:t>
      </w:r>
    </w:p>
    <w:p w:rsidR="003804CE" w:rsidRDefault="008A4198">
      <w:pPr>
        <w:pStyle w:val="Text1"/>
        <w:ind w:left="851"/>
        <w:rPr>
          <w:noProof/>
        </w:rPr>
      </w:pPr>
      <w:r>
        <w:rPr>
          <w:noProof/>
        </w:rPr>
        <w:t>През май 2014 г. големи райони в Сърбия станаха жертва на едни от най-тежките наводнения от много време насам. Те предизвикаха масови разрушения на обществена и частна инфраструктура и нанесоха щети на стотици хиляди домакинства. Тъй като пр</w:t>
      </w:r>
      <w:r>
        <w:rPr>
          <w:noProof/>
        </w:rPr>
        <w:t xml:space="preserve">еговорите за присъединяване на Сърбия започнаха официално преди наводненията, Сърбия отговаря на условията по смисъла на член 2, параграф 1 от Регламента. Сърбия подаде заявление пред Комисията на 30 юли 2014 г. в рамките на 12-седмичния срок след първите </w:t>
      </w:r>
      <w:r>
        <w:rPr>
          <w:noProof/>
        </w:rPr>
        <w:t>регистрирани щети на 14 май 2014 г. Информацията беше актуализирана на 18 август 2014 г.</w:t>
      </w:r>
    </w:p>
    <w:p w:rsidR="003804CE" w:rsidRDefault="008A4198">
      <w:pPr>
        <w:pStyle w:val="Text1"/>
        <w:ind w:left="851"/>
        <w:rPr>
          <w:noProof/>
        </w:rPr>
      </w:pPr>
      <w:r>
        <w:rPr>
          <w:noProof/>
        </w:rPr>
        <w:t>Сръбските органи оценяват общите преки щети, причинени от бедствието, на 1 106 млн. EUR. Сумата се основава на резултатите от оценката на нуждите за възстановяване, на</w:t>
      </w:r>
      <w:r>
        <w:rPr>
          <w:noProof/>
        </w:rPr>
        <w:t>правена с участието на ЕС и международни организации непосредствено след бедствието. Те представляват 3,80 % от брутния национален доход (БНД) на Сърбия. Сумата надвишава повече от шесткратно прага за мобилизиране на средства от ФСЕС в размер на 174 649 мл</w:t>
      </w:r>
      <w:r>
        <w:rPr>
          <w:noProof/>
        </w:rPr>
        <w:t>н. евро, приложим за Сърбия през 2014 г. (т.е. 0,6 % от БНД въз основа на данни от 2012 г.). Тъй като оценката на общите преки щети надвишава прага, бедствието беше квалифицирано като „голямо природно бедствие“. Комисията одобри заявлението на Сърбия на 10</w:t>
      </w:r>
      <w:r>
        <w:rPr>
          <w:noProof/>
        </w:rPr>
        <w:t xml:space="preserve"> октомври 2014 г. Финансовата помощ от фонда в размер на 60 224 605 евро беше изплатена на 14 април 2015 г.</w:t>
      </w:r>
    </w:p>
    <w:p w:rsidR="003804CE" w:rsidRDefault="008A4198">
      <w:pPr>
        <w:pStyle w:val="Text1"/>
        <w:spacing w:before="360"/>
        <w:ind w:left="851"/>
        <w:rPr>
          <w:b/>
          <w:noProof/>
        </w:rPr>
      </w:pPr>
      <w:r>
        <w:rPr>
          <w:b/>
          <w:noProof/>
        </w:rPr>
        <w:t>ХЪРВАТИЯ — наводнения</w:t>
      </w:r>
    </w:p>
    <w:p w:rsidR="003804CE" w:rsidRDefault="008A4198">
      <w:pPr>
        <w:pStyle w:val="Text1"/>
        <w:ind w:left="851"/>
        <w:rPr>
          <w:noProof/>
        </w:rPr>
      </w:pPr>
      <w:r>
        <w:rPr>
          <w:noProof/>
        </w:rPr>
        <w:t>Бедствените наводнения, които принудиха Сърбия да кандидатства за помощ от ФСЕС, сериозно засегнаха и Хърватия, макар и в по-м</w:t>
      </w:r>
      <w:r>
        <w:rPr>
          <w:noProof/>
        </w:rPr>
        <w:t>алка степен. Бе задействана услугата за управление на извънредни ситуации по програма „Коперник“. Заявлението беше получено от Комисията на 31 юли 2014 г. в рамките на 12-седмичния срок след регистрирането на първите щети на 17 май 2014 г.</w:t>
      </w:r>
    </w:p>
    <w:p w:rsidR="003804CE" w:rsidRDefault="008A4198">
      <w:pPr>
        <w:pStyle w:val="Text1"/>
        <w:ind w:left="851"/>
        <w:rPr>
          <w:noProof/>
        </w:rPr>
      </w:pPr>
      <w:r>
        <w:rPr>
          <w:noProof/>
        </w:rPr>
        <w:t>Хърватските влас</w:t>
      </w:r>
      <w:r>
        <w:rPr>
          <w:noProof/>
        </w:rPr>
        <w:t>ти оценяват общите преки щети, причинени от бедствието, на 297,629 млн. евро, което представлява 0,70 % от БНД на Хърватия и 117 % от прага за мобилизиране на средства от фонд „Солидарност“ от 254,229 милиона евро, приложим за Хърватия през 2014 г. (т.е. 0</w:t>
      </w:r>
      <w:r>
        <w:rPr>
          <w:noProof/>
        </w:rPr>
        <w:t>,6 % от БНД въз основа на данни от 2012 г.). Подобно на бедствието в Сърбия, в Хърватия бедствието беше квалифицирано като „голямо природно бедствие“. На 10 октомври 2014 г. Комисията прие заявлението на Хърватия и предложи мобилизиране на средства от фонд</w:t>
      </w:r>
      <w:r>
        <w:rPr>
          <w:noProof/>
        </w:rPr>
        <w:t>а. На 8 април 2015 г. бе изплатена финансова помощ от Фонда в размер на 8 959 725 евро.</w:t>
      </w:r>
    </w:p>
    <w:p w:rsidR="003804CE" w:rsidRDefault="008A4198">
      <w:pPr>
        <w:pStyle w:val="Text1"/>
        <w:spacing w:before="360"/>
        <w:ind w:left="851"/>
        <w:rPr>
          <w:b/>
          <w:noProof/>
        </w:rPr>
      </w:pPr>
      <w:r>
        <w:rPr>
          <w:b/>
          <w:noProof/>
        </w:rPr>
        <w:t>БЪЛГАРИЯ — пролетни наводнения</w:t>
      </w:r>
    </w:p>
    <w:p w:rsidR="003804CE" w:rsidRDefault="008A4198">
      <w:pPr>
        <w:pStyle w:val="Text1"/>
        <w:ind w:left="851"/>
        <w:rPr>
          <w:noProof/>
        </w:rPr>
      </w:pPr>
      <w:r>
        <w:rPr>
          <w:noProof/>
        </w:rPr>
        <w:t xml:space="preserve">Няколко седмици по-късно, в средата на юни 2014 г. и особено в периода 17 — 20 юни, интензивни и проливни дъждове, надвишаващи до 4 пъти </w:t>
      </w:r>
      <w:r>
        <w:rPr>
          <w:noProof/>
        </w:rPr>
        <w:t xml:space="preserve">месечните климатични норми, засегнаха някои части на България, като причиниха сериозни наводнения и разрушения. </w:t>
      </w:r>
    </w:p>
    <w:p w:rsidR="003804CE" w:rsidRDefault="008A4198">
      <w:pPr>
        <w:pStyle w:val="Text1"/>
        <w:ind w:left="851"/>
        <w:rPr>
          <w:noProof/>
        </w:rPr>
      </w:pPr>
      <w:r>
        <w:rPr>
          <w:noProof/>
        </w:rPr>
        <w:lastRenderedPageBreak/>
        <w:t>Комисията получи заявлението на България на 25 август 2014 г. в рамките на 12-седмичния срок след регистрирането на първата щета на 19 юни 2014</w:t>
      </w:r>
      <w:r>
        <w:rPr>
          <w:noProof/>
        </w:rPr>
        <w:t xml:space="preserve"> г. На 12 септември 2014 г. българските органи представиха актуализирана информация.</w:t>
      </w:r>
    </w:p>
    <w:p w:rsidR="003804CE" w:rsidRDefault="008A4198">
      <w:pPr>
        <w:pStyle w:val="Text1"/>
        <w:ind w:left="851"/>
        <w:rPr>
          <w:noProof/>
          <w:szCs w:val="24"/>
        </w:rPr>
      </w:pPr>
      <w:r>
        <w:rPr>
          <w:noProof/>
        </w:rPr>
        <w:t>Общата оценка на признатите преки щети, причинени от бедствието, възлизаше на 311,328 млн. евро. Тази сума представлява 0,80 % от БНД на България и надвишава със 134 % при</w:t>
      </w:r>
      <w:r>
        <w:rPr>
          <w:noProof/>
        </w:rPr>
        <w:t>ложимия за България праг за мобилизиране на средства от ФСЕС (232,502 млн. евро) през 2014 г. (т.е. 0,6 % от БНД въз основа на данни от 2012 г.). Бедствието беше квалифицирано като „голямо природно бедствие“ и на 10 октомври 2014 г. Комисията взе решение д</w:t>
      </w:r>
      <w:r>
        <w:rPr>
          <w:noProof/>
        </w:rPr>
        <w:t>а мобилизира средства от Фонда. На 8 април 2015 г. бе изплатена финансова помощ от Фонда в размер на 10 542 110 евро.</w:t>
      </w:r>
    </w:p>
    <w:p w:rsidR="003804CE" w:rsidRDefault="008A4198">
      <w:pPr>
        <w:pStyle w:val="FootnoteText"/>
        <w:ind w:left="840" w:firstLine="0"/>
        <w:rPr>
          <w:noProof/>
          <w:sz w:val="24"/>
          <w:szCs w:val="24"/>
        </w:rPr>
      </w:pPr>
      <w:r>
        <w:rPr>
          <w:noProof/>
          <w:sz w:val="24"/>
        </w:rPr>
        <w:t>Оценките на четирите заявления, получени през 2014 г. от Румъния (за пролетните и летните наводнения), от България (за летните наводнения)</w:t>
      </w:r>
      <w:r>
        <w:rPr>
          <w:noProof/>
          <w:sz w:val="24"/>
        </w:rPr>
        <w:t xml:space="preserve"> и от Италия (за наводненията през есента), бяха завършени едва през 2015 г. и ще бъдат включени по-подробно в годишния доклад за 2015 г.</w:t>
      </w:r>
    </w:p>
    <w:p w:rsidR="003804CE" w:rsidRDefault="008A4198">
      <w:pPr>
        <w:pStyle w:val="Heading1"/>
        <w:rPr>
          <w:noProof/>
        </w:rPr>
      </w:pPr>
      <w:bookmarkStart w:id="4" w:name="_Toc430356859"/>
      <w:r>
        <w:rPr>
          <w:noProof/>
        </w:rPr>
        <w:t>Финансиране</w:t>
      </w:r>
      <w:bookmarkEnd w:id="4"/>
    </w:p>
    <w:p w:rsidR="003804CE" w:rsidRDefault="008A4198">
      <w:pPr>
        <w:pStyle w:val="Text1"/>
        <w:ind w:left="851"/>
        <w:rPr>
          <w:noProof/>
        </w:rPr>
      </w:pPr>
      <w:r>
        <w:rPr>
          <w:noProof/>
        </w:rPr>
        <w:t>През 2014 г. бюджетният орган одобри помощ от Фонда за седем случая във връзка със заявления, получени пре</w:t>
      </w:r>
      <w:r>
        <w:rPr>
          <w:noProof/>
        </w:rPr>
        <w:t>з 2014 г.</w:t>
      </w:r>
    </w:p>
    <w:p w:rsidR="003804CE" w:rsidRDefault="008A4198">
      <w:pPr>
        <w:pStyle w:val="Text1"/>
        <w:ind w:left="851"/>
        <w:rPr>
          <w:noProof/>
        </w:rPr>
      </w:pPr>
      <w:r>
        <w:rPr>
          <w:noProof/>
        </w:rPr>
        <w:t>Съответният предварителен проект на коригиращ бюджет № 4 за 2014 г. обхващаше четири заявления във връзка с ФСЕС и беше окончателно завършен на 17 декември 2014 г.</w:t>
      </w:r>
      <w:r>
        <w:rPr>
          <w:noProof/>
          <w:vertAlign w:val="superscript"/>
        </w:rPr>
        <w:footnoteReference w:id="4"/>
      </w:r>
      <w:r>
        <w:rPr>
          <w:noProof/>
        </w:rPr>
        <w:t xml:space="preserve"> </w:t>
      </w:r>
    </w:p>
    <w:p w:rsidR="003804CE" w:rsidRDefault="008A4198">
      <w:pPr>
        <w:pStyle w:val="Text1"/>
        <w:ind w:left="851"/>
        <w:rPr>
          <w:noProof/>
        </w:rPr>
      </w:pPr>
      <w:r>
        <w:rPr>
          <w:noProof/>
        </w:rPr>
        <w:t>Съответният предварителен проект на коригиращ бюджет № 6 за 2014 г. обхващаше тр</w:t>
      </w:r>
      <w:r>
        <w:rPr>
          <w:noProof/>
        </w:rPr>
        <w:t>и заявления във връзка с ФСЕС и беше също окончателно завършен на 17 декември 2014 г.</w:t>
      </w:r>
      <w:r>
        <w:rPr>
          <w:noProof/>
          <w:vertAlign w:val="superscript"/>
        </w:rPr>
        <w:footnoteReference w:id="5"/>
      </w:r>
      <w:r>
        <w:rPr>
          <w:noProof/>
        </w:rPr>
        <w:t xml:space="preserve"> </w:t>
      </w:r>
    </w:p>
    <w:p w:rsidR="003804CE" w:rsidRDefault="008A4198">
      <w:pPr>
        <w:pStyle w:val="Text1"/>
        <w:ind w:left="851"/>
        <w:rPr>
          <w:noProof/>
        </w:rPr>
      </w:pPr>
      <w:r>
        <w:rPr>
          <w:noProof/>
        </w:rPr>
        <w:t xml:space="preserve">Освен това на 17 декември 2014 г. фонд „Солидарност“ на Европейския съюз беше мобилизиран за осигуряване на сумата от 50 000 000 EUR под формата на бюджетни кредити за </w:t>
      </w:r>
      <w:r>
        <w:rPr>
          <w:noProof/>
        </w:rPr>
        <w:t>поети задължения и бюджетни кредити за плащания за извършването на авансови плащания (само за държави членки и считано от 2015 г.).</w:t>
      </w:r>
    </w:p>
    <w:p w:rsidR="003804CE" w:rsidRPr="00546CD4" w:rsidRDefault="008A4198">
      <w:pPr>
        <w:pStyle w:val="Text1"/>
        <w:spacing w:after="360"/>
        <w:ind w:left="851"/>
        <w:rPr>
          <w:noProof/>
          <w:lang w:val="ru-RU"/>
        </w:rPr>
      </w:pPr>
      <w:r>
        <w:rPr>
          <w:noProof/>
        </w:rPr>
        <w:t>След процедурата на пренасяне на бюджетни кредити от 2014 г. към 2015 г. и приемането на решения за финансиране за съответни</w:t>
      </w:r>
      <w:r>
        <w:rPr>
          <w:noProof/>
        </w:rPr>
        <w:t xml:space="preserve">те държави бенефициери плащанията за всички седем случая бяха извършени през март и април 2015 г. </w:t>
      </w:r>
      <w:r>
        <w:rPr>
          <w:noProof/>
        </w:rPr>
        <w:br/>
      </w:r>
      <w:r w:rsidRPr="00546CD4">
        <w:rPr>
          <w:noProof/>
          <w:lang w:val="ru-RU"/>
        </w:rPr>
        <w:br/>
      </w:r>
    </w:p>
    <w:tbl>
      <w:tblPr>
        <w:tblW w:w="840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3360"/>
        <w:gridCol w:w="1680"/>
        <w:gridCol w:w="1680"/>
      </w:tblGrid>
      <w:tr w:rsidR="003804CE">
        <w:trPr>
          <w:cantSplit/>
          <w:trHeight w:val="340"/>
        </w:trPr>
        <w:tc>
          <w:tcPr>
            <w:tcW w:w="8400" w:type="dxa"/>
            <w:gridSpan w:val="4"/>
            <w:tcBorders>
              <w:top w:val="single" w:sz="4" w:space="0" w:color="auto"/>
              <w:left w:val="single" w:sz="4" w:space="0" w:color="000000"/>
              <w:bottom w:val="single" w:sz="4" w:space="0" w:color="auto"/>
              <w:right w:val="single" w:sz="4" w:space="0" w:color="000000"/>
            </w:tcBorders>
            <w:shd w:val="clear" w:color="auto" w:fill="D9D9D9"/>
            <w:vAlign w:val="center"/>
          </w:tcPr>
          <w:p w:rsidR="003804CE" w:rsidRDefault="008A4198">
            <w:pPr>
              <w:pStyle w:val="Text1"/>
              <w:spacing w:before="60" w:after="60"/>
              <w:ind w:left="0"/>
              <w:jc w:val="left"/>
              <w:rPr>
                <w:b/>
                <w:noProof/>
                <w:sz w:val="20"/>
                <w:szCs w:val="20"/>
              </w:rPr>
            </w:pPr>
            <w:r>
              <w:rPr>
                <w:noProof/>
              </w:rPr>
              <w:lastRenderedPageBreak/>
              <w:br w:type="page"/>
            </w:r>
            <w:r>
              <w:rPr>
                <w:noProof/>
              </w:rPr>
              <w:br w:type="page"/>
            </w:r>
            <w:r>
              <w:rPr>
                <w:b/>
                <w:noProof/>
                <w:sz w:val="20"/>
              </w:rPr>
              <w:t>Финансова помощ по линия на фонд „Солидарност“ — одобрен бюджет за 2014 г.</w:t>
            </w:r>
          </w:p>
        </w:tc>
      </w:tr>
      <w:tr w:rsidR="003804CE">
        <w:trPr>
          <w:cantSplit/>
          <w:trHeight w:val="340"/>
        </w:trPr>
        <w:tc>
          <w:tcPr>
            <w:tcW w:w="1680" w:type="dxa"/>
            <w:tcBorders>
              <w:top w:val="single" w:sz="4" w:space="0" w:color="auto"/>
              <w:left w:val="single" w:sz="4" w:space="0" w:color="000000"/>
              <w:bottom w:val="single" w:sz="4" w:space="0" w:color="000000"/>
              <w:right w:val="single" w:sz="4" w:space="0" w:color="000000"/>
            </w:tcBorders>
            <w:shd w:val="clear" w:color="auto" w:fill="D9D9D9"/>
            <w:vAlign w:val="center"/>
          </w:tcPr>
          <w:p w:rsidR="003804CE" w:rsidRDefault="008A4198">
            <w:pPr>
              <w:pStyle w:val="Text1"/>
              <w:spacing w:before="60" w:after="60"/>
              <w:ind w:left="0"/>
              <w:jc w:val="left"/>
              <w:rPr>
                <w:b/>
                <w:noProof/>
                <w:sz w:val="20"/>
                <w:szCs w:val="20"/>
              </w:rPr>
            </w:pPr>
            <w:r>
              <w:rPr>
                <w:b/>
                <w:noProof/>
                <w:sz w:val="20"/>
              </w:rPr>
              <w:t>Държава бенефициер</w:t>
            </w:r>
          </w:p>
        </w:tc>
        <w:tc>
          <w:tcPr>
            <w:tcW w:w="3360" w:type="dxa"/>
            <w:tcBorders>
              <w:top w:val="single" w:sz="4" w:space="0" w:color="auto"/>
              <w:left w:val="single" w:sz="4" w:space="0" w:color="000000"/>
              <w:bottom w:val="single" w:sz="4" w:space="0" w:color="000000"/>
              <w:right w:val="single" w:sz="4" w:space="0" w:color="000000"/>
            </w:tcBorders>
            <w:shd w:val="clear" w:color="auto" w:fill="D9D9D9"/>
            <w:vAlign w:val="center"/>
          </w:tcPr>
          <w:p w:rsidR="003804CE" w:rsidRDefault="008A4198">
            <w:pPr>
              <w:pStyle w:val="Text1"/>
              <w:spacing w:before="60" w:after="60"/>
              <w:ind w:left="0"/>
              <w:jc w:val="left"/>
              <w:rPr>
                <w:b/>
                <w:noProof/>
                <w:sz w:val="20"/>
                <w:szCs w:val="20"/>
              </w:rPr>
            </w:pPr>
            <w:r>
              <w:rPr>
                <w:b/>
                <w:noProof/>
                <w:sz w:val="20"/>
              </w:rPr>
              <w:t>Бедствие</w:t>
            </w:r>
          </w:p>
        </w:tc>
        <w:tc>
          <w:tcPr>
            <w:tcW w:w="1680" w:type="dxa"/>
            <w:tcBorders>
              <w:top w:val="single" w:sz="4" w:space="0" w:color="auto"/>
              <w:left w:val="single" w:sz="4" w:space="0" w:color="000000"/>
              <w:bottom w:val="single" w:sz="4" w:space="0" w:color="000000"/>
              <w:right w:val="single" w:sz="4" w:space="0" w:color="000000"/>
            </w:tcBorders>
            <w:shd w:val="clear" w:color="auto" w:fill="D9D9D9"/>
            <w:vAlign w:val="center"/>
          </w:tcPr>
          <w:p w:rsidR="003804CE" w:rsidRDefault="008A4198">
            <w:pPr>
              <w:pStyle w:val="Text1"/>
              <w:spacing w:before="60" w:after="60"/>
              <w:ind w:left="0"/>
              <w:jc w:val="center"/>
              <w:rPr>
                <w:b/>
                <w:noProof/>
                <w:sz w:val="20"/>
                <w:szCs w:val="20"/>
              </w:rPr>
            </w:pPr>
            <w:r>
              <w:rPr>
                <w:b/>
                <w:noProof/>
                <w:sz w:val="20"/>
              </w:rPr>
              <w:t>Категория</w:t>
            </w:r>
          </w:p>
        </w:tc>
        <w:tc>
          <w:tcPr>
            <w:tcW w:w="1680" w:type="dxa"/>
            <w:tcBorders>
              <w:top w:val="single" w:sz="4" w:space="0" w:color="auto"/>
              <w:left w:val="single" w:sz="4" w:space="0" w:color="000000"/>
              <w:bottom w:val="single" w:sz="4" w:space="0" w:color="000000"/>
              <w:right w:val="single" w:sz="4" w:space="0" w:color="000000"/>
            </w:tcBorders>
            <w:shd w:val="clear" w:color="auto" w:fill="D9D9D9"/>
            <w:vAlign w:val="center"/>
          </w:tcPr>
          <w:p w:rsidR="003804CE" w:rsidRDefault="008A4198">
            <w:pPr>
              <w:pStyle w:val="Text1"/>
              <w:spacing w:before="60" w:after="60"/>
              <w:ind w:left="0" w:right="132"/>
              <w:jc w:val="right"/>
              <w:rPr>
                <w:b/>
                <w:noProof/>
                <w:sz w:val="20"/>
                <w:szCs w:val="20"/>
              </w:rPr>
            </w:pPr>
            <w:r>
              <w:rPr>
                <w:b/>
                <w:noProof/>
                <w:sz w:val="20"/>
              </w:rPr>
              <w:t>Сума (</w:t>
            </w:r>
            <w:r>
              <w:rPr>
                <w:noProof/>
                <w:sz w:val="20"/>
              </w:rPr>
              <w:t>в евро)</w:t>
            </w:r>
          </w:p>
        </w:tc>
      </w:tr>
      <w:tr w:rsidR="003804CE">
        <w:trPr>
          <w:cantSplit/>
          <w:trHeight w:val="34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pStyle w:val="Text1"/>
              <w:spacing w:before="60" w:after="60"/>
              <w:ind w:left="0"/>
              <w:jc w:val="left"/>
              <w:rPr>
                <w:noProof/>
                <w:sz w:val="20"/>
                <w:szCs w:val="20"/>
              </w:rPr>
            </w:pPr>
            <w:r>
              <w:rPr>
                <w:noProof/>
                <w:sz w:val="20"/>
              </w:rPr>
              <w:t>Италия</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rPr>
                <w:rFonts w:ascii="Times New Roman" w:hAnsi="Times New Roman"/>
                <w:noProof/>
                <w:sz w:val="20"/>
                <w:szCs w:val="20"/>
              </w:rPr>
            </w:pPr>
            <w:r>
              <w:rPr>
                <w:rFonts w:ascii="Times New Roman" w:hAnsi="Times New Roman"/>
                <w:noProof/>
                <w:sz w:val="20"/>
              </w:rPr>
              <w:t xml:space="preserve">Сардиния </w:t>
            </w:r>
            <w:r>
              <w:rPr>
                <w:rFonts w:ascii="Times New Roman" w:hAnsi="Times New Roman"/>
                <w:noProof/>
                <w:sz w:val="20"/>
              </w:rPr>
              <w:t>наводнения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jc w:val="center"/>
              <w:rPr>
                <w:rFonts w:ascii="Times New Roman" w:hAnsi="Times New Roman"/>
                <w:noProof/>
                <w:sz w:val="20"/>
                <w:szCs w:val="20"/>
              </w:rPr>
            </w:pPr>
            <w:r>
              <w:rPr>
                <w:rFonts w:ascii="Times New Roman" w:hAnsi="Times New Roman"/>
                <w:noProof/>
                <w:sz w:val="20"/>
              </w:rPr>
              <w:t>регионално</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ind w:right="132"/>
              <w:jc w:val="right"/>
              <w:rPr>
                <w:rFonts w:ascii="Times New Roman" w:hAnsi="Times New Roman"/>
                <w:bCs/>
                <w:noProof/>
                <w:sz w:val="20"/>
                <w:szCs w:val="20"/>
              </w:rPr>
            </w:pPr>
            <w:r>
              <w:rPr>
                <w:rFonts w:ascii="Times New Roman" w:hAnsi="Times New Roman"/>
                <w:noProof/>
                <w:sz w:val="20"/>
              </w:rPr>
              <w:t xml:space="preserve">16 310 467  </w:t>
            </w:r>
          </w:p>
        </w:tc>
      </w:tr>
      <w:tr w:rsidR="003804CE">
        <w:trPr>
          <w:cantSplit/>
          <w:trHeight w:val="34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pStyle w:val="Text1"/>
              <w:spacing w:before="60" w:after="60"/>
              <w:ind w:left="0"/>
              <w:jc w:val="left"/>
              <w:rPr>
                <w:noProof/>
                <w:sz w:val="20"/>
                <w:szCs w:val="20"/>
              </w:rPr>
            </w:pPr>
            <w:r>
              <w:rPr>
                <w:noProof/>
                <w:sz w:val="20"/>
              </w:rPr>
              <w:t>Гърция</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rPr>
                <w:rFonts w:ascii="Times New Roman" w:hAnsi="Times New Roman"/>
                <w:noProof/>
                <w:sz w:val="20"/>
                <w:szCs w:val="20"/>
              </w:rPr>
            </w:pPr>
            <w:r>
              <w:rPr>
                <w:rFonts w:ascii="Times New Roman" w:hAnsi="Times New Roman"/>
                <w:noProof/>
                <w:sz w:val="20"/>
              </w:rPr>
              <w:t>Земетресение в Гърция (Кефалония)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jc w:val="center"/>
              <w:rPr>
                <w:rFonts w:ascii="Times New Roman" w:hAnsi="Times New Roman"/>
                <w:noProof/>
                <w:sz w:val="20"/>
                <w:szCs w:val="20"/>
              </w:rPr>
            </w:pPr>
            <w:r>
              <w:rPr>
                <w:rFonts w:ascii="Times New Roman" w:hAnsi="Times New Roman"/>
                <w:noProof/>
                <w:sz w:val="20"/>
              </w:rPr>
              <w:t>регионално</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ind w:right="132"/>
              <w:jc w:val="right"/>
              <w:rPr>
                <w:rFonts w:ascii="Times New Roman" w:hAnsi="Times New Roman"/>
                <w:bCs/>
                <w:noProof/>
                <w:sz w:val="20"/>
                <w:szCs w:val="20"/>
              </w:rPr>
            </w:pPr>
            <w:r>
              <w:rPr>
                <w:rFonts w:ascii="Times New Roman" w:hAnsi="Times New Roman"/>
                <w:noProof/>
                <w:sz w:val="20"/>
              </w:rPr>
              <w:t>3 683 320</w:t>
            </w:r>
          </w:p>
        </w:tc>
      </w:tr>
      <w:tr w:rsidR="003804CE">
        <w:trPr>
          <w:cantSplit/>
          <w:trHeight w:val="34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pStyle w:val="Text1"/>
              <w:spacing w:before="60" w:after="60"/>
              <w:ind w:left="0"/>
              <w:jc w:val="left"/>
              <w:rPr>
                <w:noProof/>
                <w:sz w:val="20"/>
                <w:szCs w:val="20"/>
              </w:rPr>
            </w:pPr>
            <w:r>
              <w:rPr>
                <w:noProof/>
                <w:sz w:val="20"/>
              </w:rPr>
              <w:t>Словения</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rPr>
                <w:rFonts w:ascii="Times New Roman" w:hAnsi="Times New Roman"/>
                <w:noProof/>
                <w:sz w:val="20"/>
                <w:szCs w:val="20"/>
              </w:rPr>
            </w:pPr>
            <w:r>
              <w:rPr>
                <w:rFonts w:ascii="Times New Roman" w:hAnsi="Times New Roman"/>
                <w:noProof/>
                <w:sz w:val="20"/>
              </w:rPr>
              <w:t>Ледени бури</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jc w:val="center"/>
              <w:rPr>
                <w:rFonts w:ascii="Times New Roman" w:hAnsi="Times New Roman"/>
                <w:noProof/>
                <w:sz w:val="20"/>
                <w:szCs w:val="20"/>
              </w:rPr>
            </w:pPr>
            <w:r>
              <w:rPr>
                <w:rFonts w:ascii="Times New Roman" w:hAnsi="Times New Roman"/>
                <w:noProof/>
                <w:sz w:val="20"/>
              </w:rPr>
              <w:t>Голямо бедствие</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ind w:right="132"/>
              <w:jc w:val="right"/>
              <w:rPr>
                <w:rFonts w:ascii="Times New Roman" w:hAnsi="Times New Roman"/>
                <w:bCs/>
                <w:noProof/>
                <w:sz w:val="20"/>
                <w:szCs w:val="20"/>
              </w:rPr>
            </w:pPr>
            <w:r>
              <w:rPr>
                <w:rFonts w:ascii="Times New Roman" w:hAnsi="Times New Roman"/>
                <w:noProof/>
                <w:sz w:val="20"/>
              </w:rPr>
              <w:t>18 388 478</w:t>
            </w:r>
          </w:p>
        </w:tc>
      </w:tr>
      <w:tr w:rsidR="003804CE">
        <w:trPr>
          <w:cantSplit/>
          <w:trHeight w:val="34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pStyle w:val="Text1"/>
              <w:spacing w:before="60" w:after="60"/>
              <w:ind w:left="0"/>
              <w:jc w:val="left"/>
              <w:rPr>
                <w:noProof/>
                <w:sz w:val="20"/>
                <w:szCs w:val="20"/>
              </w:rPr>
            </w:pPr>
            <w:r>
              <w:rPr>
                <w:noProof/>
                <w:sz w:val="20"/>
              </w:rPr>
              <w:t>Хърватия</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rPr>
                <w:rFonts w:ascii="Times New Roman" w:hAnsi="Times New Roman"/>
                <w:noProof/>
                <w:sz w:val="20"/>
                <w:szCs w:val="20"/>
              </w:rPr>
            </w:pPr>
            <w:r>
              <w:rPr>
                <w:rFonts w:ascii="Times New Roman" w:hAnsi="Times New Roman"/>
                <w:noProof/>
                <w:sz w:val="20"/>
              </w:rPr>
              <w:t>Лед и наводнения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jc w:val="center"/>
              <w:rPr>
                <w:rFonts w:ascii="Times New Roman" w:hAnsi="Times New Roman"/>
                <w:noProof/>
                <w:sz w:val="20"/>
                <w:szCs w:val="20"/>
              </w:rPr>
            </w:pPr>
            <w:r>
              <w:rPr>
                <w:rFonts w:ascii="Times New Roman" w:hAnsi="Times New Roman"/>
                <w:noProof/>
                <w:sz w:val="20"/>
              </w:rPr>
              <w:t>Голямо бедствие</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ind w:right="132"/>
              <w:jc w:val="right"/>
              <w:rPr>
                <w:rFonts w:ascii="Times New Roman" w:hAnsi="Times New Roman"/>
                <w:bCs/>
                <w:noProof/>
                <w:sz w:val="20"/>
                <w:szCs w:val="20"/>
              </w:rPr>
            </w:pPr>
            <w:r>
              <w:rPr>
                <w:rFonts w:ascii="Times New Roman" w:hAnsi="Times New Roman"/>
                <w:noProof/>
                <w:sz w:val="20"/>
              </w:rPr>
              <w:t xml:space="preserve">8 616 263  </w:t>
            </w:r>
          </w:p>
        </w:tc>
      </w:tr>
      <w:tr w:rsidR="003804CE">
        <w:trPr>
          <w:cantSplit/>
          <w:trHeight w:val="34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pStyle w:val="Text1"/>
              <w:spacing w:before="60" w:after="60"/>
              <w:ind w:left="0"/>
              <w:jc w:val="left"/>
              <w:rPr>
                <w:noProof/>
                <w:sz w:val="20"/>
                <w:szCs w:val="20"/>
              </w:rPr>
            </w:pPr>
            <w:r>
              <w:rPr>
                <w:noProof/>
                <w:sz w:val="20"/>
              </w:rPr>
              <w:t>Сърбия</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rPr>
                <w:rFonts w:ascii="Times New Roman" w:hAnsi="Times New Roman"/>
                <w:noProof/>
                <w:sz w:val="20"/>
                <w:szCs w:val="20"/>
              </w:rPr>
            </w:pPr>
            <w:r>
              <w:rPr>
                <w:rFonts w:ascii="Times New Roman" w:hAnsi="Times New Roman"/>
                <w:noProof/>
                <w:sz w:val="20"/>
              </w:rPr>
              <w:t>Наводнения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jc w:val="center"/>
              <w:rPr>
                <w:rFonts w:ascii="Times New Roman" w:hAnsi="Times New Roman"/>
                <w:noProof/>
                <w:sz w:val="20"/>
                <w:szCs w:val="20"/>
              </w:rPr>
            </w:pPr>
            <w:r>
              <w:rPr>
                <w:rFonts w:ascii="Times New Roman" w:hAnsi="Times New Roman"/>
                <w:noProof/>
                <w:sz w:val="20"/>
              </w:rPr>
              <w:t>Голямо бедствие</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ind w:right="132"/>
              <w:jc w:val="right"/>
              <w:rPr>
                <w:rFonts w:ascii="Times New Roman" w:hAnsi="Times New Roman"/>
                <w:bCs/>
                <w:noProof/>
                <w:sz w:val="20"/>
                <w:szCs w:val="20"/>
              </w:rPr>
            </w:pPr>
            <w:r>
              <w:rPr>
                <w:rFonts w:ascii="Times New Roman" w:hAnsi="Times New Roman"/>
                <w:noProof/>
                <w:sz w:val="20"/>
              </w:rPr>
              <w:t xml:space="preserve">60 224 605  </w:t>
            </w:r>
          </w:p>
        </w:tc>
      </w:tr>
      <w:tr w:rsidR="003804CE">
        <w:trPr>
          <w:cantSplit/>
          <w:trHeight w:val="34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pStyle w:val="Text1"/>
              <w:spacing w:before="60" w:after="60"/>
              <w:ind w:left="0"/>
              <w:jc w:val="left"/>
              <w:rPr>
                <w:noProof/>
                <w:sz w:val="20"/>
                <w:szCs w:val="20"/>
              </w:rPr>
            </w:pPr>
            <w:r>
              <w:rPr>
                <w:noProof/>
                <w:sz w:val="20"/>
              </w:rPr>
              <w:t>Хърватия</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rPr>
                <w:rFonts w:ascii="Times New Roman" w:hAnsi="Times New Roman"/>
                <w:noProof/>
                <w:sz w:val="20"/>
                <w:szCs w:val="20"/>
              </w:rPr>
            </w:pPr>
            <w:r>
              <w:rPr>
                <w:rFonts w:ascii="Times New Roman" w:hAnsi="Times New Roman"/>
                <w:noProof/>
                <w:sz w:val="20"/>
              </w:rPr>
              <w:t>Пролетни наводнения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jc w:val="center"/>
              <w:rPr>
                <w:rFonts w:ascii="Times New Roman" w:hAnsi="Times New Roman"/>
                <w:noProof/>
                <w:sz w:val="20"/>
                <w:szCs w:val="20"/>
              </w:rPr>
            </w:pPr>
            <w:r>
              <w:rPr>
                <w:rFonts w:ascii="Times New Roman" w:hAnsi="Times New Roman"/>
                <w:noProof/>
                <w:sz w:val="20"/>
              </w:rPr>
              <w:t>Голямо бедствие</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ind w:right="132"/>
              <w:jc w:val="right"/>
              <w:rPr>
                <w:rFonts w:ascii="Times New Roman" w:hAnsi="Times New Roman"/>
                <w:bCs/>
                <w:noProof/>
                <w:sz w:val="20"/>
                <w:szCs w:val="20"/>
              </w:rPr>
            </w:pPr>
            <w:r>
              <w:rPr>
                <w:rFonts w:ascii="Times New Roman" w:hAnsi="Times New Roman"/>
                <w:noProof/>
                <w:sz w:val="20"/>
              </w:rPr>
              <w:t xml:space="preserve">8 959 725  </w:t>
            </w:r>
          </w:p>
        </w:tc>
      </w:tr>
      <w:tr w:rsidR="003804CE">
        <w:trPr>
          <w:cantSplit/>
          <w:trHeight w:val="340"/>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pStyle w:val="Text1"/>
              <w:spacing w:before="60" w:after="60"/>
              <w:ind w:left="0"/>
              <w:jc w:val="left"/>
              <w:rPr>
                <w:noProof/>
                <w:sz w:val="20"/>
                <w:szCs w:val="20"/>
              </w:rPr>
            </w:pPr>
            <w:r>
              <w:rPr>
                <w:noProof/>
                <w:sz w:val="20"/>
              </w:rPr>
              <w:t>България</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rPr>
                <w:rFonts w:ascii="Times New Roman" w:hAnsi="Times New Roman"/>
                <w:noProof/>
                <w:sz w:val="20"/>
                <w:szCs w:val="20"/>
              </w:rPr>
            </w:pPr>
            <w:r>
              <w:rPr>
                <w:rFonts w:ascii="Times New Roman" w:hAnsi="Times New Roman"/>
                <w:noProof/>
                <w:sz w:val="20"/>
              </w:rPr>
              <w:t>Пролетни наводнения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jc w:val="center"/>
              <w:rPr>
                <w:rFonts w:ascii="Times New Roman" w:hAnsi="Times New Roman"/>
                <w:noProof/>
                <w:sz w:val="20"/>
                <w:szCs w:val="20"/>
              </w:rPr>
            </w:pPr>
            <w:r>
              <w:rPr>
                <w:rFonts w:ascii="Times New Roman" w:hAnsi="Times New Roman"/>
                <w:noProof/>
                <w:sz w:val="20"/>
              </w:rPr>
              <w:t>Голямо бедствие</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ind w:right="132"/>
              <w:jc w:val="right"/>
              <w:rPr>
                <w:rFonts w:ascii="Times New Roman" w:hAnsi="Times New Roman"/>
                <w:bCs/>
                <w:noProof/>
                <w:sz w:val="20"/>
                <w:szCs w:val="20"/>
              </w:rPr>
            </w:pPr>
            <w:r>
              <w:rPr>
                <w:rFonts w:ascii="Times New Roman" w:hAnsi="Times New Roman"/>
                <w:noProof/>
                <w:sz w:val="20"/>
              </w:rPr>
              <w:t xml:space="preserve">10 542 110  </w:t>
            </w:r>
          </w:p>
        </w:tc>
      </w:tr>
      <w:tr w:rsidR="003804CE">
        <w:trPr>
          <w:cantSplit/>
          <w:trHeight w:val="340"/>
        </w:trPr>
        <w:tc>
          <w:tcPr>
            <w:tcW w:w="6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pStyle w:val="Text1"/>
              <w:spacing w:before="60" w:after="60"/>
              <w:ind w:left="0"/>
              <w:jc w:val="left"/>
              <w:rPr>
                <w:b/>
                <w:noProof/>
                <w:sz w:val="20"/>
                <w:szCs w:val="20"/>
              </w:rPr>
            </w:pPr>
            <w:r>
              <w:rPr>
                <w:b/>
                <w:noProof/>
                <w:sz w:val="20"/>
              </w:rPr>
              <w:t>ОБЩО</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4CE" w:rsidRDefault="008A4198">
            <w:pPr>
              <w:spacing w:before="60" w:after="60"/>
              <w:ind w:right="132"/>
              <w:jc w:val="right"/>
              <w:rPr>
                <w:rFonts w:ascii="Times New Roman" w:hAnsi="Times New Roman"/>
                <w:b/>
                <w:bCs/>
                <w:noProof/>
                <w:sz w:val="20"/>
                <w:szCs w:val="20"/>
              </w:rPr>
            </w:pPr>
            <w:r>
              <w:rPr>
                <w:rFonts w:ascii="Times New Roman" w:hAnsi="Times New Roman"/>
                <w:b/>
                <w:noProof/>
                <w:sz w:val="20"/>
              </w:rPr>
              <w:t>126 724 968</w:t>
            </w:r>
          </w:p>
        </w:tc>
      </w:tr>
    </w:tbl>
    <w:p w:rsidR="003804CE" w:rsidRDefault="008A4198">
      <w:pPr>
        <w:pStyle w:val="Heading1"/>
        <w:rPr>
          <w:noProof/>
        </w:rPr>
      </w:pPr>
      <w:bookmarkStart w:id="5" w:name="_Toc430356860"/>
      <w:r>
        <w:rPr>
          <w:noProof/>
        </w:rPr>
        <w:t>Мониторинг</w:t>
      </w:r>
      <w:bookmarkEnd w:id="5"/>
    </w:p>
    <w:p w:rsidR="003804CE" w:rsidRDefault="008A4198">
      <w:pPr>
        <w:pStyle w:val="Text1"/>
        <w:ind w:left="851"/>
        <w:rPr>
          <w:noProof/>
        </w:rPr>
      </w:pPr>
      <w:r>
        <w:rPr>
          <w:noProof/>
        </w:rPr>
        <w:t xml:space="preserve">През 2014 г. представители на Комисията посетиха с цел мониторинг  три държави бенефициери, за да обсъдят </w:t>
      </w:r>
      <w:r>
        <w:rPr>
          <w:noProof/>
        </w:rPr>
        <w:t>въведените системи по усвояването на помощта и да отговорят на конкретни въпроси, отправени от страна на изпълняващите органи:</w:t>
      </w:r>
    </w:p>
    <w:p w:rsidR="003804CE" w:rsidRDefault="008A4198">
      <w:pPr>
        <w:pStyle w:val="Tiret1"/>
        <w:rPr>
          <w:noProof/>
        </w:rPr>
      </w:pPr>
      <w:r>
        <w:rPr>
          <w:noProof/>
        </w:rPr>
        <w:t>във Виена (</w:t>
      </w:r>
      <w:r>
        <w:rPr>
          <w:b/>
          <w:noProof/>
        </w:rPr>
        <w:t>Австрия</w:t>
      </w:r>
      <w:r>
        <w:rPr>
          <w:noProof/>
        </w:rPr>
        <w:t>) на 12 юни 2014 г. — за да бъдат обсъдени два случая, свързани с финансово плащане в размер на 240 000 евро, п</w:t>
      </w:r>
      <w:r>
        <w:rPr>
          <w:noProof/>
        </w:rPr>
        <w:t>олучено след наводненията от ноември 2012 г. в Lavamünd, и в размер на 21,662 млн. евро, получена във връзка с наводненията от май 2013 г. (и в двата случая става въпрос за бедствия в съседни държави).</w:t>
      </w:r>
    </w:p>
    <w:p w:rsidR="003804CE" w:rsidRDefault="008A4198">
      <w:pPr>
        <w:pStyle w:val="Tiret1"/>
        <w:rPr>
          <w:noProof/>
        </w:rPr>
      </w:pPr>
      <w:r>
        <w:rPr>
          <w:noProof/>
        </w:rPr>
        <w:t>в Берлин (</w:t>
      </w:r>
      <w:r>
        <w:rPr>
          <w:b/>
          <w:noProof/>
        </w:rPr>
        <w:t>Германия</w:t>
      </w:r>
      <w:r>
        <w:rPr>
          <w:noProof/>
        </w:rPr>
        <w:t>) на 23 юни 2014 г.— във връзка с по</w:t>
      </w:r>
      <w:r>
        <w:rPr>
          <w:noProof/>
        </w:rPr>
        <w:t>мощта от 360,454 млн. евро, получена след наводненията през май 2013 г.</w:t>
      </w:r>
    </w:p>
    <w:p w:rsidR="003804CE" w:rsidRDefault="008A4198">
      <w:pPr>
        <w:pStyle w:val="Tiret1"/>
        <w:numPr>
          <w:ilvl w:val="0"/>
          <w:numId w:val="6"/>
        </w:numPr>
        <w:rPr>
          <w:b/>
          <w:noProof/>
        </w:rPr>
      </w:pPr>
      <w:r>
        <w:rPr>
          <w:noProof/>
        </w:rPr>
        <w:t>в Прага (</w:t>
      </w:r>
      <w:r>
        <w:rPr>
          <w:b/>
          <w:noProof/>
        </w:rPr>
        <w:t>Чешка република</w:t>
      </w:r>
      <w:r>
        <w:rPr>
          <w:noProof/>
        </w:rPr>
        <w:t>) на 9 октомври 2014 г. — във връзка с помощта от 15,928 млн. евро, получена след наводненията през юни 2013 г.</w:t>
      </w:r>
    </w:p>
    <w:p w:rsidR="003804CE" w:rsidRDefault="008A4198">
      <w:pPr>
        <w:pStyle w:val="Text1"/>
        <w:ind w:left="851"/>
        <w:rPr>
          <w:noProof/>
        </w:rPr>
      </w:pPr>
      <w:r>
        <w:rPr>
          <w:noProof/>
        </w:rPr>
        <w:t xml:space="preserve">Трите посещения дадоха достатъчна увереност, че </w:t>
      </w:r>
      <w:r>
        <w:rPr>
          <w:noProof/>
        </w:rPr>
        <w:t>компетентните органи работят по усвояване на помощта и извършват прозрачен и коректен контрол при спазване на изискванията, залегнали в регламента, в решението за отпускане на помощта и в споразумението за усвояване на помощта. След получаването на окончат</w:t>
      </w:r>
      <w:r>
        <w:rPr>
          <w:noProof/>
        </w:rPr>
        <w:t>елните доклади Комисията ще извърши допълнителен анализ и при нужда ще предприеме подходящи мерки.</w:t>
      </w:r>
    </w:p>
    <w:p w:rsidR="003804CE" w:rsidRDefault="008A4198">
      <w:pPr>
        <w:pStyle w:val="Heading1"/>
        <w:rPr>
          <w:noProof/>
        </w:rPr>
      </w:pPr>
      <w:bookmarkStart w:id="6" w:name="_Toc430356861"/>
      <w:r>
        <w:rPr>
          <w:noProof/>
        </w:rPr>
        <w:t>Приключени досиета</w:t>
      </w:r>
      <w:bookmarkEnd w:id="6"/>
    </w:p>
    <w:p w:rsidR="003804CE" w:rsidRDefault="008A4198">
      <w:pPr>
        <w:pStyle w:val="Text1"/>
        <w:ind w:left="851"/>
        <w:rPr>
          <w:noProof/>
        </w:rPr>
      </w:pPr>
      <w:r>
        <w:rPr>
          <w:noProof/>
        </w:rPr>
        <w:t>Преди преразглеждането на Регламента за ФСЕС в член 8, параграф 2 от регламента се предвиждаше, че не по-късно от шест месеца след изтичан</w:t>
      </w:r>
      <w:r>
        <w:rPr>
          <w:noProof/>
        </w:rPr>
        <w:t>ето на едногодишния срок от датата на изплащане на финансовата помощ държавата бенефициер трябва да представи доклад относно усвояването на помощта (наричан по-долу „доклад за усвояването на средствата“), придружен от отчет, оправдаващ разходите (наричан п</w:t>
      </w:r>
      <w:r>
        <w:rPr>
          <w:noProof/>
        </w:rPr>
        <w:t>о-долу „декларация за достоверност”). В края на тази процедура Комисията прекратява помощта от фонда.</w:t>
      </w:r>
    </w:p>
    <w:p w:rsidR="003804CE" w:rsidRDefault="008A4198">
      <w:pPr>
        <w:pStyle w:val="Text1"/>
        <w:ind w:left="851"/>
        <w:rPr>
          <w:noProof/>
        </w:rPr>
      </w:pPr>
      <w:r>
        <w:rPr>
          <w:noProof/>
        </w:rPr>
        <w:t>През 2014 г. бяха приключени четири досиета.</w:t>
      </w:r>
    </w:p>
    <w:p w:rsidR="003804CE" w:rsidRDefault="008A4198">
      <w:pPr>
        <w:pStyle w:val="Point1number"/>
        <w:numPr>
          <w:ilvl w:val="2"/>
          <w:numId w:val="8"/>
        </w:numPr>
        <w:rPr>
          <w:noProof/>
        </w:rPr>
      </w:pPr>
      <w:r>
        <w:rPr>
          <w:b/>
          <w:noProof/>
        </w:rPr>
        <w:lastRenderedPageBreak/>
        <w:t>Румъния — наводнения през лятото на 2005 г</w:t>
      </w:r>
      <w:r>
        <w:rPr>
          <w:noProof/>
        </w:rPr>
        <w:t>.: финансовата помощ от фонда възлезе на 52 408 млн. евро. На 4 мар</w:t>
      </w:r>
      <w:r>
        <w:rPr>
          <w:noProof/>
        </w:rPr>
        <w:t>т 2008 г. Румъния представи своя доклад за изпълнение. Намесата обаче може да приключи едва след приключването на одитното разследване, провеждано от Европейската служба за борба с измамите (OLAF) в сътрудничество с румънската служба за борба с измамите. В</w:t>
      </w:r>
      <w:r>
        <w:rPr>
          <w:noProof/>
        </w:rPr>
        <w:t>следствие на това Румъния възстанови разходи, които не отговарят на условията за допустимост, в размер на 634 697 евро. Досието беше приключено на 31 януари 2014 г.</w:t>
      </w:r>
    </w:p>
    <w:p w:rsidR="003804CE" w:rsidRDefault="008A4198">
      <w:pPr>
        <w:pStyle w:val="Point1number"/>
        <w:numPr>
          <w:ilvl w:val="2"/>
          <w:numId w:val="8"/>
        </w:numPr>
        <w:rPr>
          <w:noProof/>
        </w:rPr>
      </w:pPr>
      <w:r>
        <w:rPr>
          <w:b/>
          <w:noProof/>
        </w:rPr>
        <w:t>Гърция — горски пожари през 2007 г.</w:t>
      </w:r>
      <w:r>
        <w:rPr>
          <w:noProof/>
        </w:rPr>
        <w:t xml:space="preserve">: финансовата помощ от фонда възлезе на 89,769 млн. </w:t>
      </w:r>
      <w:r>
        <w:rPr>
          <w:noProof/>
        </w:rPr>
        <w:t>евро. Докладът за усвояването на средствата от Гърция беше получен през април 2010 г. След вътрешния одит, извършен от гръцките власти, декларираните недопустими разходи възлизаха на 9 247 866 евро. Освен това оценката на Комисията показа, че от Гърция сле</w:t>
      </w:r>
      <w:r>
        <w:rPr>
          <w:noProof/>
        </w:rPr>
        <w:t>два да се изиска допълнителна информация във връзка с декларацията за достоверност. След това Комисията започна процедура по възстановяване и Гърция изплати съответната сума от 9 250 528  евро (включително лихвите). Случаят беше приключен.</w:t>
      </w:r>
    </w:p>
    <w:p w:rsidR="003804CE" w:rsidRDefault="008A4198">
      <w:pPr>
        <w:pStyle w:val="Point1number"/>
        <w:numPr>
          <w:ilvl w:val="2"/>
          <w:numId w:val="8"/>
        </w:numPr>
        <w:rPr>
          <w:noProof/>
        </w:rPr>
      </w:pPr>
      <w:r>
        <w:rPr>
          <w:b/>
          <w:noProof/>
        </w:rPr>
        <w:t>Португалия — кал</w:t>
      </w:r>
      <w:r>
        <w:rPr>
          <w:b/>
          <w:noProof/>
        </w:rPr>
        <w:t>ни и земни свлачища 2010 г.</w:t>
      </w:r>
      <w:r>
        <w:rPr>
          <w:noProof/>
        </w:rPr>
        <w:t xml:space="preserve">: финансовата помощ от фонда възлезе на 31,256 млн. евро. Докладът за усвояването на средствата от Португалия беше получен в Комисията през октомври 2012 г. Наложи се да бъде поискана допълнителна информация от Португалия, която </w:t>
      </w:r>
      <w:r>
        <w:rPr>
          <w:noProof/>
        </w:rPr>
        <w:t xml:space="preserve">тя предостави своите отговори от септември 2013 г., което позволи разрешаването на всички неуредени въпроси във връзка с декларацията за валидност. Случаят беше приключен през май 2014 г. </w:t>
      </w:r>
    </w:p>
    <w:p w:rsidR="003804CE" w:rsidRDefault="008A4198">
      <w:pPr>
        <w:pStyle w:val="Point1number"/>
        <w:numPr>
          <w:ilvl w:val="2"/>
          <w:numId w:val="8"/>
        </w:numPr>
        <w:rPr>
          <w:noProof/>
        </w:rPr>
      </w:pPr>
      <w:r>
        <w:rPr>
          <w:b/>
          <w:noProof/>
        </w:rPr>
        <w:t>Хърватия — пролетни наводнения през 2010 г.</w:t>
      </w:r>
      <w:r>
        <w:rPr>
          <w:noProof/>
        </w:rPr>
        <w:t>: финансовата помощ възл</w:t>
      </w:r>
      <w:r>
        <w:rPr>
          <w:noProof/>
        </w:rPr>
        <w:t>езе на 3,826 млн. евро. Докладът за усвояването на средствата беше получен от Комисията през март 2013 г. След одита на Комисията, който завърши с положително становище, през декември 2014 г. приключи и намесата на Комисята.</w:t>
      </w:r>
    </w:p>
    <w:p w:rsidR="003804CE" w:rsidRDefault="008A4198">
      <w:pPr>
        <w:pStyle w:val="Text1"/>
        <w:ind w:left="851"/>
        <w:rPr>
          <w:noProof/>
        </w:rPr>
      </w:pPr>
      <w:r>
        <w:rPr>
          <w:noProof/>
        </w:rPr>
        <w:t>През 2014 г. Комисията също так</w:t>
      </w:r>
      <w:r>
        <w:rPr>
          <w:noProof/>
        </w:rPr>
        <w:t xml:space="preserve">а получи три нови доклада за усвояването на средствата по случаи, свързани със събития през 2011 и 2012 г.: от Испания във връзка със земетресението в Лорка през 2011 г.; две заявления от Италия във връзка с наводненията в Лигурия и Тоскана през 2011 г. и </w:t>
      </w:r>
      <w:r>
        <w:rPr>
          <w:noProof/>
        </w:rPr>
        <w:t>земетресението в Eмилия-Романя през 2012. Оценката на тези доклади за усвояването на средства все още не е приключила в края на периода, разглеждан в настоящия годишен доклад.</w:t>
      </w:r>
    </w:p>
    <w:p w:rsidR="003804CE" w:rsidRDefault="008A4198">
      <w:pPr>
        <w:pStyle w:val="Heading1"/>
        <w:rPr>
          <w:noProof/>
        </w:rPr>
      </w:pPr>
      <w:bookmarkStart w:id="7" w:name="_Toc430356862"/>
      <w:r>
        <w:rPr>
          <w:noProof/>
        </w:rPr>
        <w:t>Регламент за изменение на Регламент (EО) № 2012/2002 на Съвета от 11 ноември 200</w:t>
      </w:r>
      <w:r>
        <w:rPr>
          <w:noProof/>
        </w:rPr>
        <w:t>2 година за създаване на фонд „Солидарност“ на Европейския съюз</w:t>
      </w:r>
      <w:bookmarkEnd w:id="7"/>
      <w:r>
        <w:rPr>
          <w:noProof/>
        </w:rPr>
        <w:t xml:space="preserve"> </w:t>
      </w:r>
    </w:p>
    <w:p w:rsidR="003804CE" w:rsidRDefault="008A4198">
      <w:pPr>
        <w:pStyle w:val="Text1"/>
        <w:ind w:left="851"/>
        <w:rPr>
          <w:noProof/>
        </w:rPr>
      </w:pPr>
      <w:r>
        <w:rPr>
          <w:noProof/>
        </w:rPr>
        <w:t>В средата на 2013 г. Комисията представи законодателно предложение за изменение на Регламента за фонд „Солидарност“</w:t>
      </w:r>
      <w:r>
        <w:rPr>
          <w:noProof/>
          <w:vertAlign w:val="superscript"/>
        </w:rPr>
        <w:footnoteReference w:id="6"/>
      </w:r>
      <w:r>
        <w:rPr>
          <w:noProof/>
        </w:rPr>
        <w:t>. В предложението бяха включени по-специално елементи, насочени към подобряване на способността на Фонда за реагиране, към опростяване на достъпа до него с по-ясни критерии за това кой може да се възползва, опростяване на действащите правила, така че помощ</w:t>
      </w:r>
      <w:r>
        <w:rPr>
          <w:noProof/>
        </w:rPr>
        <w:t xml:space="preserve">та да се изплаща по-бързо, въвеждане на възможността за авансови </w:t>
      </w:r>
      <w:r>
        <w:rPr>
          <w:noProof/>
        </w:rPr>
        <w:lastRenderedPageBreak/>
        <w:t>плащания, по-ясно определяне на допустимите разходи, по-специално по отношение на регионалните бедствия. Акцент бе поставен върху предотвратяване на бедствията и върху стратегиите за управлен</w:t>
      </w:r>
      <w:r>
        <w:rPr>
          <w:noProof/>
        </w:rPr>
        <w:t xml:space="preserve">ие на риска на държавите членки, включително пълното прилагане на съответното законодателство на Съюза в областта на предотвратяването и управлението на риска от бедствия и използването на наличното финансиране от Съюза за съответните инвестиции. </w:t>
      </w:r>
    </w:p>
    <w:p w:rsidR="003804CE" w:rsidRDefault="008A4198">
      <w:pPr>
        <w:pStyle w:val="Text1"/>
        <w:ind w:left="851"/>
        <w:rPr>
          <w:noProof/>
        </w:rPr>
      </w:pPr>
      <w:r>
        <w:rPr>
          <w:noProof/>
        </w:rPr>
        <w:t>Обсъждан</w:t>
      </w:r>
      <w:r>
        <w:rPr>
          <w:noProof/>
        </w:rPr>
        <w:t>ията на предложението започнаха в края на ноември 2013 г. в Европейския парламент, а в Съвета — през декември по време на литовското председателство. Преговорите приключиха по време на гръцкото председателство през 2014 г. Регламент (ЕС) № 661/2014 на Евро</w:t>
      </w:r>
      <w:r>
        <w:rPr>
          <w:noProof/>
        </w:rPr>
        <w:t>пейския парламент и на Съвета от 15 май 2014 година за изменение на Регламент (ЕО) № 2012/2002 на Съвета за създаване на фонд „Солидарност“ на Европейския съюз</w:t>
      </w:r>
      <w:r>
        <w:rPr>
          <w:rStyle w:val="FootnoteReference"/>
          <w:noProof/>
        </w:rPr>
        <w:footnoteReference w:id="7"/>
      </w:r>
      <w:r>
        <w:rPr>
          <w:noProof/>
        </w:rPr>
        <w:t xml:space="preserve"> влезе в сила на 28 юни 2014 г. </w:t>
      </w:r>
    </w:p>
    <w:p w:rsidR="003804CE" w:rsidRDefault="008A4198">
      <w:pPr>
        <w:pStyle w:val="Text1"/>
        <w:ind w:left="851"/>
        <w:rPr>
          <w:noProof/>
        </w:rPr>
      </w:pPr>
      <w:r>
        <w:rPr>
          <w:noProof/>
        </w:rPr>
        <w:t>Основните резултати са: ясно определяне на областта на интервен</w:t>
      </w:r>
      <w:r>
        <w:rPr>
          <w:noProof/>
        </w:rPr>
        <w:t>ция, като тя се ограничава до природните бедствия — само с една нова разпоредба за сушата; удължаване на срока за подаване на заявления от 10 на 12 седмици; удължаване на срока за прилагане от 12 на 18 месеца, ясни правила за регионални бедствия с преки ще</w:t>
      </w:r>
      <w:r>
        <w:rPr>
          <w:noProof/>
        </w:rPr>
        <w:t xml:space="preserve">ти, надхвърлящи 1,5 % от регионалния БВП (на равнище NUTS 2). За най-отдалечените райони, този праг е 1 % от регионалния брутен вътрешен продукт. </w:t>
      </w:r>
    </w:p>
    <w:p w:rsidR="003804CE" w:rsidRDefault="008A4198">
      <w:pPr>
        <w:pStyle w:val="Text1"/>
        <w:ind w:left="851"/>
        <w:rPr>
          <w:noProof/>
        </w:rPr>
      </w:pPr>
      <w:r>
        <w:rPr>
          <w:noProof/>
        </w:rPr>
        <w:t>Считано от 2015 г. държавите членки разполагат с възможността да поискат авансово плащане в размер на 10 % от</w:t>
      </w:r>
      <w:r>
        <w:rPr>
          <w:noProof/>
        </w:rPr>
        <w:t xml:space="preserve"> вероятния размер на помощта (за максимум 30 милиона евро). </w:t>
      </w:r>
    </w:p>
    <w:p w:rsidR="003804CE" w:rsidRDefault="008A4198">
      <w:pPr>
        <w:pStyle w:val="Text1"/>
        <w:ind w:left="851"/>
        <w:rPr>
          <w:noProof/>
        </w:rPr>
      </w:pPr>
      <w:r>
        <w:rPr>
          <w:noProof/>
        </w:rPr>
        <w:br w:type="page"/>
      </w:r>
      <w:r>
        <w:rPr>
          <w:noProof/>
        </w:rPr>
        <w:lastRenderedPageBreak/>
        <w:t>Със съкращаването на административните процедури чрез обединяване на решението за отпускане на безвъзмездни средства и „изпълнителното споразумение“ в един акт, финансовите вноски от Фонда могат</w:t>
      </w:r>
      <w:r>
        <w:rPr>
          <w:noProof/>
        </w:rPr>
        <w:t xml:space="preserve"> да се изплащат по-бързо.</w:t>
      </w:r>
    </w:p>
    <w:p w:rsidR="003804CE" w:rsidRDefault="008A4198">
      <w:pPr>
        <w:pStyle w:val="Text1"/>
        <w:ind w:left="851"/>
        <w:rPr>
          <w:noProof/>
        </w:rPr>
      </w:pPr>
      <w:r>
        <w:rPr>
          <w:noProof/>
        </w:rPr>
        <w:t>Новите разпоредби, които поставят акцент върху прилагането на законодателството на ЕС относно превенцията и управлението на риска, имат за цел да се насърчат усилията на държавите членки за предотвратяване на природните бедствия и</w:t>
      </w:r>
      <w:r>
        <w:rPr>
          <w:noProof/>
        </w:rPr>
        <w:t xml:space="preserve"> за смекчаване на последиците от тях.</w:t>
      </w:r>
    </w:p>
    <w:sectPr w:rsidR="003804C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198" w:rsidRDefault="008A4198">
      <w:pPr>
        <w:spacing w:after="0" w:line="240" w:lineRule="auto"/>
      </w:pPr>
      <w:r>
        <w:separator/>
      </w:r>
    </w:p>
  </w:endnote>
  <w:endnote w:type="continuationSeparator" w:id="0">
    <w:p w:rsidR="008A4198" w:rsidRDefault="008A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8A4198">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8A4198">
    <w:pPr>
      <w:pStyle w:val="Footer"/>
      <w:jc w:val="center"/>
    </w:pPr>
    <w:r>
      <w:fldChar w:fldCharType="begin"/>
    </w:r>
    <w:r>
      <w:instrText xml:space="preserve"> PAGE   \* MERGEFORMAT </w:instrText>
    </w:r>
    <w:r>
      <w:fldChar w:fldCharType="separate"/>
    </w:r>
    <w:r w:rsidR="00546CD4">
      <w:rPr>
        <w:noProof/>
      </w:rPr>
      <w:t>2</w:t>
    </w:r>
    <w:r>
      <w:rPr>
        <w:noProof/>
      </w:rPr>
      <w:fldChar w:fldCharType="end"/>
    </w:r>
  </w:p>
  <w:p w:rsidR="003804CE" w:rsidRDefault="003804C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8A4198">
    <w:pPr>
      <w:pStyle w:val="Footer"/>
      <w:jc w:val="center"/>
    </w:pPr>
    <w:r>
      <w:fldChar w:fldCharType="begin"/>
    </w:r>
    <w:r>
      <w:instrText xml:space="preserve"> PAGE   \* MERGEFORMAT </w:instrText>
    </w:r>
    <w:r>
      <w:fldChar w:fldCharType="separate"/>
    </w:r>
    <w:r>
      <w:rPr>
        <w:noProof/>
      </w:rPr>
      <w:t>1</w:t>
    </w:r>
    <w:r>
      <w:rPr>
        <w:noProof/>
      </w:rPr>
      <w:fldChar w:fldCharType="end"/>
    </w:r>
  </w:p>
  <w:p w:rsidR="003804CE" w:rsidRDefault="003804C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8A4198">
    <w:pPr>
      <w:pStyle w:val="Footer"/>
      <w:jc w:val="center"/>
    </w:pPr>
    <w:r>
      <w:fldChar w:fldCharType="begin"/>
    </w:r>
    <w:r>
      <w:instrText xml:space="preserve"> PAGE   \* MERGEFORMAT </w:instrText>
    </w:r>
    <w:r>
      <w:fldChar w:fldCharType="separate"/>
    </w:r>
    <w:r w:rsidR="00546CD4">
      <w:rPr>
        <w:noProof/>
      </w:rPr>
      <w:t>6</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198" w:rsidRDefault="008A4198">
      <w:pPr>
        <w:spacing w:after="0" w:line="240" w:lineRule="auto"/>
      </w:pPr>
      <w:r>
        <w:separator/>
      </w:r>
    </w:p>
  </w:footnote>
  <w:footnote w:type="continuationSeparator" w:id="0">
    <w:p w:rsidR="008A4198" w:rsidRDefault="008A4198">
      <w:pPr>
        <w:spacing w:after="0" w:line="240" w:lineRule="auto"/>
      </w:pPr>
      <w:r>
        <w:continuationSeparator/>
      </w:r>
    </w:p>
  </w:footnote>
  <w:footnote w:id="1">
    <w:p w:rsidR="003804CE" w:rsidRDefault="008A4198">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(OВ L 311, 14.11.2002 г., стр. 3).</w:t>
      </w:r>
    </w:p>
  </w:footnote>
  <w:footnote w:id="2">
    <w:p w:rsidR="003804CE" w:rsidRDefault="008A4198">
      <w:pPr>
        <w:pStyle w:val="FootnoteText"/>
      </w:pPr>
      <w:r>
        <w:rPr>
          <w:rStyle w:val="FootnoteReference"/>
        </w:rPr>
        <w:footnoteRef/>
      </w:r>
      <w:r>
        <w:tab/>
        <w:t>Регламент (ЕС) № 661/2014 на</w:t>
      </w:r>
      <w:r>
        <w:t xml:space="preserve"> Европейския парламент и на Съвета от 15 май 2014 година за изменение на Регламент (ЕО) № 2012/2002 на Съвета за създаване на фонд „Солидарност“ на Европейския съюз (ОВ L 189, 27.6.2014 г., стр. 143).</w:t>
      </w:r>
    </w:p>
  </w:footnote>
  <w:footnote w:id="3">
    <w:p w:rsidR="003804CE" w:rsidRDefault="008A4198">
      <w:pPr>
        <w:pStyle w:val="FootnoteText"/>
      </w:pPr>
      <w:r>
        <w:rPr>
          <w:rStyle w:val="FootnoteReference"/>
        </w:rPr>
        <w:footnoteRef/>
      </w:r>
      <w:r>
        <w:tab/>
        <w:t>Тези заявления бяха приети през пролетта на 2015 г. и</w:t>
      </w:r>
      <w:r>
        <w:t xml:space="preserve"> ще бъдат представени по-подробно в годишния доклад за 2015 г.</w:t>
      </w:r>
    </w:p>
  </w:footnote>
  <w:footnote w:id="4">
    <w:p w:rsidR="003804CE" w:rsidRDefault="008A4198">
      <w:pPr>
        <w:pStyle w:val="FootnoteText"/>
      </w:pPr>
      <w:r>
        <w:rPr>
          <w:rStyle w:val="FootnoteReference"/>
        </w:rPr>
        <w:footnoteRef/>
      </w:r>
      <w:r>
        <w:tab/>
        <w:t>Коригиращият бюджет (КБ) № 4 за 2014 г. се отнася до мобилизирането на средства от ФСЕС в размер на 47,0 млн. евро под формата на бюджетни кредити за поети задължения. Мобилизирането на средс</w:t>
      </w:r>
      <w:r>
        <w:t xml:space="preserve">тва е във връзка с наводненията в Италия (Сардиния) през ноември 2013 г., земетресение в Гърция (Кефалония), ледени бури в Словения и същите ледени бури, последвани от заледявания и наводнения в Хърватия, в края на януари/началото на февруари 2014 г. OВ L </w:t>
      </w:r>
      <w:r>
        <w:t>73, 17.3.2015 г.</w:t>
      </w:r>
    </w:p>
  </w:footnote>
  <w:footnote w:id="5">
    <w:p w:rsidR="003804CE" w:rsidRDefault="008A4198">
      <w:pPr>
        <w:pStyle w:val="FootnoteText"/>
      </w:pPr>
      <w:r>
        <w:rPr>
          <w:rStyle w:val="FootnoteReference"/>
        </w:rPr>
        <w:footnoteRef/>
      </w:r>
      <w:r>
        <w:tab/>
        <w:t>Коригиращият бюджет (КБ) № 6 за 2014 г. се отнася до мобилизирането на средства от ФСЕС в размер на 79,7 млн. евро под формата на бюджетни кредити за поети задължения. Мобилизирането на средства е във връзка с наводненията в Сърбия и Хър</w:t>
      </w:r>
      <w:r>
        <w:t>ватия през май 2014 г. и наводненията в България през юни 2014 г. OВ L 73, 17.3.2015 г.</w:t>
      </w:r>
    </w:p>
  </w:footnote>
  <w:footnote w:id="6">
    <w:p w:rsidR="003804CE" w:rsidRPr="00546CD4" w:rsidRDefault="008A4198">
      <w:pPr>
        <w:pStyle w:val="FootnoteText"/>
        <w:rPr>
          <w:lang w:val="ru-RU"/>
        </w:rPr>
      </w:pPr>
      <w:r>
        <w:rPr>
          <w:rStyle w:val="FootnoteReference"/>
        </w:rPr>
        <w:footnoteRef/>
      </w:r>
      <w:r>
        <w:tab/>
        <w:t>COM(2013) 522, 25 юли 2013 г.</w:t>
      </w:r>
    </w:p>
  </w:footnote>
  <w:footnote w:id="7">
    <w:p w:rsidR="003804CE" w:rsidRPr="00546CD4" w:rsidRDefault="008A4198">
      <w:pPr>
        <w:pStyle w:val="FootnoteText"/>
        <w:rPr>
          <w:lang w:val="ru-RU"/>
        </w:rPr>
      </w:pPr>
      <w:r>
        <w:rPr>
          <w:rStyle w:val="FootnoteReference"/>
        </w:rPr>
        <w:footnoteRef/>
      </w:r>
      <w:r>
        <w:tab/>
        <w:t>OВ L 189, 27.6.2014 г., стр.143.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Header"/>
      <w:jc w:val="right"/>
      <w:rPr>
        <w:color w:val="C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CE" w:rsidRDefault="003804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AA253A"/>
    <w:lvl w:ilvl="0">
      <w:start w:val="1"/>
      <w:numFmt w:val="decimal"/>
      <w:lvlText w:val="%1."/>
      <w:lvlJc w:val="left"/>
      <w:pPr>
        <w:tabs>
          <w:tab w:val="num" w:pos="1492"/>
        </w:tabs>
        <w:ind w:left="1492" w:hanging="360"/>
      </w:pPr>
    </w:lvl>
  </w:abstractNum>
  <w:abstractNum w:abstractNumId="1">
    <w:nsid w:val="FFFFFF7D"/>
    <w:multiLevelType w:val="singleLevel"/>
    <w:tmpl w:val="D2B03C0A"/>
    <w:lvl w:ilvl="0">
      <w:start w:val="1"/>
      <w:numFmt w:val="decimal"/>
      <w:lvlText w:val="%1."/>
      <w:lvlJc w:val="left"/>
      <w:pPr>
        <w:tabs>
          <w:tab w:val="num" w:pos="1209"/>
        </w:tabs>
        <w:ind w:left="1209" w:hanging="360"/>
      </w:pPr>
    </w:lvl>
  </w:abstractNum>
  <w:abstractNum w:abstractNumId="2">
    <w:nsid w:val="FFFFFF7E"/>
    <w:multiLevelType w:val="singleLevel"/>
    <w:tmpl w:val="1294028A"/>
    <w:lvl w:ilvl="0">
      <w:start w:val="1"/>
      <w:numFmt w:val="decimal"/>
      <w:lvlText w:val="%1."/>
      <w:lvlJc w:val="left"/>
      <w:pPr>
        <w:tabs>
          <w:tab w:val="num" w:pos="926"/>
        </w:tabs>
        <w:ind w:left="926" w:hanging="360"/>
      </w:pPr>
    </w:lvl>
  </w:abstractNum>
  <w:abstractNum w:abstractNumId="3">
    <w:nsid w:val="FFFFFF7F"/>
    <w:multiLevelType w:val="singleLevel"/>
    <w:tmpl w:val="5328B8E0"/>
    <w:lvl w:ilvl="0">
      <w:start w:val="1"/>
      <w:numFmt w:val="decimal"/>
      <w:lvlText w:val="%1."/>
      <w:lvlJc w:val="left"/>
      <w:pPr>
        <w:tabs>
          <w:tab w:val="num" w:pos="643"/>
        </w:tabs>
        <w:ind w:left="643" w:hanging="360"/>
      </w:pPr>
    </w:lvl>
  </w:abstractNum>
  <w:abstractNum w:abstractNumId="4">
    <w:nsid w:val="FFFFFF80"/>
    <w:multiLevelType w:val="singleLevel"/>
    <w:tmpl w:val="30048C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04E8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70B9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20E1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46445DA"/>
    <w:lvl w:ilvl="0">
      <w:start w:val="1"/>
      <w:numFmt w:val="decimal"/>
      <w:lvlText w:val="%1."/>
      <w:lvlJc w:val="left"/>
      <w:pPr>
        <w:tabs>
          <w:tab w:val="num" w:pos="360"/>
        </w:tabs>
        <w:ind w:left="360" w:hanging="360"/>
      </w:pPr>
    </w:lvl>
  </w:abstractNum>
  <w:abstractNum w:abstractNumId="9">
    <w:nsid w:val="FFFFFF89"/>
    <w:multiLevelType w:val="singleLevel"/>
    <w:tmpl w:val="50AC5BE8"/>
    <w:lvl w:ilvl="0">
      <w:start w:val="1"/>
      <w:numFmt w:val="bullet"/>
      <w:lvlText w:val=""/>
      <w:lvlJc w:val="left"/>
      <w:pPr>
        <w:tabs>
          <w:tab w:val="num" w:pos="360"/>
        </w:tabs>
        <w:ind w:left="360" w:hanging="360"/>
      </w:pPr>
      <w:rPr>
        <w:rFonts w:ascii="Symbol" w:hAnsi="Symbol"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CCC6D51"/>
    <w:multiLevelType w:val="hybridMultilevel"/>
    <w:tmpl w:val="FF16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0"/>
  </w:num>
  <w:num w:numId="9">
    <w:abstractNumId w:val="11"/>
    <w:lvlOverride w:ilvl="0">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8C29C02DF00C4314A0E60BE70D1385F5"/>
    <w:docVar w:name="LW_CROSSREFERENCE" w:val="&lt;UNUSED&gt;"/>
    <w:docVar w:name="LW_DATE.ADOPT.CP_ISODATE" w:val="&lt;EMPTY&gt;"/>
    <w:docVar w:name="LW_DocType" w:val="NORMAL"/>
    <w:docVar w:name="LW_EMISSION" w:val="16.10.2015"/>
    <w:docVar w:name="LW_EMISSION_ISODATE" w:val="2015-10-16"/>
    <w:docVar w:name="LW_EMISSION_LOCATION" w:val="BRX"/>
    <w:docVar w:name="LW_EMISSION_PREFIX" w:val="Брюксел, "/>
    <w:docVar w:name="LW_EMISSION_SUFFIX" w:val=" \u1075?."/>
    <w:docVar w:name="LW_ID_DOCTYPE_NONLW" w:val="CP-006"/>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502"/>
    <w:docVar w:name="LW_REF.INTERNE" w:val="&lt;UNUSED&gt;"/>
    <w:docVar w:name="LW_SOUS.TITRE.OBJ.CP" w:val="&lt;UNUSED&gt;"/>
    <w:docVar w:name="LW_SUPERTITRE" w:val="&lt;UNUSED&gt;"/>
    <w:docVar w:name="LW_TITRE.OBJ.CP" w:val="\u1079?\u1072? \u1076?\u1077?\u1081?\u1085?\u1086?\u1089?\u1090?\u1090?\u1072? \u1085?\u1072? \u1092?\u1086?\u1085?\u1076? \u8222?\u1057?\u1086?\u1083?\u1080?\u1076?\u1072?\u1088?\u1085?\u1086?\u1089?\u1090?\u8220? \u1085?\u1072? \u1045?\u1057? \u1087?\u1088?\u1077?\u1079? 2014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w:rsids>
    <w:rsidRoot w:val="003804CE"/>
    <w:rsid w:val="003804CE"/>
    <w:rsid w:val="00546CD4"/>
    <w:rsid w:val="008A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bg-BG" w:eastAsia="bg-BG" w:bidi="bg-BG"/>
    </w:rPr>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b/>
      <w:bCs/>
      <w:smallCaps/>
      <w:sz w:val="24"/>
      <w:szCs w:val="28"/>
    </w:rPr>
  </w:style>
  <w:style w:type="paragraph" w:styleId="Heading2">
    <w:name w:val="heading 2"/>
    <w:basedOn w:val="Normal"/>
    <w:next w:val="Text1"/>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b/>
      <w:bCs/>
      <w:smallCaps/>
      <w:sz w:val="24"/>
      <w:szCs w:val="28"/>
    </w:rPr>
  </w:style>
  <w:style w:type="character" w:customStyle="1" w:styleId="Heading2Char">
    <w:name w:val="Heading 2 Char"/>
    <w:link w:val="Heading2"/>
    <w:uiPriority w:val="9"/>
    <w:semiHidden/>
    <w:rPr>
      <w:rFonts w:ascii="Times New Roman" w:eastAsia="Times New Roman" w:hAnsi="Times New Roman"/>
      <w:b/>
      <w:bCs/>
      <w:sz w:val="24"/>
      <w:szCs w:val="26"/>
    </w:rPr>
  </w:style>
  <w:style w:type="character" w:customStyle="1" w:styleId="Heading3Char">
    <w:name w:val="Heading 3 Char"/>
    <w:link w:val="Heading3"/>
    <w:uiPriority w:val="9"/>
    <w:semiHidden/>
    <w:rPr>
      <w:rFonts w:ascii="Times New Roman" w:eastAsia="Times New Roman" w:hAnsi="Times New Roman"/>
      <w:bCs/>
      <w:i/>
      <w:sz w:val="24"/>
      <w:szCs w:val="22"/>
    </w:rPr>
  </w:style>
  <w:style w:type="character" w:customStyle="1" w:styleId="Heading4Char">
    <w:name w:val="Heading 4 Char"/>
    <w:link w:val="Heading4"/>
    <w:uiPriority w:val="9"/>
    <w:semiHidden/>
    <w:rPr>
      <w:rFonts w:ascii="Times New Roman" w:eastAsia="Times New Roman" w:hAnsi="Times New Roman"/>
      <w:bCs/>
      <w:iCs/>
      <w:sz w:val="24"/>
      <w:szCs w:val="22"/>
    </w:rPr>
  </w:style>
  <w:style w:type="character" w:styleId="Hyperlink">
    <w:name w:val="Hyperlink"/>
    <w:uiPriority w:val="99"/>
    <w:rPr>
      <w:color w:val="0000FF"/>
      <w:u w:val="single"/>
      <w:shd w:val="clear" w:color="auto" w:fill="auto"/>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FooterChar">
    <w:name w:val="Footer Char"/>
    <w:link w:val="Footer"/>
    <w:uiPriority w:val="99"/>
    <w:rPr>
      <w:rFonts w:ascii="Times New Roman" w:eastAsia="Times New Roman" w:hAnsi="Times New Roman"/>
      <w:sz w:val="24"/>
      <w:szCs w:val="22"/>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eastAsia="Times New Roman" w:hAnsi="Times New Roman"/>
      <w:sz w:val="24"/>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rPr>
  </w:style>
  <w:style w:type="paragraph" w:customStyle="1" w:styleId="Point0number">
    <w:name w:val="Point 0 (number)"/>
    <w:basedOn w:val="Normal"/>
    <w:pPr>
      <w:numPr>
        <w:numId w:val="3"/>
      </w:numPr>
      <w:spacing w:before="120" w:after="120" w:line="240" w:lineRule="auto"/>
      <w:jc w:val="both"/>
    </w:pPr>
    <w:rPr>
      <w:rFonts w:ascii="Times New Roman" w:eastAsia="Times New Roman" w:hAnsi="Times New Roman"/>
      <w:sz w:val="24"/>
    </w:rPr>
  </w:style>
  <w:style w:type="paragraph" w:customStyle="1" w:styleId="Point1number">
    <w:name w:val="Point 1 (number)"/>
    <w:basedOn w:val="Normal"/>
    <w:pPr>
      <w:numPr>
        <w:ilvl w:val="2"/>
        <w:numId w:val="3"/>
      </w:numPr>
      <w:spacing w:before="120" w:after="120" w:line="240" w:lineRule="auto"/>
      <w:jc w:val="both"/>
    </w:pPr>
    <w:rPr>
      <w:rFonts w:ascii="Times New Roman" w:eastAsia="Times New Roman" w:hAnsi="Times New Roman"/>
      <w:sz w:val="24"/>
    </w:rPr>
  </w:style>
  <w:style w:type="paragraph" w:customStyle="1" w:styleId="Point2number">
    <w:name w:val="Point 2 (number)"/>
    <w:basedOn w:val="Normal"/>
    <w:pPr>
      <w:numPr>
        <w:ilvl w:val="4"/>
        <w:numId w:val="3"/>
      </w:numPr>
      <w:spacing w:before="120" w:after="120" w:line="240" w:lineRule="auto"/>
      <w:jc w:val="both"/>
    </w:pPr>
    <w:rPr>
      <w:rFonts w:ascii="Times New Roman" w:eastAsia="Times New Roman" w:hAnsi="Times New Roman"/>
      <w:sz w:val="24"/>
    </w:rPr>
  </w:style>
  <w:style w:type="paragraph" w:customStyle="1" w:styleId="Point3number">
    <w:name w:val="Point 3 (number)"/>
    <w:basedOn w:val="Normal"/>
    <w:pPr>
      <w:numPr>
        <w:ilvl w:val="6"/>
        <w:numId w:val="3"/>
      </w:numPr>
      <w:spacing w:before="120" w:after="120" w:line="240" w:lineRule="auto"/>
      <w:jc w:val="both"/>
    </w:pPr>
    <w:rPr>
      <w:rFonts w:ascii="Times New Roman" w:eastAsia="Times New Roman" w:hAnsi="Times New Roman"/>
      <w:sz w:val="24"/>
    </w:rPr>
  </w:style>
  <w:style w:type="paragraph" w:customStyle="1" w:styleId="Point0letter">
    <w:name w:val="Point 0 (letter)"/>
    <w:basedOn w:val="Normal"/>
    <w:pPr>
      <w:numPr>
        <w:ilvl w:val="1"/>
        <w:numId w:val="3"/>
      </w:numPr>
      <w:spacing w:before="120" w:after="120" w:line="240" w:lineRule="auto"/>
      <w:jc w:val="both"/>
    </w:pPr>
    <w:rPr>
      <w:rFonts w:ascii="Times New Roman" w:eastAsia="Times New Roman" w:hAnsi="Times New Roman"/>
      <w:sz w:val="24"/>
    </w:rPr>
  </w:style>
  <w:style w:type="paragraph" w:customStyle="1" w:styleId="Point1letter">
    <w:name w:val="Point 1 (letter)"/>
    <w:basedOn w:val="Normal"/>
    <w:pPr>
      <w:numPr>
        <w:ilvl w:val="3"/>
        <w:numId w:val="3"/>
      </w:numPr>
      <w:spacing w:before="120" w:after="120" w:line="240" w:lineRule="auto"/>
      <w:jc w:val="both"/>
    </w:pPr>
    <w:rPr>
      <w:rFonts w:ascii="Times New Roman" w:eastAsia="Times New Roman" w:hAnsi="Times New Roman"/>
      <w:sz w:val="24"/>
    </w:rPr>
  </w:style>
  <w:style w:type="paragraph" w:customStyle="1" w:styleId="Point2letter">
    <w:name w:val="Point 2 (letter)"/>
    <w:basedOn w:val="Normal"/>
    <w:pPr>
      <w:numPr>
        <w:ilvl w:val="5"/>
        <w:numId w:val="3"/>
      </w:numPr>
      <w:spacing w:before="120" w:after="120" w:line="240" w:lineRule="auto"/>
      <w:jc w:val="both"/>
    </w:pPr>
    <w:rPr>
      <w:rFonts w:ascii="Times New Roman" w:eastAsia="Times New Roman" w:hAnsi="Times New Roman"/>
      <w:sz w:val="24"/>
    </w:rPr>
  </w:style>
  <w:style w:type="paragraph" w:customStyle="1" w:styleId="Point3letter">
    <w:name w:val="Point 3 (letter)"/>
    <w:basedOn w:val="Normal"/>
    <w:pPr>
      <w:numPr>
        <w:ilvl w:val="7"/>
        <w:numId w:val="3"/>
      </w:numPr>
      <w:spacing w:before="120" w:after="120" w:line="240" w:lineRule="auto"/>
      <w:jc w:val="both"/>
    </w:pPr>
    <w:rPr>
      <w:rFonts w:ascii="Times New Roman" w:eastAsia="Times New Roman" w:hAnsi="Times New Roman"/>
      <w:sz w:val="24"/>
    </w:rPr>
  </w:style>
  <w:style w:type="paragraph" w:customStyle="1" w:styleId="Point4letter">
    <w:name w:val="Point 4 (letter)"/>
    <w:basedOn w:val="Normal"/>
    <w:pPr>
      <w:numPr>
        <w:ilvl w:val="8"/>
        <w:numId w:val="3"/>
      </w:numPr>
      <w:spacing w:before="120" w:after="120" w:line="240" w:lineRule="auto"/>
      <w:jc w:val="both"/>
    </w:pPr>
    <w:rPr>
      <w:rFonts w:ascii="Times New Roman" w:eastAsia="Times New Roman" w:hAnsi="Times New Roman"/>
      <w:sz w:val="24"/>
    </w:rPr>
  </w:style>
  <w:style w:type="paragraph" w:customStyle="1" w:styleId="Titreobjet">
    <w:name w:val="Titre objet"/>
    <w:basedOn w:val="Normal"/>
    <w:next w:val="Normal"/>
    <w:pPr>
      <w:spacing w:before="360" w:after="360" w:line="240" w:lineRule="auto"/>
      <w:jc w:val="center"/>
    </w:pPr>
    <w:rPr>
      <w:rFonts w:ascii="Times New Roman" w:eastAsia="Times New Roman" w:hAnsi="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Text1Char">
    <w:name w:val="Text 1 Char"/>
    <w:link w:val="Text1"/>
    <w:rPr>
      <w:rFonts w:ascii="Times New Roman" w:eastAsia="Times New Roman" w:hAnsi="Times New Roman"/>
      <w:sz w:val="24"/>
      <w:szCs w:val="22"/>
    </w:rPr>
  </w:style>
  <w:style w:type="paragraph" w:styleId="Revision">
    <w:name w:val="Revision"/>
    <w:hidden/>
    <w:uiPriority w:val="99"/>
    <w:semiHidden/>
    <w:rPr>
      <w:sz w:val="22"/>
      <w:szCs w:val="22"/>
      <w:lang w:val="bg-BG" w:eastAsia="bg-BG" w:bidi="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89916">
      <w:bodyDiv w:val="1"/>
      <w:marLeft w:val="0"/>
      <w:marRight w:val="0"/>
      <w:marTop w:val="0"/>
      <w:marBottom w:val="0"/>
      <w:divBdr>
        <w:top w:val="none" w:sz="0" w:space="0" w:color="auto"/>
        <w:left w:val="none" w:sz="0" w:space="0" w:color="auto"/>
        <w:bottom w:val="none" w:sz="0" w:space="0" w:color="auto"/>
        <w:right w:val="none" w:sz="0" w:space="0" w:color="auto"/>
      </w:divBdr>
    </w:div>
    <w:div w:id="541674914">
      <w:bodyDiv w:val="1"/>
      <w:marLeft w:val="0"/>
      <w:marRight w:val="0"/>
      <w:marTop w:val="0"/>
      <w:marBottom w:val="0"/>
      <w:divBdr>
        <w:top w:val="none" w:sz="0" w:space="0" w:color="auto"/>
        <w:left w:val="none" w:sz="0" w:space="0" w:color="auto"/>
        <w:bottom w:val="none" w:sz="0" w:space="0" w:color="auto"/>
        <w:right w:val="none" w:sz="0" w:space="0" w:color="auto"/>
      </w:divBdr>
    </w:div>
    <w:div w:id="941571023">
      <w:bodyDiv w:val="1"/>
      <w:marLeft w:val="0"/>
      <w:marRight w:val="0"/>
      <w:marTop w:val="0"/>
      <w:marBottom w:val="0"/>
      <w:divBdr>
        <w:top w:val="none" w:sz="0" w:space="0" w:color="auto"/>
        <w:left w:val="none" w:sz="0" w:space="0" w:color="auto"/>
        <w:bottom w:val="none" w:sz="0" w:space="0" w:color="auto"/>
        <w:right w:val="none" w:sz="0" w:space="0" w:color="auto"/>
      </w:divBdr>
    </w:div>
    <w:div w:id="1010521649">
      <w:bodyDiv w:val="1"/>
      <w:marLeft w:val="0"/>
      <w:marRight w:val="0"/>
      <w:marTop w:val="0"/>
      <w:marBottom w:val="0"/>
      <w:divBdr>
        <w:top w:val="none" w:sz="0" w:space="0" w:color="auto"/>
        <w:left w:val="none" w:sz="0" w:space="0" w:color="auto"/>
        <w:bottom w:val="none" w:sz="0" w:space="0" w:color="auto"/>
        <w:right w:val="none" w:sz="0" w:space="0" w:color="auto"/>
      </w:divBdr>
    </w:div>
    <w:div w:id="1247761911">
      <w:bodyDiv w:val="1"/>
      <w:marLeft w:val="0"/>
      <w:marRight w:val="0"/>
      <w:marTop w:val="0"/>
      <w:marBottom w:val="0"/>
      <w:divBdr>
        <w:top w:val="none" w:sz="0" w:space="0" w:color="auto"/>
        <w:left w:val="none" w:sz="0" w:space="0" w:color="auto"/>
        <w:bottom w:val="none" w:sz="0" w:space="0" w:color="auto"/>
        <w:right w:val="none" w:sz="0" w:space="0" w:color="auto"/>
      </w:divBdr>
    </w:div>
    <w:div w:id="1311834560">
      <w:bodyDiv w:val="1"/>
      <w:marLeft w:val="0"/>
      <w:marRight w:val="0"/>
      <w:marTop w:val="0"/>
      <w:marBottom w:val="0"/>
      <w:divBdr>
        <w:top w:val="none" w:sz="0" w:space="0" w:color="auto"/>
        <w:left w:val="none" w:sz="0" w:space="0" w:color="auto"/>
        <w:bottom w:val="none" w:sz="0" w:space="0" w:color="auto"/>
        <w:right w:val="none" w:sz="0" w:space="0" w:color="auto"/>
      </w:divBdr>
    </w:div>
    <w:div w:id="1314069530">
      <w:bodyDiv w:val="1"/>
      <w:marLeft w:val="0"/>
      <w:marRight w:val="0"/>
      <w:marTop w:val="0"/>
      <w:marBottom w:val="0"/>
      <w:divBdr>
        <w:top w:val="none" w:sz="0" w:space="0" w:color="auto"/>
        <w:left w:val="none" w:sz="0" w:space="0" w:color="auto"/>
        <w:bottom w:val="none" w:sz="0" w:space="0" w:color="auto"/>
        <w:right w:val="none" w:sz="0" w:space="0" w:color="auto"/>
      </w:divBdr>
    </w:div>
    <w:div w:id="1376929530">
      <w:bodyDiv w:val="1"/>
      <w:marLeft w:val="0"/>
      <w:marRight w:val="0"/>
      <w:marTop w:val="0"/>
      <w:marBottom w:val="0"/>
      <w:divBdr>
        <w:top w:val="none" w:sz="0" w:space="0" w:color="auto"/>
        <w:left w:val="none" w:sz="0" w:space="0" w:color="auto"/>
        <w:bottom w:val="none" w:sz="0" w:space="0" w:color="auto"/>
        <w:right w:val="none" w:sz="0" w:space="0" w:color="auto"/>
      </w:divBdr>
    </w:div>
    <w:div w:id="1425877642">
      <w:bodyDiv w:val="1"/>
      <w:marLeft w:val="0"/>
      <w:marRight w:val="0"/>
      <w:marTop w:val="0"/>
      <w:marBottom w:val="0"/>
      <w:divBdr>
        <w:top w:val="none" w:sz="0" w:space="0" w:color="auto"/>
        <w:left w:val="none" w:sz="0" w:space="0" w:color="auto"/>
        <w:bottom w:val="none" w:sz="0" w:space="0" w:color="auto"/>
        <w:right w:val="none" w:sz="0" w:space="0" w:color="auto"/>
      </w:divBdr>
    </w:div>
    <w:div w:id="178175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1988-11ED-4097-B95D-74037C50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3615</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24176</CharactersWithSpaces>
  <SharedDoc>false</SharedDoc>
  <HLinks>
    <vt:vector size="36" baseType="variant">
      <vt:variant>
        <vt:i4>1441842</vt:i4>
      </vt:variant>
      <vt:variant>
        <vt:i4>32</vt:i4>
      </vt:variant>
      <vt:variant>
        <vt:i4>0</vt:i4>
      </vt:variant>
      <vt:variant>
        <vt:i4>5</vt:i4>
      </vt:variant>
      <vt:variant>
        <vt:lpwstr/>
      </vt:variant>
      <vt:variant>
        <vt:lpwstr>_Toc424909239</vt:lpwstr>
      </vt:variant>
      <vt:variant>
        <vt:i4>1441842</vt:i4>
      </vt:variant>
      <vt:variant>
        <vt:i4>26</vt:i4>
      </vt:variant>
      <vt:variant>
        <vt:i4>0</vt:i4>
      </vt:variant>
      <vt:variant>
        <vt:i4>5</vt:i4>
      </vt:variant>
      <vt:variant>
        <vt:lpwstr/>
      </vt:variant>
      <vt:variant>
        <vt:lpwstr>_Toc424909238</vt:lpwstr>
      </vt:variant>
      <vt:variant>
        <vt:i4>1441842</vt:i4>
      </vt:variant>
      <vt:variant>
        <vt:i4>20</vt:i4>
      </vt:variant>
      <vt:variant>
        <vt:i4>0</vt:i4>
      </vt:variant>
      <vt:variant>
        <vt:i4>5</vt:i4>
      </vt:variant>
      <vt:variant>
        <vt:lpwstr/>
      </vt:variant>
      <vt:variant>
        <vt:lpwstr>_Toc424909237</vt:lpwstr>
      </vt:variant>
      <vt:variant>
        <vt:i4>1441842</vt:i4>
      </vt:variant>
      <vt:variant>
        <vt:i4>14</vt:i4>
      </vt:variant>
      <vt:variant>
        <vt:i4>0</vt:i4>
      </vt:variant>
      <vt:variant>
        <vt:i4>5</vt:i4>
      </vt:variant>
      <vt:variant>
        <vt:lpwstr/>
      </vt:variant>
      <vt:variant>
        <vt:lpwstr>_Toc424909236</vt:lpwstr>
      </vt:variant>
      <vt:variant>
        <vt:i4>1441842</vt:i4>
      </vt:variant>
      <vt:variant>
        <vt:i4>8</vt:i4>
      </vt:variant>
      <vt:variant>
        <vt:i4>0</vt:i4>
      </vt:variant>
      <vt:variant>
        <vt:i4>5</vt:i4>
      </vt:variant>
      <vt:variant>
        <vt:lpwstr/>
      </vt:variant>
      <vt:variant>
        <vt:lpwstr>_Toc424909235</vt:lpwstr>
      </vt:variant>
      <vt:variant>
        <vt:i4>1441842</vt:i4>
      </vt:variant>
      <vt:variant>
        <vt:i4>2</vt:i4>
      </vt:variant>
      <vt:variant>
        <vt:i4>0</vt:i4>
      </vt:variant>
      <vt:variant>
        <vt:i4>5</vt:i4>
      </vt:variant>
      <vt:variant>
        <vt:lpwstr/>
      </vt:variant>
      <vt:variant>
        <vt:lpwstr>_Toc424909234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2015-06-10T09:53:00Z</cp:lastPrinted>
  <dcterms:created xsi:type="dcterms:W3CDTF">2015-08-03T12:59:00Z</dcterms:created>
  <dcterms:modified xsi:type="dcterms:W3CDTF">2015-10-08T06:17:00Z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