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267669F124E4680B135663B277C5FD8" style="width:451pt;height:37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smallCaps/>
          <w:noProof/>
        </w:rPr>
      </w:pPr>
      <w:bookmarkStart w:id="1" w:name="_GoBack"/>
      <w:bookmarkEnd w:id="1"/>
    </w:p>
    <w:p>
      <w:pPr>
        <w:tabs>
          <w:tab w:val="left" w:pos="960"/>
        </w:tabs>
        <w:ind w:left="960" w:hanging="960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smallCaps/>
          <w:noProof/>
        </w:rPr>
        <w:t>Приложение I: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</w:rPr>
        <w:t xml:space="preserve">Фонд „Солидарност“ на ЕС —Прагове за големи бедствия, приложими през </w:t>
      </w:r>
      <w:r>
        <w:rPr>
          <w:rFonts w:ascii="Times New Roman" w:hAnsi="Times New Roman"/>
          <w:b/>
          <w:smallCaps/>
          <w:noProof/>
          <w:u w:val="single"/>
        </w:rPr>
        <w:t>2014 г. преди приемането на преразгледания Регламент</w:t>
      </w:r>
      <w:r>
        <w:rPr>
          <w:rFonts w:ascii="Times New Roman" w:hAnsi="Times New Roman"/>
          <w:b/>
          <w:smallCaps/>
          <w:noProof/>
        </w:rPr>
        <w:t xml:space="preserve"> (</w:t>
      </w:r>
      <w:r>
        <w:rPr>
          <w:rFonts w:ascii="Times New Roman" w:hAnsi="Times New Roman"/>
          <w:noProof/>
        </w:rPr>
        <w:t>въз основа на данни на Евростат за 2012 г. за брутния национален доход)</w:t>
      </w:r>
    </w:p>
    <w:p>
      <w:pPr>
        <w:spacing w:after="0" w:line="240" w:lineRule="auto"/>
        <w:ind w:right="252"/>
        <w:jc w:val="both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В Регламент 2012/2002 на Съвета за създаване на фонд „Солидарност“ на EС прагът за мобилизиране на средства от Фонда за дадена държава се определя като щета, която надхвърля 0,6 % от БНД или 3 млрд. EUR по цени за 2002 г. Прилага се по-ниската от двете стойности.</w:t>
      </w:r>
    </w:p>
    <w:p>
      <w:pPr>
        <w:spacing w:after="0" w:line="240" w:lineRule="auto"/>
        <w:ind w:right="169"/>
        <w:jc w:val="right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(млн. евро)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20"/>
        <w:gridCol w:w="2520"/>
        <w:gridCol w:w="1860"/>
        <w:gridCol w:w="1860"/>
        <w:gridCol w:w="2040"/>
      </w:tblGrid>
      <w:tr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БНД 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0,6 % от БНД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праг за 2014 г.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ÖSTERREICH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305 109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1 830.656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1 830.656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BELGIË/BELGIQUE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376 903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2 261.418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2 261.418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BULGARIA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38 750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232.502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232.502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KYPROS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103.109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103.109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ČESKÁ REPUBLIKA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141 596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849.575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849.575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DEUTSCHLAND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2 730 070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16 380.420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3 752.330*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DANMARK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252 656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1 515.938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1 515.938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EESTI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16 585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99.507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99.507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ELLADA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194 705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1 168.231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1 168.231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ESPAÑA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1 017 022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6 102.132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3 752.330*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SUOMI/FINLAND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192 303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1 153.818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1 153.818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FRANCE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2 067 175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12 403.050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3 752.330*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HRVATSKA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42 372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254.229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254.229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MAGYARORSZÁG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91 760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550.558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550.558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ÉIRE/IRELAND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133 864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803.186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803.186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ITALIA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1 556 781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9 340.688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3 752.330*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LIETUVA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31 883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191.300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191.300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LUXEMBOURG (G.D.)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29 225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175.347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175.347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LATVIJA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22 229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133.372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133.372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MALTA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6 441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38.648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38.648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NEDERLAND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604 993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3 629.958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3 629.958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POLSKA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365 188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2 191.125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2 191.125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PORTUGAL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160 563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963.376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963.376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ROMÂNIA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130 623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783.738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783.738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SVERIGE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418 215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2 509.288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2 509.288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SLOVENIJA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34 931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209.587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209.587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SLOVENSKO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69 418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416.506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416.506</w:t>
            </w:r>
          </w:p>
        </w:tc>
      </w:tr>
      <w:tr>
        <w:trPr>
          <w:trHeight w:val="3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1 927 294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11 563.765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3 752.330*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ME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MONTENEGRO**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18.893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RS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SRBIJA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29 108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174.649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174.649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TÜRKIYE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460 365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2 762.188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2 762.188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spacing w:after="0" w:line="240" w:lineRule="auto"/>
        <w:ind w:right="72"/>
        <w:jc w:val="right"/>
        <w:rPr>
          <w:rFonts w:ascii="Times New Roman" w:eastAsia="Times New Roman" w:hAnsi="Times New Roman"/>
          <w:b/>
          <w:noProof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**~ 3 млрд. EUR по цени за 2002 г.</w:t>
      </w: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Понастящем не са налични данни за БНД за Черна гора; вместо това са използвани данни за БВП, въз основа на базата данни AMECO (Годишна макроикономическа база данни на Генерална дирекция „Икономически и финансови въпроси“ и ГД „Икономически и финансови въпроси“).</w:t>
      </w:r>
    </w:p>
    <w:p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16"/>
          <w:szCs w:val="16"/>
        </w:rPr>
      </w:pPr>
    </w:p>
    <w:p>
      <w:pPr>
        <w:tabs>
          <w:tab w:val="left" w:pos="1080"/>
        </w:tabs>
        <w:ind w:left="1080" w:hanging="1080"/>
        <w:rPr>
          <w:rFonts w:ascii="Times New Roman" w:hAnsi="Times New Roman"/>
          <w:noProof/>
        </w:rPr>
      </w:pPr>
      <w:r>
        <w:rPr>
          <w:noProof/>
        </w:rPr>
        <w:br w:type="page"/>
      </w:r>
      <w:r>
        <w:rPr>
          <w:rFonts w:ascii="Times New Roman" w:hAnsi="Times New Roman"/>
          <w:b/>
          <w:smallCaps/>
          <w:noProof/>
        </w:rPr>
        <w:lastRenderedPageBreak/>
        <w:t>Приложение II: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</w:rPr>
        <w:t xml:space="preserve">Фонд „Солидарност“ на ЕС —Прагове за големи бедствия, приложими през </w:t>
      </w:r>
      <w:r>
        <w:rPr>
          <w:rFonts w:ascii="Times New Roman" w:hAnsi="Times New Roman"/>
          <w:b/>
          <w:smallCaps/>
          <w:noProof/>
          <w:u w:val="single"/>
        </w:rPr>
        <w:t>2014 г.След приемането на преразгледания Регламент</w:t>
      </w:r>
      <w:r>
        <w:rPr>
          <w:rFonts w:ascii="Times New Roman" w:hAnsi="Times New Roman"/>
          <w:b/>
          <w:smallCaps/>
          <w:noProof/>
        </w:rPr>
        <w:t xml:space="preserve"> (</w:t>
      </w:r>
      <w:r>
        <w:rPr>
          <w:rFonts w:ascii="Times New Roman" w:hAnsi="Times New Roman"/>
          <w:noProof/>
        </w:rPr>
        <w:t>въз основа на данни на Евростат за 2012 г. за брутния национален доход)</w:t>
      </w:r>
    </w:p>
    <w:p>
      <w:pPr>
        <w:spacing w:after="0" w:line="240" w:lineRule="auto"/>
        <w:ind w:right="252"/>
        <w:jc w:val="both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За мобилизирането на средства от фонд „Солидарност“</w:t>
      </w:r>
      <w:r>
        <w:rPr>
          <w:rFonts w:ascii="Times New Roman" w:hAnsi="Times New Roman"/>
          <w:noProof/>
          <w:sz w:val="20"/>
          <w:vertAlign w:val="superscript"/>
        </w:rPr>
        <w:footnoteReference w:id="1"/>
      </w:r>
      <w:r>
        <w:rPr>
          <w:rFonts w:ascii="Times New Roman" w:hAnsi="Times New Roman"/>
          <w:noProof/>
          <w:sz w:val="20"/>
        </w:rPr>
        <w:t xml:space="preserve"> се прилагат прагове за отделните държави, определени като общите преки щети в размер на над 0,6 % от БНД или 3 млрд. евро по цени за 2011 г. въз основа на хармонизираните данни на ЕВРОСТАТ. Прилага се по-малката сума.</w:t>
      </w:r>
    </w:p>
    <w:p>
      <w:pPr>
        <w:spacing w:after="0" w:line="240" w:lineRule="auto"/>
        <w:ind w:right="252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spacing w:after="0" w:line="240" w:lineRule="auto"/>
        <w:ind w:right="169"/>
        <w:jc w:val="right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(млн. евро)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20"/>
        <w:gridCol w:w="2520"/>
        <w:gridCol w:w="1860"/>
        <w:gridCol w:w="1860"/>
        <w:gridCol w:w="2040"/>
      </w:tblGrid>
      <w:tr>
        <w:trPr>
          <w:trHeight w:val="563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БНД 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0,6 % от БНД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праг за 2014 г.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ÖSTERREICH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305 109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1 830.656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1 830.656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BELGIË/BELGIQUE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376 903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2 261.418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2 261.418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BULGARIA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38 750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232.502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232.502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KYPROS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103.109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103.109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ČESKÁ REPUBLIKA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141 596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849.575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849.575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DEUTSCHLAND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2 730 070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16 380.420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3 183.624</w:t>
            </w:r>
            <w:r>
              <w:rPr>
                <w:rFonts w:ascii="Times New Roman" w:hAnsi="Times New Roman"/>
                <w:noProof/>
                <w:sz w:val="20"/>
              </w:rPr>
              <w:t>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DANMARK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252 656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1 515.938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1 515.938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EESTI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16 585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99.507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99.507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ELLADA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194 705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1 168.231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1 168.231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ESPAÑA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1 017 022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6 102.132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3 183.624*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SUOMI/FINLAND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192 303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1 153.818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1 153.818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FRANCE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2 067 175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12 403.050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3 183.624</w:t>
            </w:r>
            <w:r>
              <w:rPr>
                <w:rFonts w:ascii="Times New Roman" w:hAnsi="Times New Roman"/>
                <w:noProof/>
                <w:sz w:val="20"/>
              </w:rPr>
              <w:t>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HRVATSKA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42 372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254.229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254.229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MAGYARORSZÁG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91 760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550.558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550.558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ÉIRE/IRELAND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133 864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803.186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803.186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ITALIA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1 556 781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9 340.688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3 183.624</w:t>
            </w:r>
            <w:r>
              <w:rPr>
                <w:rFonts w:ascii="Times New Roman" w:hAnsi="Times New Roman"/>
                <w:noProof/>
                <w:sz w:val="20"/>
              </w:rPr>
              <w:t>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LIETUVA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31 883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191.300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191.300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LUXEMBOURG (G.D.)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29 225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175.347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175.347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LATVIJA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22 229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133.372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133.372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MALTA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6 441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38.648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38.648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NEDERLAND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604 993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3 629.958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3 183.624</w:t>
            </w:r>
            <w:r>
              <w:rPr>
                <w:rFonts w:ascii="Times New Roman" w:hAnsi="Times New Roman"/>
                <w:noProof/>
                <w:sz w:val="20"/>
              </w:rPr>
              <w:t>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POLSKA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365 188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2 191.125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2 191.125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PORTUGAL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160 563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963.376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963.376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ROMÂNIA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130 623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783.738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783.738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SVERIGE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418 215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2 509.288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2 509.288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SLOVENIJA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34 931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209.587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209.587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SLOVENSKO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69 418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416.506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416.506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1 927 294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11 563.765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3 183.624</w:t>
            </w:r>
            <w:r>
              <w:rPr>
                <w:rFonts w:ascii="Times New Roman" w:hAnsi="Times New Roman"/>
                <w:noProof/>
                <w:sz w:val="20"/>
              </w:rPr>
              <w:t>*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ME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MONTENEGRO**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18.893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RS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SRBIJA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29 108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174.649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174.649</w:t>
            </w:r>
          </w:p>
        </w:tc>
      </w:tr>
      <w:tr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TR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TÜRKIYE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460 365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2 762.188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2 762.188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**~ 3 млрд. EUR по цени за 2011 г.</w:t>
      </w: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Понастящем не са налични данни за БНД за Черна гора; вместо това са използвани данни за БВП въз основа на базата данни AMECO (Годишна макроикономическа база данни на Генерална дирекция „Икономически и финансови въпроси“ и ГД „Икономически и финансови въпроси“).</w:t>
      </w:r>
    </w:p>
    <w:p>
      <w:pPr>
        <w:rPr>
          <w:rFonts w:ascii="Times New Roman" w:hAnsi="Times New Roman"/>
          <w:noProof/>
          <w:sz w:val="16"/>
          <w:szCs w:val="16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960" w:right="1418" w:bottom="1134" w:left="1320" w:header="138" w:footer="229" w:gutter="0"/>
          <w:pgNumType w:start="2"/>
          <w:cols w:space="708"/>
          <w:docGrid w:linePitch="360"/>
        </w:sectPr>
      </w:pPr>
    </w:p>
    <w:p>
      <w:pPr>
        <w:pStyle w:val="ManualHeading1"/>
        <w:spacing w:before="480" w:after="240"/>
        <w:jc w:val="center"/>
        <w:rPr>
          <w:noProof/>
        </w:rPr>
      </w:pPr>
      <w:r>
        <w:rPr>
          <w:noProof/>
        </w:rPr>
        <w:t>Приложение III: Фонд „Солидарност“ на ЕС — нови заявления, получени през 2014 г..</w:t>
      </w:r>
    </w:p>
    <w:tbl>
      <w:tblPr>
        <w:tblW w:w="16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25"/>
        <w:gridCol w:w="1100"/>
        <w:gridCol w:w="1155"/>
        <w:gridCol w:w="1045"/>
        <w:gridCol w:w="1100"/>
        <w:gridCol w:w="1100"/>
        <w:gridCol w:w="1075"/>
        <w:gridCol w:w="1080"/>
        <w:gridCol w:w="1080"/>
        <w:gridCol w:w="1080"/>
        <w:gridCol w:w="1080"/>
        <w:gridCol w:w="1080"/>
        <w:gridCol w:w="1080"/>
      </w:tblGrid>
      <w:tr>
        <w:trPr>
          <w:trHeight w:val="255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Година на събитието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2013</w:t>
            </w:r>
          </w:p>
        </w:tc>
        <w:tc>
          <w:tcPr>
            <w:tcW w:w="13055" w:type="dxa"/>
            <w:gridSpan w:val="12"/>
            <w:tcBorders>
              <w:top w:val="single" w:sz="4" w:space="0" w:color="auto"/>
            </w:tcBorders>
            <w:shd w:val="clear" w:color="auto" w:fill="DDD9C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2014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Кандидатстваща държава</w:t>
            </w:r>
          </w:p>
        </w:tc>
        <w:tc>
          <w:tcPr>
            <w:tcW w:w="122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IT</w:t>
            </w:r>
          </w:p>
        </w:tc>
        <w:tc>
          <w:tcPr>
            <w:tcW w:w="110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FR</w:t>
            </w:r>
          </w:p>
        </w:tc>
        <w:tc>
          <w:tcPr>
            <w:tcW w:w="115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GR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SI</w:t>
            </w:r>
          </w:p>
        </w:tc>
        <w:tc>
          <w:tcPr>
            <w:tcW w:w="110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RO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HR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HR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BG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RO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BG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IT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725" w:type="dxa"/>
            <w:gridSpan w:val="6"/>
            <w:tcBorders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При прилагане на първоначалния Регламент от 2002 г.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При прилагана на изменения Регламент от 2014 г.</w:t>
            </w:r>
          </w:p>
        </w:tc>
      </w:tr>
      <w:tr>
        <w:trPr>
          <w:trHeight w:val="690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Наименование и естество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17"/>
              </w:rPr>
              <w:t>на бедствието</w:t>
            </w:r>
          </w:p>
        </w:tc>
        <w:tc>
          <w:tcPr>
            <w:tcW w:w="122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Сардиния наводнения</w:t>
            </w:r>
          </w:p>
        </w:tc>
        <w:tc>
          <w:tcPr>
            <w:tcW w:w="110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Циклон Bejisa</w:t>
            </w:r>
          </w:p>
        </w:tc>
        <w:tc>
          <w:tcPr>
            <w:tcW w:w="115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Земетресение в Кефалония</w:t>
            </w:r>
          </w:p>
        </w:tc>
        <w:tc>
          <w:tcPr>
            <w:tcW w:w="1045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Ледени бури</w:t>
            </w:r>
          </w:p>
        </w:tc>
        <w:tc>
          <w:tcPr>
            <w:tcW w:w="110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Извънредни зимни условия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Лед и наводнения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пролетни наводнения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пролетни наводнения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пролетни наводнения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пролетни наводнения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летни наводнения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летни наводнения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есенни наводнения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Дата на първите щети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18/11/2013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02/01/2014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26/01/2014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30/01/2014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24/01/2014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31/01/2014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14/05/2014</w:t>
            </w:r>
            <w:r>
              <w:rPr>
                <w:rStyle w:val="FootnoteReference"/>
                <w:rFonts w:ascii="Times New Roman" w:hAnsi="Times New Roman"/>
                <w:noProof/>
                <w:sz w:val="17"/>
              </w:rPr>
              <w:footnoteReference w:id="2"/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14/05/2014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17/05/2014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19/06/2014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28/07/2014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31/07/2014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09/10/2014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Срок за подаване на заявлението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27/01/2014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13/03/2014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06/04/2014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10/04/2014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04/04/2014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11/04/2014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12/07/2014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06/08/2014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09/08/2014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11/09/2014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20/10/2014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23/10/2014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01/01/2015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Дата на подаване на заявлението (приемане от Комисията)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24/01/2014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11/03/2014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28/03/2014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04/04/2014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04/04/2014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09/04/2014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09/07/2014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30/07/2014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31/07/2014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25/08/2014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03/10/2014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23/10/2014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23/12/2014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Необходимата информация е налична в пълен обем към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29/09/2014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18/08/2014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12/09/2014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13/01/2015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12/11/2014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3/02/2015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Праг за голямо бедствие (в млн. евро)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3 752.330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3 752.330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1 168.231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209,587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783,738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254,229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783,738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174,649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254,229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232,502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783,738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232,502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3 183.624</w:t>
            </w:r>
          </w:p>
        </w:tc>
      </w:tr>
      <w:tr>
        <w:trPr>
          <w:trHeight w:val="300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Общ размер на преките щети, одобрен от Комисията (в млн. евро)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652,419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114,800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147,333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428,734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27,897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291,905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167,927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1 105.622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297,629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311,328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171,911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79,344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2 241.052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Категория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голямо бедствие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голямо бедствие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съседна страна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голямо бедствие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голямо бедствие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голямо бедствие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регионално бедствие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Съотношение щети/праг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17.39%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3.06%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12.61%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204.56%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3.56%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114.82%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21.43%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633.05%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117.07%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133.90%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21.93%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34.13%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70.39%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Съотношение щети/БНД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0.042%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0.006%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0.076%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1.227%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0.021%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0.69%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0.13%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3.80%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0.70%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0.80%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0.13%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0.20%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0.14%</w:t>
            </w:r>
          </w:p>
        </w:tc>
      </w:tr>
      <w:tr>
        <w:trPr>
          <w:trHeight w:val="28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Щети на публична собственост (в млн. евро)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533,343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19,400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76,800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266,014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19,484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269,932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146,820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436,986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115,891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285,440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Chars="100" w:firstLine="170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140,782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69,108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1 678.558</w:t>
            </w:r>
          </w:p>
        </w:tc>
      </w:tr>
      <w:tr>
        <w:trPr>
          <w:trHeight w:val="28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Щети на публична собственост/общ размер на щетите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81.75%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16.90%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52.13%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62.05%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69.84%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92.47%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87.43%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39.52%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38.94%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91.68%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81.89%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87.10%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74.90%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 xml:space="preserve">Стойност на допустимите действия (в млн. евро) 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20,872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26,600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76,800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266,014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19,484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135,173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145,527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381,967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108,799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285,440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93,955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69,108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434,314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Съотношение допустими разходи/общ размер на щетите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3.20%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23.17%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52.13%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62.05%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69.84%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46.31%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86.66%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34.55%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36.56%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91.68%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54.65%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87.10%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19.38%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Съотношение помощ/допустими разходи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78.15%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4.80%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6.91%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-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6.37%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2.88%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15.77%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8.24%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3.69%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4.57%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2.87%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12.90%</w:t>
            </w:r>
          </w:p>
        </w:tc>
      </w:tr>
      <w:tr>
        <w:trPr>
          <w:trHeight w:val="25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Дял на помощта (% от общите щети)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4.29%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-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2.95%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sz w:val="16"/>
              </w:rPr>
              <w:t>5.45%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3.01%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3.39%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2.50%</w:t>
            </w:r>
          </w:p>
        </w:tc>
      </w:tr>
      <w:tr>
        <w:trPr>
          <w:trHeight w:val="450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Дата на решението за предоставяне на средства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23/03/2015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ind w:left="-145" w:right="-105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Отхвърлено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19/03/2015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23/03/2015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/>
                <w:i/>
                <w:i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Отхвърлено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23/03/2015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Взето решение през 2015 г.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23/03/2015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23/03/2015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</w:rPr>
              <w:t>23/03/2015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Взето решение през 2015 г.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Взето решение през 2015 г.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noProof/>
                <w:sz w:val="17"/>
              </w:rPr>
              <w:t>Взето решение през 2015 г.</w:t>
            </w:r>
          </w:p>
        </w:tc>
      </w:tr>
      <w:tr>
        <w:trPr>
          <w:trHeight w:val="495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 xml:space="preserve">Дата на споразумението за делегиране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17"/>
              </w:rPr>
              <w:t>(само за държави извън ЕС)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23/03/2015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8"/>
                <w:highlight w:val="yellow"/>
              </w:rPr>
            </w:pPr>
          </w:p>
        </w:tc>
      </w:tr>
      <w:tr>
        <w:trPr>
          <w:trHeight w:val="266"/>
        </w:trPr>
        <w:tc>
          <w:tcPr>
            <w:tcW w:w="1800" w:type="dxa"/>
            <w:shd w:val="clear" w:color="auto" w:fill="DDD9C3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7"/>
              </w:rPr>
              <w:t>Отпусната помощ (в евро)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16 310 467</w:t>
            </w:r>
          </w:p>
        </w:tc>
        <w:tc>
          <w:tcPr>
            <w:tcW w:w="1100" w:type="dxa"/>
            <w:vMerge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noProof/>
                <w:sz w:val="18"/>
                <w:szCs w:val="17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3 683 320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18 388 478</w:t>
            </w:r>
          </w:p>
        </w:tc>
        <w:tc>
          <w:tcPr>
            <w:tcW w:w="1100" w:type="dxa"/>
            <w:vMerge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sz w:val="18"/>
                <w:szCs w:val="17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8 616 263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8"/>
                <w:szCs w:val="17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60 224 605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8 959 725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10 542 110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noProof/>
          <w:sz w:val="16"/>
          <w:szCs w:val="16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9" w:h="11907" w:orient="landscape"/>
          <w:pgMar w:top="720" w:right="960" w:bottom="1080" w:left="1134" w:header="138" w:footer="214" w:gutter="0"/>
          <w:cols w:space="708"/>
          <w:docGrid w:linePitch="360"/>
        </w:sectPr>
      </w:pPr>
    </w:p>
    <w:p>
      <w:pPr>
        <w:pStyle w:val="ManualHeading1"/>
        <w:jc w:val="center"/>
        <w:rPr>
          <w:rFonts w:eastAsia="Calibri"/>
          <w:smallCaps w:val="0"/>
          <w:noProof/>
          <w:sz w:val="20"/>
          <w:szCs w:val="20"/>
        </w:rPr>
      </w:pPr>
      <w:r>
        <w:rPr>
          <w:noProof/>
        </w:rPr>
        <w:t>Приложение IV: Фонд „Солидарност“ на ЕС — заявления, постъпили от 2002 г. насам</w:t>
      </w:r>
      <w:r>
        <w:rPr>
          <w:noProof/>
        </w:rPr>
        <w:br/>
      </w:r>
    </w:p>
    <w:tbl>
      <w:tblPr>
        <w:tblW w:w="5000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"/>
        <w:gridCol w:w="474"/>
        <w:gridCol w:w="561"/>
        <w:gridCol w:w="2425"/>
        <w:gridCol w:w="1221"/>
        <w:gridCol w:w="1681"/>
        <w:gridCol w:w="1768"/>
      </w:tblGrid>
      <w:tr>
        <w:trPr>
          <w:trHeight w:val="35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3"/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2 900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134.000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2 300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129.000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(Le Gard)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</w:t>
            </w:r>
            <w:r>
              <w:rPr>
                <w:rFonts w:ascii="Times New Roman" w:hAnsi="Times New Roman"/>
                <w:noProof/>
                <w:sz w:val="17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21.000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9 100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444.000</w:t>
            </w:r>
          </w:p>
        </w:tc>
      </w:tr>
      <w:tr>
        <w:trPr>
          <w:trHeight w:val="260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2002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728.000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Разлив на петрол (танкер „Престиж“)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8.626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(Молизе/Апулия)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1 558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30.826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Изригване на вулкан (Етна)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16.798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(Северна Италия)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(1 900)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Сурова зима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(не са уточнени)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бедствие/неясно)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1 228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48.539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(Южна Франция)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(на границата с Португалия)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1.331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0.961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(Friuli Venezia-Giulia)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(525)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210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2003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107.081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(делтата на Рона)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19.625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(Малага)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(73)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3-9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(7 заявления)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(480)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Всичките 7 заявления са отхвърлени </w:t>
            </w:r>
          </w:p>
        </w:tc>
      </w:tr>
      <w:tr>
        <w:trPr>
          <w:trHeight w:val="404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(29)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410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(13)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Изтеглено</w:t>
            </w:r>
          </w:p>
        </w:tc>
      </w:tr>
      <w:tr>
        <w:trPr>
          <w:trHeight w:val="124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2004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19.625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Бури (Татрите)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5.668 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(Сардиния)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(223, завишени)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Бури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1.289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Бури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9.487</w:t>
            </w:r>
          </w:p>
        </w:tc>
      </w:tr>
      <w:tr>
        <w:trPr>
          <w:trHeight w:val="40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Ураганна буря „Гудрун“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2 297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81.725 </w:t>
            </w:r>
          </w:p>
        </w:tc>
      </w:tr>
      <w:tr>
        <w:trPr>
          <w:trHeight w:val="27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Бури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0.379</w:t>
            </w:r>
          </w:p>
        </w:tc>
      </w:tr>
      <w:tr>
        <w:trPr>
          <w:trHeight w:val="39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Наводнения в Еврос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(112)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489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18.798</w:t>
            </w:r>
          </w:p>
        </w:tc>
      </w:tr>
      <w:tr>
        <w:trPr>
          <w:trHeight w:val="52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Пролетни наводнения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9.722</w:t>
            </w:r>
          </w:p>
        </w:tc>
      </w:tr>
      <w:tr>
        <w:trPr>
          <w:trHeight w:val="533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10.632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52.407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(Тирол/Форарлберг)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14.799</w:t>
            </w:r>
          </w:p>
        </w:tc>
      </w:tr>
      <w:tr>
        <w:trPr>
          <w:trHeight w:val="124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2005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204.906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5007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"/>
        <w:gridCol w:w="860"/>
        <w:gridCol w:w="417"/>
        <w:gridCol w:w="114"/>
        <w:gridCol w:w="21"/>
        <w:gridCol w:w="419"/>
        <w:gridCol w:w="86"/>
        <w:gridCol w:w="2191"/>
        <w:gridCol w:w="1224"/>
        <w:gridCol w:w="12"/>
        <w:gridCol w:w="1349"/>
        <w:gridCol w:w="2310"/>
      </w:tblGrid>
      <w:tr>
        <w:trPr>
          <w:trHeight w:val="358"/>
        </w:trPr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4"/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Експлозия в склада за петрол „Бънсфийлд“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(700)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Изтеглено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в Еврос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9.306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15.064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в Галиция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(91)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2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2006 г.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24.370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Ураганна буря „Кирил“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4750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166.906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Реюнион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Циклон „Гамед“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5.290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 Ел Хиеро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(18)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 Ла Манча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(66)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4 612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162.387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(38)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на Канарските острови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(144)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8-16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 заявления за горски пожари в 9 района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Недопустимо/пропуснат краен срок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Ураганна буря „Дийн“ (Мартиника)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12.780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2 118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sz w:val="20"/>
              </w:rPr>
              <w:t>89.769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8.254 </w:t>
            </w:r>
          </w:p>
        </w:tc>
      </w:tr>
      <w:tr>
        <w:trPr>
          <w:trHeight w:val="124"/>
        </w:trPr>
        <w:tc>
          <w:tcPr>
            <w:tcW w:w="2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2007 г.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445.386</w:t>
            </w:r>
          </w:p>
        </w:tc>
      </w:tr>
      <w:tr>
        <w:trPr>
          <w:trHeight w:val="661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Суша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165.4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7.605</w:t>
            </w:r>
          </w:p>
        </w:tc>
      </w:tr>
      <w:tr>
        <w:trPr>
          <w:trHeight w:val="560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471.4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sz w:val="20"/>
              </w:rPr>
              <w:t xml:space="preserve">11.785 </w:t>
            </w:r>
          </w:p>
        </w:tc>
      </w:tr>
      <w:tr>
        <w:trPr>
          <w:trHeight w:val="124"/>
        </w:trPr>
        <w:tc>
          <w:tcPr>
            <w:tcW w:w="2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2008 г.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19.390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Ураганна буря „Клаус“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3 805.5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109.377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в Abruzzo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10 212.0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493.771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(152.8)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Бури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(2.6)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Наводнения в Евия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(83.2)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Кални свлачища в Месина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(598.9)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2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2009 г.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603.148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Наводнения, 2009 г.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520.9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13.022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Тоскана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(211.7)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Андалусия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(709.7)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Кални свлачища и свличания на земна маса в Мадейра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1 080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31.256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Ураганна буря „Синтия“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1 425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35.636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561.1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20.431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2 998.9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105.567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пролетта)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204.5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съседна страна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5.111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719.3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22.486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пролетта)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153.04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съседна страна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3.826</w:t>
            </w:r>
          </w:p>
        </w:tc>
      </w:tr>
    </w:tbl>
    <w:p>
      <w:pPr>
        <w:rPr>
          <w:noProof/>
        </w:rPr>
      </w:pPr>
    </w:p>
    <w:tbl>
      <w:tblPr>
        <w:tblW w:w="5002" w:type="pc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"/>
        <w:gridCol w:w="427"/>
        <w:gridCol w:w="608"/>
        <w:gridCol w:w="2210"/>
        <w:gridCol w:w="1221"/>
        <w:gridCol w:w="1956"/>
        <w:gridCol w:w="1712"/>
      </w:tblGrid>
      <w:tr>
        <w:trPr>
          <w:trHeight w:val="35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5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във Вар 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(703-778)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 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875.75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24.968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10.912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Саксония 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(937.7)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1.175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251.3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7.460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Разлив на червена кал 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(174.32)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2010 г.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281.850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във Венето от 2010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676.36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16.909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в Лорка от 2011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842.84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21.071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Взрив във военноморската база от 2011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(357)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бедствие/неспадащо към природните бедствия)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Лигурия и Тоскана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 xml:space="preserve">Наводнения през 2011 г.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722.5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18.062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2011 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56.042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Сурови метеорологични условия,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(2 735)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Поредица от земетресения,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13 274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670.192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във Валенсия,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(155.7)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Пожари на Канарските острови,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(72.2)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Суша и горски пожари,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806.7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2.475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Пожари в Малага,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(22.43)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Изтеглено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в Андалусия, Мурсия и Валенсия, 2012 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(409)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2012 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672.667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359.5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14.081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0,287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0.240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Кални свлачища и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свличания на земна маса в Мадейра, 2012 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(25.7)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 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8 153.5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360.454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866.4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21.662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637.1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15.928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(28)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2013 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="20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412.652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506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76"/>
        <w:gridCol w:w="765"/>
        <w:gridCol w:w="2483"/>
        <w:gridCol w:w="1320"/>
        <w:gridCol w:w="1440"/>
        <w:gridCol w:w="1922"/>
      </w:tblGrid>
      <w:tr>
        <w:trPr>
          <w:trHeight w:val="35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(млн. евро)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6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 Сардиния, 2013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652.4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16.310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Циклон Bejisa,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(114.8)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GR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Земетресение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в Кефалония,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147.3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3.683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Ледени бури през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428.7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18.388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Извънредни зимни условия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през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(27.9)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Лед и наводнения през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291.9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8.616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Пролетните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167.9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Взето решение през 2015 г.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RS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1 105.6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60.225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297.6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8.960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311.3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10.542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171.9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Взето решение през 2015 г.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79.3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регионално бедствие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Взето решение през 2015 г.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9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Есенни наводнения, 2014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2 241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Взето решение през 2015 г. 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2014 г.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>
            <w:pPr>
              <w:spacing w:before="20" w:afterLines="20" w:after="48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126.724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 xml:space="preserve">ВСИЧКО одобрена помощ от 2002 г. досега 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="20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 3 701.844 млн. евро</w:t>
            </w:r>
          </w:p>
        </w:tc>
      </w:tr>
    </w:tbl>
    <w:p>
      <w:pPr>
        <w:pStyle w:val="ManualHeading1"/>
        <w:ind w:left="0" w:firstLine="0"/>
        <w:rPr>
          <w:noProof/>
        </w:rPr>
      </w:pPr>
    </w:p>
    <w:sectPr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134" w:right="1417" w:bottom="1134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120" w:hanging="120"/>
        <w:rPr>
          <w:sz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Регламент (ЕС) № 661/2014 на Европейския парламент и на Съвета от 15 май 2014 година за изменение на Регламент (ЕО) № 2012/2002 на Съвета за създаване на фонд „Солидарност“ на Европейския съюз (ОВ L 189/143, 27.6.2014 г.).</w:t>
      </w:r>
    </w:p>
  </w:footnote>
  <w:footnote w:id="2">
    <w:p>
      <w:pPr>
        <w:pStyle w:val="FootnoteText"/>
        <w:rPr>
          <w:i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приета от Комисията дата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*Закръглени стойности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*Закръглени стойности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*Закръглени стойности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*Закръглени стойности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color w:val="00B05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revisionView w:markup="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F267669F124E4680B135663B277C5FD8"/>
    <w:docVar w:name="LW_CROSSREFERENCE" w:val="&lt;UNUSED&gt;"/>
    <w:docVar w:name="LW_DocType" w:val="NORMAL"/>
    <w:docVar w:name="LW_EMISSION" w:val="16.10.2015"/>
    <w:docVar w:name="LW_EMISSION_ISODATE" w:val="2015-10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76?\u1077?\u1081?\u1085?\u1086?\u1089?\u1090?\u1090?\u1072? \u1085?\u1072? \u1092?\u1086?\u1085?\u1076? \u8222?\u1057?\u1086?\u1083?\u1080?\u1076?\u1072?\u1088?\u1085?\u1086?\u1089?\u1090?\u8220? \u1085?\u1072? \u1045?\u1057? \u1087?\u1088?\u1077?\u1079? 2014 \u1075?.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50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bg-BG" w:bidi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Heading1">
    <w:name w:val="Manual Heading 1"/>
    <w:basedOn w:val="Normal"/>
    <w:next w:val="Normal"/>
    <w:link w:val="ManualHeading1Char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lang w:val="en-GB" w:bidi="ar-SA"/>
    </w:rPr>
  </w:style>
  <w:style w:type="character" w:customStyle="1" w:styleId="ManualHeading1Char">
    <w:name w:val="Manual Heading 1 Char"/>
    <w:link w:val="ManualHeading1"/>
    <w:rPr>
      <w:rFonts w:ascii="Times New Roman" w:eastAsia="Times New Roman" w:hAnsi="Times New Roman"/>
      <w:b/>
      <w:smallCaps/>
      <w:sz w:val="24"/>
      <w:szCs w:val="24"/>
      <w:lang w:eastAsia="bg-BG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2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lang w:val="en-GB" w:bidi="ar-SA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142-9967-4EEC-8340-F8DAAAE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2536</Words>
  <Characters>13086</Characters>
  <Application>Microsoft Office Word</Application>
  <DocSecurity>0</DocSecurity>
  <Lines>1869</Lines>
  <Paragraphs>1562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 Ioana (REGIO)</dc:creator>
  <cp:lastModifiedBy>DIGIT/A3</cp:lastModifiedBy>
  <cp:revision>10</cp:revision>
  <cp:lastPrinted>2015-07-22T15:00:00Z</cp:lastPrinted>
  <dcterms:created xsi:type="dcterms:W3CDTF">2015-09-18T12:31:00Z</dcterms:created>
  <dcterms:modified xsi:type="dcterms:W3CDTF">2015-10-07T18:29:00Z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4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