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eastAsia="en-GB"/>
        </w:rPr>
      </w:pPr>
      <w:bookmarkStart w:id="0" w:name="LW_BM_COVERPAGE"/>
      <w:r>
        <w:rPr>
          <w:noProof/>
          <w:lang w:val="fr-BE"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530F32E905E4486DA66F985B76A64FF1" style="width:450.75pt;height:379.5pt">
            <v:imagedata r:id="rId7" o:title=""/>
          </v:shape>
        </w:pict>
      </w:r>
    </w:p>
    <w:bookmarkEnd w:id="0"/>
    <w:p>
      <w:pPr>
        <w:rPr>
          <w:noProof/>
          <w:lang w:val="fr-BE" w:eastAsia="en-GB"/>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spacing w:before="120" w:after="120" w:line="240" w:lineRule="auto"/>
        <w:jc w:val="right"/>
        <w:rPr>
          <w:rFonts w:ascii="Times New Roman" w:eastAsia="Times New Roman" w:hAnsi="Times New Roman"/>
          <w:noProof/>
          <w:sz w:val="24"/>
          <w:szCs w:val="24"/>
          <w:lang w:eastAsia="en-GB"/>
        </w:rPr>
      </w:pPr>
      <w:bookmarkStart w:id="1" w:name="_GoBack"/>
      <w:bookmarkEnd w:id="1"/>
      <w:r>
        <w:rPr>
          <w:rFonts w:ascii="Times New Roman" w:eastAsia="Times New Roman" w:hAnsi="Times New Roman"/>
          <w:noProof/>
          <w:sz w:val="24"/>
          <w:szCs w:val="24"/>
          <w:lang w:eastAsia="en-GB"/>
        </w:rPr>
        <w:lastRenderedPageBreak/>
        <w:t>Brussels,</w:t>
      </w:r>
    </w:p>
    <w:p>
      <w:pPr>
        <w:spacing w:before="120"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His Excellency Mr Pierre Nkurunziza</w:t>
      </w:r>
    </w:p>
    <w:p>
      <w:pPr>
        <w:spacing w:before="120"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President of Burundi</w:t>
      </w:r>
    </w:p>
    <w:p>
      <w:pPr>
        <w:spacing w:before="120" w:after="120" w:line="240" w:lineRule="auto"/>
        <w:jc w:val="both"/>
        <w:rPr>
          <w:rFonts w:ascii="Times New Roman" w:eastAsia="Times New Roman" w:hAnsi="Times New Roman"/>
          <w:noProof/>
          <w:sz w:val="24"/>
          <w:szCs w:val="24"/>
          <w:lang w:eastAsia="en-GB"/>
        </w:rPr>
      </w:pPr>
    </w:p>
    <w:p>
      <w:pPr>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Excellency,</w:t>
      </w:r>
    </w:p>
    <w:p>
      <w:pPr>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In a statement issued on 23 July 2015 by the High Representative of the Union for Foreign Affairs and Security Policy/Vice-President of the European Commission, the European Union presented its assessment that the decisions taken by the African Union and the East African Community which would have opened the way to credible and inclusive elections in Burundi had not been implemented. </w:t>
      </w:r>
    </w:p>
    <w:p>
      <w:pPr>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The European Union also conveyed its view that, as Burundi had failed to respect essential elements  of the Cotonou Partnership Agreement, namely human rights, democratic principles and the rule of law, it considered it appropriate to launch the procedure leading to the opening of consultations as foreseen by Article 96 of the Cotonou Agreement.</w:t>
      </w:r>
    </w:p>
    <w:p>
      <w:pPr>
        <w:spacing w:before="120" w:after="120" w:line="240" w:lineRule="auto"/>
        <w:jc w:val="both"/>
        <w:rPr>
          <w:rFonts w:ascii="Times New Roman" w:eastAsia="Times New Roman" w:hAnsi="Times New Roman"/>
          <w:noProof/>
          <w:snapToGrid w:val="0"/>
          <w:sz w:val="24"/>
          <w:szCs w:val="24"/>
          <w:u w:val="single"/>
          <w:lang w:eastAsia="en-GB"/>
        </w:rPr>
      </w:pPr>
      <w:r>
        <w:rPr>
          <w:rFonts w:ascii="Times New Roman" w:eastAsia="Times New Roman" w:hAnsi="Times New Roman"/>
          <w:noProof/>
          <w:snapToGrid w:val="0"/>
          <w:sz w:val="24"/>
          <w:szCs w:val="24"/>
          <w:lang w:eastAsia="en-GB"/>
        </w:rPr>
        <w:t>In accordance with those provisions, we have the honour, on behalf of the European Union and its Member States, to invite your country for consultations in order, as provided for in the Agreement, to study the situation in depth and, where necessary, take steps to remedy it. The European Union will undertake these consultations in a spirit of dialogue, with a view to seeking a mutually agreeable solution.</w:t>
      </w:r>
    </w:p>
    <w:p>
      <w:pPr>
        <w:spacing w:before="120" w:after="120" w:line="240" w:lineRule="auto"/>
        <w:jc w:val="both"/>
        <w:rPr>
          <w:rFonts w:ascii="Times New Roman" w:eastAsia="Times New Roman" w:hAnsi="Times New Roman"/>
          <w:noProof/>
          <w:snapToGrid w:val="0"/>
          <w:sz w:val="24"/>
          <w:szCs w:val="24"/>
          <w:lang w:eastAsia="en-GB"/>
        </w:rPr>
      </w:pPr>
      <w:r>
        <w:rPr>
          <w:rFonts w:ascii="Times New Roman" w:eastAsia="Times New Roman" w:hAnsi="Times New Roman"/>
          <w:noProof/>
          <w:snapToGrid w:val="0"/>
          <w:sz w:val="24"/>
          <w:szCs w:val="24"/>
          <w:lang w:eastAsia="en-GB"/>
        </w:rPr>
        <w:t xml:space="preserve">The consultations will provide an opportunity for Burundi to present the Government’s programme, particularly in the areas of democratic principles, human rights and governance. </w:t>
      </w:r>
    </w:p>
    <w:p>
      <w:pPr>
        <w:spacing w:before="120" w:after="120" w:line="240" w:lineRule="auto"/>
        <w:jc w:val="both"/>
        <w:rPr>
          <w:rFonts w:ascii="Times New Roman" w:eastAsia="Times New Roman" w:hAnsi="Times New Roman"/>
          <w:noProof/>
          <w:snapToGrid w:val="0"/>
          <w:sz w:val="24"/>
          <w:szCs w:val="24"/>
          <w:lang w:eastAsia="en-GB"/>
        </w:rPr>
      </w:pPr>
    </w:p>
    <w:p>
      <w:pPr>
        <w:spacing w:before="120" w:after="120" w:line="240" w:lineRule="auto"/>
        <w:jc w:val="both"/>
        <w:rPr>
          <w:rFonts w:ascii="Times New Roman" w:eastAsia="Times New Roman" w:hAnsi="Times New Roman"/>
          <w:noProof/>
          <w:snapToGrid w:val="0"/>
          <w:sz w:val="24"/>
          <w:szCs w:val="24"/>
          <w:lang w:eastAsia="en-GB"/>
        </w:rPr>
      </w:pPr>
      <w:r>
        <w:rPr>
          <w:rFonts w:ascii="Times New Roman" w:eastAsia="Times New Roman" w:hAnsi="Times New Roman"/>
          <w:noProof/>
          <w:snapToGrid w:val="0"/>
          <w:sz w:val="24"/>
          <w:szCs w:val="24"/>
          <w:lang w:eastAsia="en-GB"/>
        </w:rPr>
        <w:t>We propose that these consultations be initiated, at a date to be agreed jointly, in Brussels.</w:t>
      </w:r>
    </w:p>
    <w:p>
      <w:pPr>
        <w:spacing w:before="120" w:after="120" w:line="240" w:lineRule="auto"/>
        <w:jc w:val="both"/>
        <w:rPr>
          <w:rFonts w:ascii="Times New Roman" w:eastAsia="Times New Roman" w:hAnsi="Times New Roman"/>
          <w:noProof/>
          <w:snapToGrid w:val="0"/>
          <w:sz w:val="24"/>
          <w:szCs w:val="24"/>
          <w:lang w:eastAsia="en-GB"/>
        </w:rPr>
      </w:pPr>
    </w:p>
    <w:p>
      <w:pPr>
        <w:spacing w:before="120" w:after="120" w:line="240" w:lineRule="auto"/>
        <w:jc w:val="both"/>
        <w:rPr>
          <w:rFonts w:ascii="Times New Roman" w:eastAsia="Times New Roman" w:hAnsi="Times New Roman"/>
          <w:noProof/>
          <w:lang w:eastAsia="en-GB"/>
        </w:rPr>
      </w:pPr>
      <w:r>
        <w:rPr>
          <w:rFonts w:ascii="Times New Roman" w:eastAsia="Times New Roman" w:hAnsi="Times New Roman"/>
          <w:noProof/>
          <w:snapToGrid w:val="0"/>
          <w:lang w:eastAsia="en-GB"/>
        </w:rPr>
        <w:t>We have the honour to be, Sir, Yours faithfully,</w:t>
      </w:r>
    </w:p>
    <w:p>
      <w:pPr>
        <w:spacing w:before="120" w:after="120" w:line="240" w:lineRule="auto"/>
        <w:jc w:val="both"/>
        <w:rPr>
          <w:rFonts w:ascii="Times New Roman" w:eastAsia="Times New Roman" w:hAnsi="Times New Roman"/>
          <w:noProof/>
          <w:snapToGrid w:val="0"/>
          <w:lang w:eastAsia="en-GB"/>
        </w:rPr>
      </w:pPr>
    </w:p>
    <w:p>
      <w:pPr>
        <w:spacing w:before="120" w:after="120" w:line="240" w:lineRule="auto"/>
        <w:jc w:val="both"/>
        <w:rPr>
          <w:rFonts w:ascii="Times New Roman" w:eastAsia="Times New Roman" w:hAnsi="Times New Roman"/>
          <w:noProof/>
          <w:snapToGrid w:val="0"/>
          <w:lang w:eastAsia="en-GB"/>
        </w:rPr>
      </w:pPr>
    </w:p>
    <w:p>
      <w:pPr>
        <w:spacing w:before="120" w:after="120" w:line="240" w:lineRule="auto"/>
        <w:jc w:val="both"/>
        <w:rPr>
          <w:rFonts w:ascii="Times New Roman" w:eastAsia="Times New Roman" w:hAnsi="Times New Roman"/>
          <w:noProof/>
          <w:snapToGrid w:val="0"/>
          <w:lang w:eastAsia="en-GB"/>
        </w:rPr>
      </w:pPr>
    </w:p>
    <w:p>
      <w:pPr>
        <w:spacing w:before="120" w:after="120" w:line="240" w:lineRule="auto"/>
        <w:jc w:val="both"/>
        <w:rPr>
          <w:rFonts w:ascii="Times New Roman" w:eastAsia="Times New Roman" w:hAnsi="Times New Roman"/>
          <w:noProof/>
          <w:snapToGrid w:val="0"/>
          <w:lang w:eastAsia="en-GB"/>
        </w:rPr>
      </w:pPr>
      <w:r>
        <w:rPr>
          <w:rFonts w:ascii="Times New Roman" w:eastAsia="Times New Roman" w:hAnsi="Times New Roman"/>
          <w:noProof/>
          <w:snapToGrid w:val="0"/>
          <w:lang w:eastAsia="en-GB"/>
        </w:rPr>
        <w:t>For the Council                                                                                  For the European Commission</w:t>
      </w:r>
    </w:p>
    <w:p>
      <w:pPr>
        <w:spacing w:before="120" w:after="120" w:line="240" w:lineRule="auto"/>
        <w:jc w:val="both"/>
        <w:rPr>
          <w:rFonts w:ascii="Times New Roman" w:eastAsia="Times New Roman" w:hAnsi="Times New Roman"/>
          <w:noProof/>
          <w:snapToGrid w:val="0"/>
          <w:lang w:eastAsia="en-GB"/>
        </w:rPr>
      </w:pPr>
    </w:p>
    <w:p>
      <w:pPr>
        <w:spacing w:before="120" w:after="120" w:line="240" w:lineRule="auto"/>
        <w:jc w:val="both"/>
        <w:rPr>
          <w:rFonts w:ascii="Times New Roman" w:eastAsia="Times New Roman" w:hAnsi="Times New Roman"/>
          <w:noProof/>
          <w:snapToGrid w:val="0"/>
          <w:lang w:eastAsia="en-GB"/>
        </w:rPr>
      </w:pPr>
    </w:p>
    <w:p>
      <w:pPr>
        <w:spacing w:before="120" w:after="120" w:line="240" w:lineRule="auto"/>
        <w:jc w:val="both"/>
        <w:rPr>
          <w:rFonts w:ascii="Times New Roman" w:eastAsia="Times New Roman" w:hAnsi="Times New Roman"/>
          <w:noProof/>
          <w:snapToGrid w:val="0"/>
          <w:lang w:eastAsia="en-GB"/>
        </w:rPr>
      </w:pPr>
      <w:r>
        <w:rPr>
          <w:rFonts w:ascii="Times New Roman" w:eastAsia="Times New Roman" w:hAnsi="Times New Roman"/>
          <w:noProof/>
          <w:snapToGrid w:val="0"/>
          <w:lang w:eastAsia="en-GB"/>
        </w:rPr>
        <w:t>Copies:</w:t>
      </w:r>
    </w:p>
    <w:p>
      <w:pPr>
        <w:tabs>
          <w:tab w:val="num" w:pos="283"/>
        </w:tabs>
        <w:spacing w:before="120" w:after="120" w:line="240" w:lineRule="auto"/>
        <w:ind w:left="283" w:hanging="283"/>
        <w:jc w:val="both"/>
        <w:rPr>
          <w:rFonts w:ascii="Times New Roman" w:eastAsia="Times New Roman" w:hAnsi="Times New Roman"/>
          <w:noProof/>
          <w:snapToGrid w:val="0"/>
          <w:lang w:eastAsia="en-GB"/>
        </w:rPr>
      </w:pPr>
      <w:r>
        <w:rPr>
          <w:rFonts w:ascii="Times New Roman" w:eastAsia="Times New Roman" w:hAnsi="Times New Roman"/>
          <w:noProof/>
          <w:snapToGrid w:val="0"/>
          <w:lang w:eastAsia="en-GB"/>
        </w:rPr>
        <w:t>The Chairman of the ACP Committee of Ambassadors</w:t>
      </w:r>
    </w:p>
    <w:p>
      <w:pPr>
        <w:rPr>
          <w:noProof/>
        </w:rPr>
      </w:pPr>
      <w:r>
        <w:rPr>
          <w:rFonts w:ascii="Times New Roman" w:eastAsia="Times New Roman" w:hAnsi="Times New Roman"/>
          <w:noProof/>
          <w:snapToGrid w:val="0"/>
          <w:lang w:eastAsia="en-GB"/>
        </w:rPr>
        <w:t>The Secretary-General of the ACP Group</w:t>
      </w: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1"/>
    <w:docVar w:name="LW_ANNEX_NBR_LAST" w:val="1"/>
    <w:docVar w:name="LW_CONFIDENCE" w:val=" "/>
    <w:docVar w:name="LW_CONST_RESTREINT_UE" w:val="RESTREINT UE"/>
    <w:docVar w:name="LW_CORRIGENDUM" w:val="&lt;UNUSED&gt;"/>
    <w:docVar w:name="LW_COVERPAGE_GUID" w:val="530F32E905E4486DA66F985B76A64FF1"/>
    <w:docVar w:name="LW_CROSSREFERENCE" w:val="&lt;UNUSED&gt;"/>
    <w:docVar w:name="LW_DocType" w:val="NORMAL"/>
    <w:docVar w:name="LW_EMISSION" w:val="9.10.2015"/>
    <w:docVar w:name="LW_EMISSION_ISODATE" w:val="2015-10-09"/>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on the opening of consultations with Burundi under Article 96 of the Cotonou Partnership Agreement"/>
    <w:docVar w:name="LW_PART_NBR" w:val="1"/>
    <w:docVar w:name="LW_PART_NBR_TOTAL" w:val="1"/>
    <w:docVar w:name="LW_REF.INST.NEW" w:val="COM"/>
    <w:docVar w:name="LW_REF.INST.NEW_ADOPTED" w:val="final"/>
    <w:docVar w:name="LW_REF.INST.NEW_TEXT" w:val="(2015) 500"/>
    <w:docVar w:name="LW_REF.INTERNE" w:val="&lt;UNUSED&gt;"/>
    <w:docVar w:name="LW_SUPERTITRE" w:val="&lt;UNUSED&gt;"/>
    <w:docVar w:name="LW_TITRE.OBJ.CP" w:val="&lt;UNUSED&gt;"/>
    <w:docVar w:name="LW_TYPE.DOC.CP" w:val="ANNEX_x000b_"/>
    <w:docVar w:name="LW_TYPEACTEPRINCIPAL.CP" w:val="COMMUNICATION FROM THE COMMISSION TO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Revision">
    <w:name w:val="Revision"/>
    <w:hidden/>
    <w:uiPriority w:val="99"/>
    <w:semiHidden/>
    <w:rPr>
      <w:sz w:val="22"/>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sz w:val="22"/>
      <w:szCs w:val="22"/>
      <w:lang w:eastAsia="en-US"/>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sz w:val="22"/>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szCs w:val="24"/>
      <w:lang w:val="fr-BE" w:eastAsia="en-GB"/>
    </w:rPr>
  </w:style>
  <w:style w:type="character" w:customStyle="1" w:styleId="FooterCoverPageChar">
    <w:name w:val="Footer Cover Page Char"/>
    <w:basedOn w:val="DefaultParagraphFont"/>
    <w:link w:val="FooterCoverPage"/>
    <w:rPr>
      <w:rFonts w:ascii="Times New Roman" w:eastAsia="Times New Roman" w:hAnsi="Times New Roman"/>
      <w:sz w:val="24"/>
      <w:szCs w:val="24"/>
      <w:lang w:val="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szCs w:val="24"/>
      <w:lang w:val="fr-BE" w:eastAsia="en-GB"/>
    </w:rPr>
  </w:style>
  <w:style w:type="character" w:customStyle="1" w:styleId="HeaderCoverPageChar">
    <w:name w:val="Header Cover Page Char"/>
    <w:basedOn w:val="DefaultParagraphFont"/>
    <w:link w:val="HeaderCoverPage"/>
    <w:rPr>
      <w:rFonts w:ascii="Times New Roman" w:eastAsia="Times New Roman" w:hAnsi="Times New Roman"/>
      <w:sz w:val="24"/>
      <w:szCs w:val="24"/>
      <w:lang w:val="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Revision">
    <w:name w:val="Revision"/>
    <w:hidden/>
    <w:uiPriority w:val="99"/>
    <w:semiHidden/>
    <w:rPr>
      <w:sz w:val="22"/>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sz w:val="22"/>
      <w:szCs w:val="22"/>
      <w:lang w:eastAsia="en-US"/>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sz w:val="22"/>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szCs w:val="24"/>
      <w:lang w:val="fr-BE" w:eastAsia="en-GB"/>
    </w:rPr>
  </w:style>
  <w:style w:type="character" w:customStyle="1" w:styleId="FooterCoverPageChar">
    <w:name w:val="Footer Cover Page Char"/>
    <w:basedOn w:val="DefaultParagraphFont"/>
    <w:link w:val="FooterCoverPage"/>
    <w:rPr>
      <w:rFonts w:ascii="Times New Roman" w:eastAsia="Times New Roman" w:hAnsi="Times New Roman"/>
      <w:sz w:val="24"/>
      <w:szCs w:val="24"/>
      <w:lang w:val="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szCs w:val="24"/>
      <w:lang w:val="fr-BE" w:eastAsia="en-GB"/>
    </w:rPr>
  </w:style>
  <w:style w:type="character" w:customStyle="1" w:styleId="HeaderCoverPageChar">
    <w:name w:val="Header Cover Page Char"/>
    <w:basedOn w:val="DefaultParagraphFont"/>
    <w:link w:val="HeaderCoverPage"/>
    <w:rPr>
      <w:rFonts w:ascii="Times New Roman" w:eastAsia="Times New Roman" w:hAnsi="Times New Roman"/>
      <w:sz w:val="24"/>
      <w:szCs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279</Words>
  <Characters>1500</Characters>
  <Application>Microsoft Office Word</Application>
  <DocSecurity>0</DocSecurity>
  <Lines>38</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GONZALEZ Sarah (DEVCO)</dc:creator>
  <cp:lastModifiedBy>DIGIT/A3</cp:lastModifiedBy>
  <cp:revision>8</cp:revision>
  <dcterms:created xsi:type="dcterms:W3CDTF">2015-09-29T16:48:00Z</dcterms:created>
  <dcterms:modified xsi:type="dcterms:W3CDTF">2015-10-06T13:31:00Z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